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8AC497">
      <w:pPr>
        <w:keepNext w:val="0"/>
        <w:keepLines w:val="0"/>
        <w:pageBreakBefore w:val="0"/>
        <w:widowControl w:val="0"/>
        <w:kinsoku/>
        <w:wordWrap/>
        <w:overflowPunct/>
        <w:topLinePunct w:val="0"/>
        <w:autoSpaceDE/>
        <w:autoSpaceDN/>
        <w:bidi w:val="0"/>
        <w:adjustRightInd w:val="0"/>
        <w:spacing w:line="578" w:lineRule="exact"/>
        <w:textAlignment w:val="auto"/>
        <w:rPr>
          <w:rFonts w:hint="default" w:ascii="Times New Roman" w:hAnsi="Times New Roman" w:eastAsia="方正黑体_GBK" w:cs="Times New Roman"/>
          <w:color w:val="auto"/>
          <w:sz w:val="32"/>
          <w:szCs w:val="32"/>
          <w:highlight w:val="none"/>
          <w:lang w:eastAsia="zh-CN"/>
        </w:rPr>
      </w:pPr>
      <w:r>
        <w:rPr>
          <w:rFonts w:hint="default" w:ascii="Times New Roman" w:hAnsi="Times New Roman" w:eastAsia="方正黑体_GBK" w:cs="Times New Roman"/>
          <w:color w:val="auto"/>
          <w:sz w:val="32"/>
          <w:szCs w:val="32"/>
          <w:highlight w:val="none"/>
          <w:lang w:eastAsia="zh-CN"/>
        </w:rPr>
        <w:t>附件：</w:t>
      </w:r>
    </w:p>
    <w:p w14:paraId="252195AB">
      <w:pPr>
        <w:pStyle w:val="8"/>
        <w:keepNext w:val="0"/>
        <w:keepLines w:val="0"/>
        <w:pageBreakBefore w:val="0"/>
        <w:widowControl w:val="0"/>
        <w:suppressLineNumbers w:val="0"/>
        <w:kinsoku/>
        <w:wordWrap/>
        <w:overflowPunct/>
        <w:topLinePunct w:val="0"/>
        <w:autoSpaceDE/>
        <w:autoSpaceDN/>
        <w:bidi w:val="0"/>
        <w:spacing w:before="0" w:beforeAutospacing="0" w:after="0" w:afterAutospacing="0" w:line="578" w:lineRule="exact"/>
        <w:ind w:left="0" w:right="0" w:firstLine="0"/>
        <w:jc w:val="center"/>
        <w:textAlignment w:val="auto"/>
        <w:rPr>
          <w:rFonts w:hint="default" w:ascii="Times New Roman" w:hAnsi="Times New Roman" w:eastAsia="方正小标宋_GBK" w:cs="Times New Roman"/>
          <w:color w:val="auto"/>
          <w:sz w:val="40"/>
          <w:szCs w:val="40"/>
          <w:highlight w:val="none"/>
        </w:rPr>
      </w:pPr>
    </w:p>
    <w:p w14:paraId="728872F7">
      <w:pPr>
        <w:pStyle w:val="8"/>
        <w:keepNext w:val="0"/>
        <w:keepLines w:val="0"/>
        <w:pageBreakBefore w:val="0"/>
        <w:widowControl w:val="0"/>
        <w:suppressLineNumbers w:val="0"/>
        <w:kinsoku/>
        <w:wordWrap/>
        <w:overflowPunct/>
        <w:topLinePunct w:val="0"/>
        <w:autoSpaceDE/>
        <w:autoSpaceDN/>
        <w:bidi w:val="0"/>
        <w:spacing w:before="0" w:beforeAutospacing="0" w:after="0" w:afterAutospacing="0" w:line="578" w:lineRule="exact"/>
        <w:ind w:left="0" w:right="0" w:firstLine="0"/>
        <w:jc w:val="center"/>
        <w:textAlignment w:val="auto"/>
        <w:rPr>
          <w:rFonts w:hint="default" w:ascii="Times New Roman" w:hAnsi="Times New Roman" w:eastAsia="方正小标宋_GBK" w:cs="Times New Roman"/>
          <w:color w:val="auto"/>
          <w:sz w:val="40"/>
          <w:szCs w:val="40"/>
          <w:highlight w:val="none"/>
          <w:lang w:eastAsia="zh-CN"/>
        </w:rPr>
      </w:pPr>
      <w:r>
        <w:rPr>
          <w:rFonts w:hint="default" w:ascii="Times New Roman" w:hAnsi="Times New Roman" w:eastAsia="方正小标宋_GBK" w:cs="Times New Roman"/>
          <w:color w:val="auto"/>
          <w:sz w:val="40"/>
          <w:szCs w:val="40"/>
          <w:highlight w:val="none"/>
          <w:lang w:val="en-US" w:eastAsia="zh-CN"/>
        </w:rPr>
        <w:t>江海区</w:t>
      </w:r>
      <w:r>
        <w:rPr>
          <w:rFonts w:hint="default" w:ascii="Times New Roman" w:hAnsi="Times New Roman" w:eastAsia="方正小标宋_GBK" w:cs="Times New Roman"/>
          <w:color w:val="auto"/>
          <w:sz w:val="40"/>
          <w:szCs w:val="40"/>
          <w:highlight w:val="none"/>
        </w:rPr>
        <w:t>2026年优化市场化</w:t>
      </w:r>
      <w:r>
        <w:rPr>
          <w:rFonts w:hint="default" w:ascii="Times New Roman" w:hAnsi="Times New Roman" w:eastAsia="方正小标宋_GBK" w:cs="Times New Roman"/>
          <w:color w:val="auto"/>
          <w:sz w:val="40"/>
          <w:szCs w:val="40"/>
          <w:highlight w:val="none"/>
          <w:lang w:eastAsia="zh-CN"/>
        </w:rPr>
        <w:t>一流</w:t>
      </w:r>
    </w:p>
    <w:p w14:paraId="09DB5893">
      <w:pPr>
        <w:pStyle w:val="8"/>
        <w:keepNext w:val="0"/>
        <w:keepLines w:val="0"/>
        <w:pageBreakBefore w:val="0"/>
        <w:widowControl w:val="0"/>
        <w:suppressLineNumbers w:val="0"/>
        <w:kinsoku/>
        <w:wordWrap/>
        <w:overflowPunct/>
        <w:topLinePunct w:val="0"/>
        <w:autoSpaceDE/>
        <w:autoSpaceDN/>
        <w:bidi w:val="0"/>
        <w:spacing w:before="0" w:beforeAutospacing="0" w:after="0" w:afterAutospacing="0" w:line="578" w:lineRule="exact"/>
        <w:ind w:left="0" w:right="0" w:firstLine="0"/>
        <w:jc w:val="center"/>
        <w:textAlignment w:val="auto"/>
        <w:rPr>
          <w:rFonts w:hint="default" w:ascii="Times New Roman" w:hAnsi="Times New Roman" w:eastAsia="方正小标宋_GBK" w:cs="Times New Roman"/>
          <w:color w:val="auto"/>
          <w:sz w:val="40"/>
          <w:szCs w:val="40"/>
          <w:highlight w:val="none"/>
        </w:rPr>
      </w:pPr>
      <w:r>
        <w:rPr>
          <w:rFonts w:hint="default" w:ascii="Times New Roman" w:hAnsi="Times New Roman" w:eastAsia="方正小标宋_GBK" w:cs="Times New Roman"/>
          <w:color w:val="auto"/>
          <w:sz w:val="40"/>
          <w:szCs w:val="40"/>
          <w:highlight w:val="none"/>
        </w:rPr>
        <w:t>营商环境</w:t>
      </w:r>
      <w:r>
        <w:rPr>
          <w:rFonts w:hint="default" w:ascii="Times New Roman" w:hAnsi="Times New Roman" w:eastAsia="方正小标宋_GBK" w:cs="Times New Roman"/>
          <w:color w:val="auto"/>
          <w:sz w:val="40"/>
          <w:szCs w:val="40"/>
          <w:highlight w:val="none"/>
          <w:lang w:eastAsia="zh-CN"/>
        </w:rPr>
        <w:t>工作</w:t>
      </w:r>
      <w:r>
        <w:rPr>
          <w:rFonts w:hint="default" w:ascii="Times New Roman" w:hAnsi="Times New Roman" w:eastAsia="方正小标宋_GBK" w:cs="Times New Roman"/>
          <w:color w:val="auto"/>
          <w:sz w:val="40"/>
          <w:szCs w:val="40"/>
          <w:highlight w:val="none"/>
        </w:rPr>
        <w:t>方案</w:t>
      </w:r>
    </w:p>
    <w:p w14:paraId="08357D6D">
      <w:pPr>
        <w:keepNext w:val="0"/>
        <w:keepLines w:val="0"/>
        <w:pageBreakBefore w:val="0"/>
        <w:widowControl w:val="0"/>
        <w:suppressLineNumbers w:val="0"/>
        <w:kinsoku/>
        <w:wordWrap/>
        <w:overflowPunct/>
        <w:topLinePunct w:val="0"/>
        <w:autoSpaceDE/>
        <w:autoSpaceDN/>
        <w:bidi w:val="0"/>
        <w:spacing w:line="578" w:lineRule="exact"/>
        <w:ind w:left="0" w:leftChars="0" w:firstLine="0" w:firstLineChars="0"/>
        <w:jc w:val="both"/>
        <w:textAlignment w:val="auto"/>
        <w:rPr>
          <w:rFonts w:hint="default" w:ascii="Times New Roman" w:hAnsi="Times New Roman" w:eastAsia="方正楷体简体" w:cs="Times New Roman"/>
          <w:i w:val="0"/>
          <w:iCs w:val="0"/>
          <w:caps w:val="0"/>
          <w:color w:val="auto"/>
          <w:spacing w:val="0"/>
          <w:kern w:val="0"/>
          <w:sz w:val="32"/>
          <w:szCs w:val="32"/>
          <w:highlight w:val="none"/>
          <w:shd w:val="clear" w:color="auto" w:fill="FFFFFF"/>
          <w:lang w:val="en-US" w:eastAsia="zh-CN" w:bidi="ar"/>
        </w:rPr>
      </w:pPr>
    </w:p>
    <w:p w14:paraId="711F680B">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rPr>
          <w:rFonts w:hint="default" w:ascii="Times New Roman" w:hAnsi="Times New Roman" w:eastAsia="方正仿宋_GBK" w:cs="Times New Roman"/>
          <w:i w:val="0"/>
          <w:iCs w:val="0"/>
          <w:caps w:val="0"/>
          <w:color w:val="auto"/>
          <w:spacing w:val="0"/>
          <w:kern w:val="0"/>
          <w:sz w:val="32"/>
          <w:szCs w:val="32"/>
          <w:highlight w:val="none"/>
          <w:shd w:val="clear" w:color="auto" w:fill="FFFFFF"/>
          <w:lang w:val="en-US" w:eastAsia="zh-CN" w:bidi="ar"/>
        </w:rPr>
      </w:pPr>
      <w:r>
        <w:rPr>
          <w:rFonts w:hint="default" w:ascii="Times New Roman" w:hAnsi="Times New Roman" w:eastAsia="方正仿宋_GBK" w:cs="Times New Roman"/>
          <w:i w:val="0"/>
          <w:iCs w:val="0"/>
          <w:caps w:val="0"/>
          <w:color w:val="auto"/>
          <w:spacing w:val="0"/>
          <w:kern w:val="0"/>
          <w:sz w:val="32"/>
          <w:szCs w:val="32"/>
          <w:highlight w:val="none"/>
          <w:shd w:val="clear" w:color="auto" w:fill="FFFFFF"/>
          <w:lang w:val="en-US" w:eastAsia="zh-CN" w:bidi="ar"/>
        </w:rPr>
        <w:t>为深入贯彻习近平总书记关于营造市场化、法治化、国际化一流营商环境的重要论述，推动有效市场和有为政府协同发力，打造产业友好、企业友好、企业家友好的营商环境，助力经营主体提质增效、健康发展，结合我区实际，制定本方案。</w:t>
      </w:r>
    </w:p>
    <w:p w14:paraId="53082419">
      <w:pPr>
        <w:keepNext w:val="0"/>
        <w:keepLines w:val="0"/>
        <w:pageBreakBefore w:val="0"/>
        <w:widowControl w:val="0"/>
        <w:numPr>
          <w:ilvl w:val="0"/>
          <w:numId w:val="1"/>
        </w:numPr>
        <w:kinsoku/>
        <w:wordWrap/>
        <w:overflowPunct/>
        <w:topLinePunct w:val="0"/>
        <w:autoSpaceDE/>
        <w:autoSpaceDN/>
        <w:bidi w:val="0"/>
        <w:adjustRightInd w:val="0"/>
        <w:snapToGrid w:val="0"/>
        <w:spacing w:line="578" w:lineRule="exact"/>
        <w:ind w:firstLine="640" w:firstLineChars="200"/>
        <w:textAlignment w:val="auto"/>
        <w:rPr>
          <w:rFonts w:hint="default" w:ascii="Times New Roman" w:hAnsi="Times New Roman" w:eastAsia="方正黑体_GBK" w:cs="Times New Roman"/>
          <w:color w:val="auto"/>
          <w:sz w:val="32"/>
          <w:szCs w:val="32"/>
          <w:highlight w:val="none"/>
          <w:lang w:val="en-US" w:eastAsia="zh-CN"/>
        </w:rPr>
      </w:pPr>
      <w:r>
        <w:rPr>
          <w:rFonts w:hint="default" w:ascii="Times New Roman" w:hAnsi="Times New Roman" w:eastAsia="方正黑体_GBK" w:cs="Times New Roman"/>
          <w:color w:val="auto"/>
          <w:sz w:val="32"/>
          <w:szCs w:val="32"/>
          <w:highlight w:val="none"/>
          <w:lang w:val="en-US" w:eastAsia="zh-CN"/>
        </w:rPr>
        <w:t>优化产业发展生态</w:t>
      </w:r>
    </w:p>
    <w:p w14:paraId="15340EB8">
      <w:pPr>
        <w:keepNext w:val="0"/>
        <w:keepLines w:val="0"/>
        <w:pageBreakBefore w:val="0"/>
        <w:widowControl w:val="0"/>
        <w:numPr>
          <w:ilvl w:val="0"/>
          <w:numId w:val="2"/>
        </w:numPr>
        <w:suppressLineNumbers w:val="0"/>
        <w:kinsoku/>
        <w:wordWrap/>
        <w:overflowPunct/>
        <w:topLinePunct w:val="0"/>
        <w:autoSpaceDE/>
        <w:autoSpaceDN/>
        <w:bidi w:val="0"/>
        <w:adjustRightInd w:val="0"/>
        <w:snapToGrid w:val="0"/>
        <w:spacing w:line="578" w:lineRule="exact"/>
        <w:ind w:leftChars="0" w:firstLine="640" w:firstLineChars="200"/>
        <w:jc w:val="both"/>
        <w:textAlignment w:val="auto"/>
        <w:rPr>
          <w:rFonts w:hint="default" w:ascii="Times New Roman" w:hAnsi="Times New Roman" w:eastAsia="方正楷体简体" w:cs="Times New Roman"/>
          <w:color w:val="auto"/>
          <w:sz w:val="32"/>
          <w:szCs w:val="32"/>
          <w:highlight w:val="none"/>
        </w:rPr>
      </w:pPr>
      <w:r>
        <w:rPr>
          <w:rFonts w:hint="default" w:ascii="Times New Roman" w:hAnsi="Times New Roman" w:eastAsia="方正仿宋_GBK" w:cs="Times New Roman"/>
          <w:color w:val="auto"/>
          <w:kern w:val="0"/>
          <w:sz w:val="32"/>
          <w:szCs w:val="32"/>
          <w:highlight w:val="none"/>
          <w:shd w:val="clear" w:color="auto" w:fill="FFFFFF"/>
          <w:lang w:val="en-US" w:eastAsia="zh-CN" w:bidi="ar"/>
        </w:rPr>
        <w:t>加强土地保障。支持在不同用途用地之间合理进行功能转换、混合设置，试行存量土地1.5级开发，将未纳入近期出让计划的储备土地，通过一定期限租赁给承租人进行过渡性开发利用，满足新兴产业、未来产业发展的新型用地需求。</w:t>
      </w:r>
      <w:r>
        <w:rPr>
          <w:rFonts w:hint="default" w:ascii="Times New Roman" w:hAnsi="Times New Roman" w:eastAsia="方正仿宋_GBK" w:cs="Times New Roman"/>
          <w:color w:val="auto"/>
          <w:sz w:val="32"/>
          <w:szCs w:val="32"/>
          <w:highlight w:val="none"/>
          <w:lang w:val="en-US" w:eastAsia="zh-CN"/>
        </w:rPr>
        <w:t>优化供地方式，鼓励产业用地采用长期租赁、先租后让、租让结合、弹性年期供应等方式供应。在产业项目招商时引导和鼓励企业结合自身需求选择合适的方式供地，提高项目落地效率，降低企业用地成本</w:t>
      </w:r>
      <w:r>
        <w:rPr>
          <w:rFonts w:hint="eastAsia" w:ascii="Times New Roman" w:hAnsi="Times New Roman" w:eastAsia="方正仿宋_GBK" w:cs="Times New Roman"/>
          <w:color w:val="auto"/>
          <w:sz w:val="32"/>
          <w:szCs w:val="32"/>
          <w:highlight w:val="none"/>
          <w:lang w:val="en-US" w:eastAsia="zh-CN"/>
        </w:rPr>
        <w:t>。</w:t>
      </w:r>
      <w:r>
        <w:rPr>
          <w:rFonts w:hint="eastAsia" w:ascii="Times New Roman" w:hAnsi="Times New Roman" w:eastAsia="方正仿宋_GBK" w:cs="方正仿宋_GBK"/>
          <w:color w:val="auto"/>
          <w:sz w:val="32"/>
          <w:szCs w:val="32"/>
          <w:highlight w:val="none"/>
          <w:lang w:val="en-US" w:eastAsia="zh-CN"/>
        </w:rPr>
        <w:t>深化“地等项目”模式，对连片工业用地实行清单化、标准化管理。建立土地储备数据库，</w:t>
      </w:r>
      <w:r>
        <w:rPr>
          <w:rFonts w:hint="eastAsia" w:ascii="Times New Roman" w:hAnsi="Times New Roman" w:eastAsia="方正仿宋_GBK" w:cs="方正仿宋_GBK"/>
          <w:i w:val="0"/>
          <w:iCs w:val="0"/>
          <w:caps w:val="0"/>
          <w:color w:val="auto"/>
          <w:spacing w:val="0"/>
          <w:kern w:val="2"/>
          <w:sz w:val="32"/>
          <w:szCs w:val="32"/>
          <w:highlight w:val="none"/>
          <w:shd w:val="clear" w:color="auto" w:fill="auto"/>
          <w:lang w:val="en-US" w:eastAsia="zh-CN" w:bidi="ar"/>
        </w:rPr>
        <w:t>严格落实“净地出让”</w:t>
      </w:r>
      <w:r>
        <w:rPr>
          <w:rFonts w:hint="eastAsia" w:ascii="Times New Roman" w:hAnsi="Times New Roman" w:eastAsia="方正仿宋_GBK" w:cs="方正仿宋_GBK"/>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提高土地产出效率。</w:t>
      </w:r>
      <w:r>
        <w:rPr>
          <w:rFonts w:hint="default" w:ascii="Times New Roman" w:hAnsi="Times New Roman" w:eastAsia="方正仿宋_GBK" w:cs="Times New Roman"/>
          <w:color w:val="auto"/>
          <w:sz w:val="32"/>
          <w:szCs w:val="32"/>
          <w:highlight w:val="none"/>
        </w:rPr>
        <w:t>每年刚性预留不少于</w:t>
      </w:r>
      <w:r>
        <w:rPr>
          <w:rFonts w:hint="default" w:ascii="Times New Roman" w:hAnsi="Times New Roman" w:eastAsia="方正仿宋_GBK" w:cs="Times New Roman"/>
          <w:color w:val="auto"/>
          <w:sz w:val="32"/>
          <w:szCs w:val="32"/>
          <w:highlight w:val="none"/>
          <w:lang w:eastAsia="zh-CN"/>
        </w:rPr>
        <w:t>4</w:t>
      </w:r>
      <w:r>
        <w:rPr>
          <w:rFonts w:hint="default" w:ascii="Times New Roman" w:hAnsi="Times New Roman" w:eastAsia="方正仿宋_GBK" w:cs="Times New Roman"/>
          <w:color w:val="auto"/>
          <w:sz w:val="32"/>
          <w:szCs w:val="32"/>
          <w:highlight w:val="none"/>
        </w:rPr>
        <w:t>00亩连片工业用地，作为重大产业项目</w:t>
      </w:r>
      <w:r>
        <w:rPr>
          <w:rFonts w:hint="eastAsia" w:ascii="Times New Roman" w:hAnsi="Times New Roman" w:eastAsia="方正仿宋_GBK" w:cs="Times New Roman"/>
          <w:color w:val="auto"/>
          <w:sz w:val="32"/>
          <w:szCs w:val="32"/>
          <w:highlight w:val="none"/>
          <w:lang w:val="en-US" w:eastAsia="zh-CN"/>
        </w:rPr>
        <w:t>熟地</w:t>
      </w:r>
      <w:r>
        <w:rPr>
          <w:rFonts w:hint="default" w:ascii="Times New Roman" w:hAnsi="Times New Roman" w:eastAsia="方正仿宋_GBK" w:cs="Times New Roman"/>
          <w:color w:val="auto"/>
          <w:sz w:val="32"/>
          <w:szCs w:val="32"/>
          <w:highlight w:val="none"/>
        </w:rPr>
        <w:t>预留，保障重大项目快速落地；同步规划布局15-50亩中小型标准地块，</w:t>
      </w:r>
      <w:r>
        <w:rPr>
          <w:rFonts w:hint="default" w:ascii="Times New Roman" w:hAnsi="Times New Roman" w:eastAsia="方正仿宋_GBK" w:cs="Times New Roman"/>
          <w:b w:val="0"/>
          <w:bCs w:val="0"/>
          <w:color w:val="auto"/>
          <w:sz w:val="32"/>
          <w:szCs w:val="32"/>
          <w:highlight w:val="none"/>
        </w:rPr>
        <w:t>满足符合我区产业发展方向、技术含量高、高成长性的中小企业、</w:t>
      </w:r>
      <w:r>
        <w:rPr>
          <w:rFonts w:hint="eastAsia" w:ascii="Times New Roman" w:hAnsi="Times New Roman" w:eastAsia="方正仿宋_GBK" w:cs="方正仿宋_GBK"/>
          <w:b w:val="0"/>
          <w:bCs w:val="0"/>
          <w:color w:val="auto"/>
          <w:sz w:val="32"/>
          <w:szCs w:val="32"/>
          <w:highlight w:val="none"/>
        </w:rPr>
        <w:t>专精特新“小巨人”企业的快速落地和个性化建设需求</w:t>
      </w:r>
      <w:r>
        <w:rPr>
          <w:rFonts w:hint="eastAsia" w:ascii="Times New Roman" w:hAnsi="Times New Roman" w:eastAsia="方正仿宋_GBK" w:cs="方正仿宋_GBK"/>
          <w:color w:val="auto"/>
          <w:sz w:val="32"/>
          <w:szCs w:val="32"/>
          <w:highlight w:val="none"/>
          <w:lang w:eastAsia="zh-CN"/>
        </w:rPr>
        <w:t>。</w:t>
      </w:r>
      <w:r>
        <w:rPr>
          <w:rFonts w:hint="default" w:ascii="Times New Roman" w:hAnsi="Times New Roman" w:eastAsia="方正楷体_GBK" w:cs="Times New Roman"/>
          <w:color w:val="auto"/>
          <w:sz w:val="32"/>
          <w:szCs w:val="32"/>
          <w:highlight w:val="none"/>
          <w:lang w:val="en-US" w:eastAsia="zh-CN"/>
        </w:rPr>
        <w:t>（区自然资源局牵头）</w:t>
      </w:r>
    </w:p>
    <w:p w14:paraId="60E94A57">
      <w:pPr>
        <w:keepNext w:val="0"/>
        <w:keepLines w:val="0"/>
        <w:pageBreakBefore w:val="0"/>
        <w:widowControl w:val="0"/>
        <w:numPr>
          <w:ilvl w:val="0"/>
          <w:numId w:val="2"/>
        </w:numPr>
        <w:suppressLineNumbers w:val="0"/>
        <w:kinsoku/>
        <w:wordWrap/>
        <w:overflowPunct/>
        <w:topLinePunct w:val="0"/>
        <w:autoSpaceDE/>
        <w:autoSpaceDN/>
        <w:bidi w:val="0"/>
        <w:adjustRightInd w:val="0"/>
        <w:snapToGrid w:val="0"/>
        <w:spacing w:line="578" w:lineRule="exact"/>
        <w:ind w:leftChars="0" w:firstLine="640" w:firstLineChars="200"/>
        <w:jc w:val="both"/>
        <w:textAlignment w:val="auto"/>
        <w:rPr>
          <w:rFonts w:hint="default" w:ascii="Times New Roman" w:hAnsi="Times New Roman" w:eastAsia="方正楷体_GBK" w:cs="Times New Roman"/>
          <w:color w:val="auto"/>
          <w:sz w:val="32"/>
          <w:szCs w:val="32"/>
          <w:highlight w:val="none"/>
          <w:lang w:val="en-US" w:eastAsia="zh-CN"/>
        </w:rPr>
      </w:pPr>
      <w:r>
        <w:rPr>
          <w:rFonts w:hint="default" w:ascii="Times New Roman" w:hAnsi="Times New Roman" w:eastAsia="方正楷体_GBK" w:cs="Times New Roman"/>
          <w:color w:val="auto"/>
          <w:sz w:val="32"/>
          <w:szCs w:val="32"/>
          <w:highlight w:val="none"/>
          <w:lang w:val="en-US" w:eastAsia="zh-CN"/>
        </w:rPr>
        <w:t>优化园区服务。</w:t>
      </w:r>
      <w:r>
        <w:rPr>
          <w:rFonts w:hint="default" w:ascii="Times New Roman" w:hAnsi="Times New Roman" w:eastAsia="方正仿宋_GBK" w:cs="Times New Roman"/>
          <w:color w:val="auto"/>
          <w:sz w:val="32"/>
          <w:szCs w:val="32"/>
          <w:highlight w:val="none"/>
          <w:lang w:val="en-US" w:eastAsia="zh-CN"/>
        </w:rPr>
        <w:t>提升园区规划、建设、管理水平，制定园区三年行动专项方案，</w:t>
      </w:r>
      <w:r>
        <w:rPr>
          <w:rFonts w:hint="eastAsia" w:ascii="Times New Roman" w:hAnsi="Times New Roman" w:eastAsia="方正仿宋_GBK" w:cs="Times New Roman"/>
          <w:color w:val="auto"/>
          <w:sz w:val="32"/>
          <w:szCs w:val="32"/>
          <w:highlight w:val="none"/>
          <w:lang w:val="en-US" w:eastAsia="zh-CN"/>
        </w:rPr>
        <w:t>针对辖区产业人口集中、园区消费配套不足现状，加快机器人产业园工业邻里中心商业板块建设运营，统筹谋划安全应急产业园二期邻里中心布局建设，集聚产业人群生活消费业态，补齐城市服务配套短板。</w:t>
      </w:r>
      <w:r>
        <w:rPr>
          <w:rFonts w:hint="default" w:ascii="Times New Roman" w:hAnsi="Times New Roman" w:eastAsia="方正仿宋_GBK" w:cs="Times New Roman"/>
          <w:color w:val="auto"/>
          <w:sz w:val="32"/>
          <w:szCs w:val="32"/>
          <w:highlight w:val="none"/>
        </w:rPr>
        <w:t>升级改造的村镇工业集聚区</w:t>
      </w:r>
      <w:r>
        <w:rPr>
          <w:rFonts w:hint="eastAsia"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val="en-US" w:eastAsia="zh-CN"/>
        </w:rPr>
        <w:t>进行高标准规划设计，使地块方正规整，道路横平竖直，停车设施充足，景观协调优美。</w:t>
      </w:r>
      <w:r>
        <w:rPr>
          <w:rFonts w:hint="default" w:ascii="Times New Roman" w:hAnsi="Times New Roman" w:eastAsia="方正楷体_GBK" w:cs="Times New Roman"/>
          <w:color w:val="auto"/>
          <w:sz w:val="32"/>
          <w:szCs w:val="32"/>
          <w:highlight w:val="none"/>
          <w:lang w:val="en-US" w:eastAsia="zh-CN"/>
        </w:rPr>
        <w:t>（</w:t>
      </w:r>
      <w:r>
        <w:rPr>
          <w:rFonts w:hint="eastAsia" w:ascii="Times New Roman" w:hAnsi="Times New Roman" w:eastAsia="方正楷体_GBK" w:cs="Times New Roman"/>
          <w:color w:val="auto"/>
          <w:sz w:val="32"/>
          <w:szCs w:val="32"/>
          <w:highlight w:val="none"/>
          <w:lang w:val="en-US" w:eastAsia="zh-CN"/>
        </w:rPr>
        <w:t>责任单位：区国资局、</w:t>
      </w:r>
      <w:r>
        <w:rPr>
          <w:rFonts w:hint="default" w:ascii="Times New Roman" w:hAnsi="Times New Roman" w:eastAsia="方正楷体_GBK" w:cs="Times New Roman"/>
          <w:color w:val="auto"/>
          <w:sz w:val="32"/>
          <w:szCs w:val="32"/>
          <w:highlight w:val="none"/>
          <w:lang w:val="en-US" w:eastAsia="zh-CN"/>
        </w:rPr>
        <w:t>区经济促进局、区自然资源局、区住房城乡建设局、各街道）</w:t>
      </w:r>
      <w:r>
        <w:rPr>
          <w:rFonts w:hint="eastAsia" w:ascii="Times New Roman" w:hAnsi="Times New Roman" w:eastAsia="方正仿宋_GBK" w:cs="Times New Roman"/>
          <w:b w:val="0"/>
          <w:bCs w:val="0"/>
          <w:color w:val="auto"/>
          <w:sz w:val="32"/>
          <w:szCs w:val="32"/>
          <w:highlight w:val="none"/>
          <w:lang w:val="en-US" w:eastAsia="zh-CN"/>
        </w:rPr>
        <w:t>积极招引</w:t>
      </w:r>
      <w:r>
        <w:rPr>
          <w:rFonts w:hint="default" w:ascii="Times New Roman" w:hAnsi="Times New Roman" w:eastAsia="方正仿宋_GBK" w:cs="Times New Roman"/>
          <w:b w:val="0"/>
          <w:bCs w:val="0"/>
          <w:color w:val="auto"/>
          <w:sz w:val="32"/>
          <w:szCs w:val="32"/>
          <w:highlight w:val="none"/>
          <w:lang w:eastAsia="zh-CN"/>
        </w:rPr>
        <w:t>产业园区专业服务机构，为企业提供技术创新、市场拓展、人员招聘、标准制定等增值化服务。</w:t>
      </w:r>
      <w:r>
        <w:rPr>
          <w:rFonts w:hint="default" w:ascii="Times New Roman" w:hAnsi="Times New Roman" w:eastAsia="方正楷体_GBK" w:cs="Times New Roman"/>
          <w:color w:val="auto"/>
          <w:sz w:val="32"/>
          <w:szCs w:val="32"/>
          <w:highlight w:val="none"/>
          <w:lang w:val="en-US" w:eastAsia="zh-CN"/>
        </w:rPr>
        <w:t>（</w:t>
      </w:r>
      <w:r>
        <w:rPr>
          <w:rFonts w:hint="eastAsia" w:ascii="Times New Roman" w:hAnsi="Times New Roman" w:eastAsia="方正楷体_GBK" w:cs="Times New Roman"/>
          <w:color w:val="auto"/>
          <w:sz w:val="32"/>
          <w:szCs w:val="32"/>
          <w:highlight w:val="none"/>
          <w:lang w:val="en-US" w:eastAsia="zh-CN"/>
        </w:rPr>
        <w:t>责任单位：</w:t>
      </w:r>
      <w:r>
        <w:rPr>
          <w:rFonts w:hint="default" w:ascii="Times New Roman" w:hAnsi="Times New Roman" w:eastAsia="方正楷体_GBK" w:cs="Times New Roman"/>
          <w:color w:val="auto"/>
          <w:sz w:val="32"/>
          <w:szCs w:val="32"/>
          <w:highlight w:val="none"/>
          <w:lang w:val="en-US" w:eastAsia="zh-CN"/>
        </w:rPr>
        <w:t>区投资促进局、区科技局、区企业发展服务中心）</w:t>
      </w:r>
      <w:r>
        <w:rPr>
          <w:rFonts w:hint="default" w:ascii="Times New Roman" w:hAnsi="Times New Roman" w:eastAsia="方正仿宋_GBK" w:cs="Times New Roman"/>
          <w:color w:val="auto"/>
          <w:sz w:val="32"/>
          <w:szCs w:val="32"/>
          <w:highlight w:val="none"/>
          <w:lang w:eastAsia="zh-CN"/>
        </w:rPr>
        <w:t>加强特色产业园区概念验证平台、专业孵化器、中试平台等成果转化和服务促进机构建设。</w:t>
      </w:r>
      <w:r>
        <w:rPr>
          <w:rFonts w:hint="default" w:ascii="Times New Roman" w:hAnsi="Times New Roman" w:eastAsia="方正楷体_GBK" w:cs="Times New Roman"/>
          <w:color w:val="auto"/>
          <w:sz w:val="32"/>
          <w:szCs w:val="32"/>
          <w:highlight w:val="none"/>
          <w:lang w:eastAsia="zh-CN"/>
        </w:rPr>
        <w:t>（</w:t>
      </w:r>
      <w:r>
        <w:rPr>
          <w:rFonts w:hint="eastAsia" w:ascii="Times New Roman" w:hAnsi="Times New Roman" w:eastAsia="方正楷体_GBK" w:cs="Times New Roman"/>
          <w:color w:val="auto"/>
          <w:sz w:val="32"/>
          <w:szCs w:val="32"/>
          <w:highlight w:val="none"/>
          <w:lang w:val="en-US" w:eastAsia="zh-CN"/>
        </w:rPr>
        <w:t>责任单位：</w:t>
      </w:r>
      <w:r>
        <w:rPr>
          <w:rFonts w:hint="default" w:ascii="Times New Roman" w:hAnsi="Times New Roman" w:eastAsia="方正楷体_GBK" w:cs="Times New Roman"/>
          <w:color w:val="auto"/>
          <w:sz w:val="32"/>
          <w:szCs w:val="32"/>
          <w:highlight w:val="none"/>
          <w:lang w:val="en-US" w:eastAsia="zh-CN"/>
        </w:rPr>
        <w:t>区</w:t>
      </w:r>
      <w:r>
        <w:rPr>
          <w:rFonts w:hint="default" w:ascii="Times New Roman" w:hAnsi="Times New Roman" w:eastAsia="方正楷体_GBK" w:cs="Times New Roman"/>
          <w:color w:val="auto"/>
          <w:sz w:val="32"/>
          <w:szCs w:val="32"/>
          <w:highlight w:val="none"/>
          <w:lang w:eastAsia="zh-CN"/>
        </w:rPr>
        <w:t>科技局、区发展改革局</w:t>
      </w:r>
      <w:r>
        <w:rPr>
          <w:rFonts w:hint="eastAsia" w:ascii="Times New Roman" w:hAnsi="Times New Roman" w:eastAsia="方正楷体_GBK" w:cs="Times New Roman"/>
          <w:color w:val="auto"/>
          <w:sz w:val="32"/>
          <w:szCs w:val="32"/>
          <w:highlight w:val="none"/>
          <w:lang w:eastAsia="zh-CN"/>
        </w:rPr>
        <w:t>）</w:t>
      </w:r>
      <w:r>
        <w:rPr>
          <w:rFonts w:hint="eastAsia" w:ascii="Times New Roman" w:hAnsi="Times New Roman" w:eastAsia="方正仿宋_GBK" w:cs="Times New Roman"/>
          <w:i w:val="0"/>
          <w:iCs w:val="0"/>
          <w:caps w:val="0"/>
          <w:color w:val="auto"/>
          <w:spacing w:val="0"/>
          <w:kern w:val="2"/>
          <w:sz w:val="32"/>
          <w:szCs w:val="32"/>
          <w:highlight w:val="none"/>
          <w:shd w:val="clear" w:color="auto" w:fill="auto"/>
          <w:lang w:val="en-US" w:eastAsia="zh-CN" w:bidi="ar"/>
        </w:rPr>
        <w:t>在</w:t>
      </w:r>
      <w:r>
        <w:rPr>
          <w:rFonts w:hint="default" w:ascii="Times New Roman" w:hAnsi="Times New Roman" w:eastAsia="方正仿宋_GBK" w:cs="Times New Roman"/>
          <w:i w:val="0"/>
          <w:iCs w:val="0"/>
          <w:caps w:val="0"/>
          <w:color w:val="auto"/>
          <w:spacing w:val="0"/>
          <w:kern w:val="2"/>
          <w:sz w:val="32"/>
          <w:szCs w:val="32"/>
          <w:highlight w:val="none"/>
          <w:shd w:val="clear" w:color="auto" w:fill="auto"/>
          <w:lang w:val="en-US" w:eastAsia="zh-CN" w:bidi="ar"/>
        </w:rPr>
        <w:t>产业园区配建宿舍型保障性租赁住房。鼓励企事业单位利用自有存量土地建设保障性租赁住房，或将存量闲置物业改建为保障性租赁住房。在满足自身需求后，剩余房源可面向周边企业员工开放入住。</w:t>
      </w:r>
      <w:r>
        <w:rPr>
          <w:rFonts w:hint="default" w:ascii="Times New Roman" w:hAnsi="Times New Roman" w:eastAsia="方正楷体_GBK" w:cs="Times New Roman"/>
          <w:color w:val="auto"/>
          <w:sz w:val="32"/>
          <w:szCs w:val="32"/>
          <w:highlight w:val="none"/>
          <w:lang w:val="en-US" w:eastAsia="zh-CN"/>
        </w:rPr>
        <w:t>（</w:t>
      </w:r>
      <w:r>
        <w:rPr>
          <w:rFonts w:hint="eastAsia" w:ascii="Times New Roman" w:hAnsi="Times New Roman" w:eastAsia="方正楷体_GBK" w:cs="Times New Roman"/>
          <w:color w:val="auto"/>
          <w:sz w:val="32"/>
          <w:szCs w:val="32"/>
          <w:highlight w:val="none"/>
          <w:lang w:val="en-US" w:eastAsia="zh-CN"/>
        </w:rPr>
        <w:t>责任单位：</w:t>
      </w:r>
      <w:r>
        <w:rPr>
          <w:rFonts w:hint="default" w:ascii="Times New Roman" w:hAnsi="Times New Roman" w:eastAsia="方正楷体_GBK" w:cs="Times New Roman"/>
          <w:color w:val="auto"/>
          <w:sz w:val="32"/>
          <w:szCs w:val="32"/>
          <w:highlight w:val="none"/>
          <w:lang w:val="en-US" w:eastAsia="zh-CN"/>
        </w:rPr>
        <w:t>区住房城乡建设局、区自然资源局）</w:t>
      </w:r>
    </w:p>
    <w:p w14:paraId="293B4F84">
      <w:pPr>
        <w:keepNext w:val="0"/>
        <w:keepLines w:val="0"/>
        <w:pageBreakBefore w:val="0"/>
        <w:widowControl w:val="0"/>
        <w:numPr>
          <w:ilvl w:val="0"/>
          <w:numId w:val="2"/>
        </w:numPr>
        <w:suppressLineNumbers w:val="0"/>
        <w:kinsoku/>
        <w:wordWrap/>
        <w:overflowPunct/>
        <w:topLinePunct w:val="0"/>
        <w:autoSpaceDE/>
        <w:autoSpaceDN/>
        <w:bidi w:val="0"/>
        <w:adjustRightInd w:val="0"/>
        <w:snapToGrid w:val="0"/>
        <w:spacing w:line="578" w:lineRule="exact"/>
        <w:ind w:leftChars="0" w:firstLine="640" w:firstLineChars="200"/>
        <w:jc w:val="both"/>
        <w:textAlignment w:val="auto"/>
        <w:rPr>
          <w:rFonts w:hint="default" w:ascii="Times New Roman" w:hAnsi="Times New Roman" w:eastAsia="方正楷体_GBK" w:cs="Times New Roman"/>
          <w:color w:val="auto"/>
          <w:sz w:val="32"/>
          <w:szCs w:val="32"/>
          <w:highlight w:val="none"/>
          <w:lang w:val="en-US" w:eastAsia="zh-CN"/>
        </w:rPr>
      </w:pPr>
      <w:r>
        <w:rPr>
          <w:rFonts w:hint="default" w:ascii="Times New Roman" w:hAnsi="Times New Roman" w:eastAsia="方正楷体_GBK" w:cs="Times New Roman"/>
          <w:color w:val="auto"/>
          <w:sz w:val="32"/>
          <w:szCs w:val="32"/>
          <w:highlight w:val="none"/>
          <w:lang w:val="en-US" w:eastAsia="zh-CN"/>
        </w:rPr>
        <w:t>强化人才服务。</w:t>
      </w:r>
      <w:r>
        <w:rPr>
          <w:rFonts w:hint="default" w:ascii="Times New Roman" w:hAnsi="Times New Roman" w:eastAsia="方正仿宋_GBK" w:cs="Times New Roman"/>
          <w:color w:val="auto"/>
          <w:sz w:val="32"/>
          <w:szCs w:val="32"/>
          <w:highlight w:val="none"/>
          <w:lang w:eastAsia="zh-CN" w:bidi="ar"/>
        </w:rPr>
        <w:t>实施家门口就业服务圈提质增效计划，建立完善15分钟就业服务圈，</w:t>
      </w:r>
      <w:r>
        <w:rPr>
          <w:rFonts w:hint="eastAsia" w:ascii="Times New Roman" w:hAnsi="Times New Roman" w:eastAsia="方正仿宋_GBK" w:cs="方正仿宋_GBK"/>
          <w:color w:val="auto"/>
          <w:sz w:val="32"/>
          <w:szCs w:val="32"/>
          <w:highlight w:val="none"/>
          <w:lang w:eastAsia="zh-CN" w:bidi="ar"/>
        </w:rPr>
        <w:t>提升村社区“家门口”就业服务点功能，建强零工市场、邮政、商圈等就业驿站，在人流密集的市集、商场等设置就业服务点，将就业服务点“搬”到群众家门口，现场搭建招聘对接平台，定期开展小型集市招聘会，联动企业面对面招人。</w:t>
      </w:r>
      <w:r>
        <w:rPr>
          <w:rFonts w:hint="eastAsia" w:ascii="Times New Roman" w:hAnsi="Times New Roman" w:eastAsia="方正仿宋_GBK" w:cs="方正仿宋_GBK"/>
          <w:color w:val="auto"/>
          <w:sz w:val="32"/>
          <w:szCs w:val="32"/>
          <w:highlight w:val="none"/>
        </w:rPr>
        <w:t>深化职称制度改革，支持业绩突出的工程师直接申报中级职称，鼓励技能人才、专业技术人员通过贯通条件参与职称评审和职业技能等级认定。推进</w:t>
      </w:r>
      <w:r>
        <w:rPr>
          <w:rFonts w:hint="eastAsia" w:ascii="Times New Roman" w:hAnsi="Times New Roman" w:eastAsia="方正仿宋_GBK" w:cs="方正仿宋_GBK"/>
          <w:color w:val="auto"/>
          <w:sz w:val="32"/>
          <w:szCs w:val="32"/>
          <w:highlight w:val="none"/>
          <w:lang w:eastAsia="zh-CN"/>
        </w:rPr>
        <w:t>“</w:t>
      </w:r>
      <w:r>
        <w:rPr>
          <w:rFonts w:hint="eastAsia" w:ascii="Times New Roman" w:hAnsi="Times New Roman" w:eastAsia="方正仿宋_GBK" w:cs="方正仿宋_GBK"/>
          <w:color w:val="auto"/>
          <w:sz w:val="32"/>
          <w:szCs w:val="32"/>
          <w:highlight w:val="none"/>
        </w:rPr>
        <w:t>园区技校</w:t>
      </w:r>
      <w:r>
        <w:rPr>
          <w:rFonts w:hint="eastAsia" w:ascii="Times New Roman" w:hAnsi="Times New Roman" w:eastAsia="方正仿宋_GBK" w:cs="方正仿宋_GBK"/>
          <w:color w:val="auto"/>
          <w:sz w:val="32"/>
          <w:szCs w:val="32"/>
          <w:highlight w:val="none"/>
          <w:lang w:eastAsia="zh-CN"/>
        </w:rPr>
        <w:t>”</w:t>
      </w:r>
      <w:r>
        <w:rPr>
          <w:rFonts w:hint="eastAsia" w:ascii="Times New Roman" w:hAnsi="Times New Roman" w:eastAsia="方正仿宋_GBK" w:cs="方正仿宋_GBK"/>
          <w:color w:val="auto"/>
          <w:sz w:val="32"/>
          <w:szCs w:val="32"/>
          <w:highlight w:val="none"/>
        </w:rPr>
        <w:t>项目，</w:t>
      </w:r>
      <w:r>
        <w:rPr>
          <w:rFonts w:hint="eastAsia" w:ascii="Times New Roman" w:hAnsi="Times New Roman" w:eastAsia="方正仿宋_GBK" w:cs="方正仿宋_GBK"/>
          <w:color w:val="auto"/>
          <w:sz w:val="32"/>
          <w:szCs w:val="32"/>
          <w:highlight w:val="none"/>
          <w:lang w:bidi="ar"/>
        </w:rPr>
        <w:t>支持“产教评”技能生态链链主培育单位开发培训课程和项目评价规范标准，</w:t>
      </w:r>
      <w:r>
        <w:rPr>
          <w:rFonts w:hint="eastAsia" w:ascii="Times New Roman" w:hAnsi="Times New Roman" w:eastAsia="方正仿宋_GBK" w:cs="方正仿宋_GBK"/>
          <w:color w:val="auto"/>
          <w:sz w:val="32"/>
          <w:szCs w:val="32"/>
          <w:highlight w:val="none"/>
        </w:rPr>
        <w:t>为企业提供个性化技能人才培训服务</w:t>
      </w:r>
      <w:r>
        <w:rPr>
          <w:rFonts w:hint="eastAsia" w:ascii="Times New Roman" w:hAnsi="Times New Roman" w:eastAsia="方正仿宋_GBK" w:cs="方正仿宋_GBK"/>
          <w:color w:val="auto"/>
          <w:sz w:val="32"/>
          <w:szCs w:val="32"/>
          <w:highlight w:val="none"/>
          <w:lang w:bidi="ar"/>
        </w:rPr>
        <w:t>。</w:t>
      </w:r>
      <w:r>
        <w:rPr>
          <w:rFonts w:hint="eastAsia" w:ascii="Times New Roman" w:hAnsi="Times New Roman" w:eastAsia="方正仿宋_GBK" w:cs="方正仿宋_GBK"/>
          <w:i w:val="0"/>
          <w:iCs w:val="0"/>
          <w:color w:val="auto"/>
          <w:kern w:val="2"/>
          <w:sz w:val="32"/>
          <w:szCs w:val="32"/>
          <w:highlight w:val="none"/>
          <w:u w:val="none"/>
          <w:lang w:val="en-US" w:eastAsia="zh-CN" w:bidi="ar"/>
        </w:rPr>
        <w:t>收集辖区内职业培训需求，分类提供家政托育、新兴技术、智能制造等不同领域职业技能培训，并按规定给予差异化职业培训补贴。</w:t>
      </w:r>
      <w:r>
        <w:rPr>
          <w:rFonts w:hint="eastAsia" w:ascii="Times New Roman" w:hAnsi="Times New Roman" w:eastAsia="方正仿宋_GBK" w:cs="方正仿宋_GBK"/>
          <w:color w:val="auto"/>
          <w:sz w:val="32"/>
          <w:szCs w:val="32"/>
          <w:highlight w:val="none"/>
          <w:lang w:eastAsia="zh-CN"/>
        </w:rPr>
        <w:t>落实领导干部联系服务高层次人才制度，建立需求跟踪台账并定期回访，切实提升人才的获得感。持续打造“经纶江海”人才活动品牌，精准聚焦人才创新创业核心诉求和重点产业的未来方向，策划举办一批如产业技术交流会、企业家沙龙、高层次人才项目对接会等人才创新创业相关的深度服务，提升人才与项目、资源对接成效。携手区内优质商户和服务机构组建“人才服务联盟”，为人才群体提供优待服务。</w:t>
      </w:r>
      <w:r>
        <w:rPr>
          <w:rFonts w:hint="default" w:ascii="Times New Roman" w:hAnsi="Times New Roman" w:eastAsia="方正楷体_GBK" w:cs="Times New Roman"/>
          <w:color w:val="auto"/>
          <w:sz w:val="32"/>
          <w:szCs w:val="32"/>
          <w:highlight w:val="none"/>
          <w:lang w:val="en-US" w:eastAsia="zh-CN"/>
        </w:rPr>
        <w:t>（</w:t>
      </w:r>
      <w:r>
        <w:rPr>
          <w:rFonts w:hint="eastAsia" w:ascii="Times New Roman" w:hAnsi="Times New Roman" w:eastAsia="方正楷体_GBK" w:cs="Times New Roman"/>
          <w:color w:val="auto"/>
          <w:sz w:val="32"/>
          <w:szCs w:val="32"/>
          <w:highlight w:val="none"/>
          <w:lang w:val="en-US" w:eastAsia="zh-CN"/>
        </w:rPr>
        <w:t>责任单位：</w:t>
      </w:r>
      <w:r>
        <w:rPr>
          <w:rFonts w:hint="default" w:ascii="Times New Roman" w:hAnsi="Times New Roman" w:eastAsia="方正楷体_GBK" w:cs="Times New Roman"/>
          <w:color w:val="auto"/>
          <w:sz w:val="32"/>
          <w:szCs w:val="32"/>
          <w:highlight w:val="none"/>
          <w:lang w:val="en-US" w:eastAsia="zh-CN"/>
        </w:rPr>
        <w:t>区人力资源社会保障局</w:t>
      </w:r>
      <w:r>
        <w:rPr>
          <w:rFonts w:hint="eastAsia" w:ascii="Times New Roman" w:hAnsi="Times New Roman" w:eastAsia="方正楷体_GBK" w:cs="Times New Roman"/>
          <w:color w:val="auto"/>
          <w:sz w:val="32"/>
          <w:szCs w:val="32"/>
          <w:highlight w:val="none"/>
          <w:lang w:val="en-US" w:eastAsia="zh-CN"/>
        </w:rPr>
        <w:t>、</w:t>
      </w:r>
      <w:r>
        <w:rPr>
          <w:rFonts w:hint="default" w:ascii="Times New Roman" w:hAnsi="Times New Roman" w:eastAsia="方正楷体_GBK" w:cs="Times New Roman"/>
          <w:color w:val="auto"/>
          <w:sz w:val="32"/>
          <w:szCs w:val="32"/>
          <w:highlight w:val="none"/>
          <w:lang w:val="en-US" w:eastAsia="zh-CN"/>
        </w:rPr>
        <w:t>区人才工作局）</w:t>
      </w:r>
    </w:p>
    <w:p w14:paraId="150830C2">
      <w:pPr>
        <w:keepNext w:val="0"/>
        <w:keepLines w:val="0"/>
        <w:pageBreakBefore w:val="0"/>
        <w:widowControl w:val="0"/>
        <w:numPr>
          <w:ilvl w:val="0"/>
          <w:numId w:val="2"/>
        </w:numPr>
        <w:suppressLineNumbers w:val="0"/>
        <w:kinsoku/>
        <w:wordWrap/>
        <w:overflowPunct/>
        <w:topLinePunct w:val="0"/>
        <w:autoSpaceDE/>
        <w:autoSpaceDN/>
        <w:bidi w:val="0"/>
        <w:adjustRightInd w:val="0"/>
        <w:snapToGrid w:val="0"/>
        <w:spacing w:line="578" w:lineRule="exact"/>
        <w:ind w:leftChars="0" w:firstLine="640" w:firstLineChars="200"/>
        <w:jc w:val="both"/>
        <w:textAlignment w:val="auto"/>
        <w:rPr>
          <w:rFonts w:hint="default" w:ascii="Times New Roman" w:hAnsi="Times New Roman" w:eastAsia="方正楷体_GBK" w:cs="Times New Roman"/>
          <w:color w:val="auto"/>
          <w:sz w:val="32"/>
          <w:szCs w:val="32"/>
          <w:highlight w:val="none"/>
          <w:lang w:val="en-US" w:eastAsia="zh-CN"/>
        </w:rPr>
      </w:pPr>
      <w:r>
        <w:rPr>
          <w:rFonts w:hint="default" w:ascii="Times New Roman" w:hAnsi="Times New Roman" w:eastAsia="方正楷体_GBK" w:cs="Times New Roman"/>
          <w:color w:val="auto"/>
          <w:sz w:val="32"/>
          <w:szCs w:val="32"/>
          <w:highlight w:val="none"/>
          <w:lang w:val="en-US" w:eastAsia="zh-CN"/>
        </w:rPr>
        <w:t>加大融资服务力度。</w:t>
      </w:r>
      <w:r>
        <w:rPr>
          <w:rFonts w:hint="eastAsia" w:ascii="Times New Roman" w:hAnsi="Times New Roman" w:eastAsia="方正仿宋_GBK" w:cs="方正仿宋_GBK"/>
          <w:color w:val="auto"/>
          <w:sz w:val="32"/>
          <w:szCs w:val="32"/>
          <w:highlight w:val="none"/>
          <w:lang w:bidi="ar"/>
        </w:rPr>
        <w:t>落实“两重”“两新”、新型政策性金融工具等政策，加大培训解读和项目谋划力度，服务更多民营企业争取国家资金支持。用好中小微企业贷款贴息、设备更新贷款贴息和民间投资专项担保等国家财政金融协同促内需政策。</w:t>
      </w:r>
      <w:r>
        <w:rPr>
          <w:rFonts w:hint="default" w:ascii="Times New Roman" w:hAnsi="Times New Roman" w:eastAsia="方正楷体_GBK" w:cs="Times New Roman"/>
          <w:color w:val="auto"/>
          <w:sz w:val="32"/>
          <w:szCs w:val="32"/>
          <w:highlight w:val="none"/>
          <w:lang w:val="en-US" w:eastAsia="zh-CN"/>
        </w:rPr>
        <w:t>（</w:t>
      </w:r>
      <w:r>
        <w:rPr>
          <w:rFonts w:hint="eastAsia" w:ascii="Times New Roman" w:hAnsi="Times New Roman" w:eastAsia="方正楷体_GBK" w:cs="Times New Roman"/>
          <w:color w:val="auto"/>
          <w:sz w:val="32"/>
          <w:szCs w:val="32"/>
          <w:highlight w:val="none"/>
          <w:lang w:val="en-US" w:eastAsia="zh-CN"/>
        </w:rPr>
        <w:t>责任单位：</w:t>
      </w:r>
      <w:r>
        <w:rPr>
          <w:rFonts w:hint="default" w:ascii="Times New Roman" w:hAnsi="Times New Roman" w:eastAsia="方正楷体_GBK" w:cs="Times New Roman"/>
          <w:color w:val="auto"/>
          <w:sz w:val="32"/>
          <w:szCs w:val="32"/>
          <w:highlight w:val="none"/>
          <w:lang w:val="en-US" w:eastAsia="zh-CN"/>
        </w:rPr>
        <w:t>区政府办公室、区发展改革局、区财政局）</w:t>
      </w:r>
      <w:r>
        <w:rPr>
          <w:rFonts w:hint="eastAsia" w:ascii="Times New Roman" w:hAnsi="Times New Roman" w:eastAsia="方正仿宋_GBK" w:cs="方正仿宋_GBK"/>
          <w:color w:val="auto"/>
          <w:sz w:val="32"/>
          <w:szCs w:val="32"/>
          <w:highlight w:val="none"/>
          <w:lang w:bidi="ar"/>
        </w:rPr>
        <w:t>用好粤港澳大湾区创业投资引导基金、江门市高质量创业投资基金</w:t>
      </w:r>
      <w:r>
        <w:rPr>
          <w:rFonts w:hint="eastAsia" w:ascii="Times New Roman" w:hAnsi="Times New Roman" w:eastAsia="方正仿宋_GBK" w:cs="方正仿宋_GBK"/>
          <w:color w:val="auto"/>
          <w:sz w:val="32"/>
          <w:szCs w:val="32"/>
          <w:highlight w:val="none"/>
          <w:lang w:eastAsia="zh-CN" w:bidi="ar"/>
        </w:rPr>
        <w:t>、江门高新粤科产业发展基金</w:t>
      </w:r>
      <w:r>
        <w:rPr>
          <w:rFonts w:hint="eastAsia" w:ascii="Times New Roman" w:hAnsi="Times New Roman" w:eastAsia="方正仿宋_GBK" w:cs="方正仿宋_GBK"/>
          <w:color w:val="auto"/>
          <w:sz w:val="32"/>
          <w:szCs w:val="32"/>
          <w:highlight w:val="none"/>
          <w:lang w:bidi="ar"/>
        </w:rPr>
        <w:t>等政府投资基金</w:t>
      </w:r>
      <w:r>
        <w:rPr>
          <w:rFonts w:hint="eastAsia" w:ascii="Times New Roman" w:hAnsi="Times New Roman" w:eastAsia="方正仿宋_GBK" w:cs="方正仿宋_GBK"/>
          <w:i w:val="0"/>
          <w:iCs w:val="0"/>
          <w:caps w:val="0"/>
          <w:color w:val="auto"/>
          <w:spacing w:val="0"/>
          <w:kern w:val="2"/>
          <w:sz w:val="32"/>
          <w:szCs w:val="32"/>
          <w:highlight w:val="none"/>
          <w:shd w:val="clear" w:color="auto" w:fill="auto"/>
          <w:lang w:val="en-US" w:eastAsia="zh-CN" w:bidi="ar"/>
        </w:rPr>
        <w:t>，“以投促引”促进项目落户。</w:t>
      </w:r>
      <w:r>
        <w:rPr>
          <w:rFonts w:hint="default" w:ascii="Times New Roman" w:hAnsi="Times New Roman" w:eastAsia="方正楷体_GBK" w:cs="Times New Roman"/>
          <w:bCs w:val="0"/>
          <w:color w:val="auto"/>
          <w:kern w:val="2"/>
          <w:sz w:val="32"/>
          <w:szCs w:val="32"/>
          <w:highlight w:val="none"/>
          <w:lang w:val="en-US" w:eastAsia="zh-CN" w:bidi="ar"/>
        </w:rPr>
        <w:t>（</w:t>
      </w:r>
      <w:r>
        <w:rPr>
          <w:rFonts w:hint="eastAsia" w:ascii="Times New Roman" w:hAnsi="Times New Roman" w:eastAsia="方正楷体_GBK" w:cs="Times New Roman"/>
          <w:color w:val="auto"/>
          <w:sz w:val="32"/>
          <w:szCs w:val="32"/>
          <w:highlight w:val="none"/>
          <w:lang w:val="en-US" w:eastAsia="zh-CN"/>
        </w:rPr>
        <w:t>责任单位：</w:t>
      </w:r>
      <w:r>
        <w:rPr>
          <w:rFonts w:hint="default" w:ascii="Times New Roman" w:hAnsi="Times New Roman" w:eastAsia="方正楷体_GBK" w:cs="Times New Roman"/>
          <w:bCs w:val="0"/>
          <w:color w:val="auto"/>
          <w:kern w:val="2"/>
          <w:sz w:val="32"/>
          <w:szCs w:val="32"/>
          <w:highlight w:val="none"/>
          <w:lang w:val="en-US" w:eastAsia="zh-CN" w:bidi="ar"/>
        </w:rPr>
        <w:t>区投资促进局、区财政局</w:t>
      </w:r>
      <w:r>
        <w:rPr>
          <w:rFonts w:hint="eastAsia" w:ascii="Times New Roman" w:hAnsi="Times New Roman" w:eastAsia="方正楷体_GBK" w:cs="Times New Roman"/>
          <w:bCs w:val="0"/>
          <w:color w:val="auto"/>
          <w:kern w:val="2"/>
          <w:sz w:val="32"/>
          <w:szCs w:val="32"/>
          <w:highlight w:val="none"/>
          <w:lang w:val="en-US" w:eastAsia="zh-CN" w:bidi="ar"/>
        </w:rPr>
        <w:t>、</w:t>
      </w:r>
      <w:r>
        <w:rPr>
          <w:rFonts w:hint="default" w:ascii="Times New Roman" w:hAnsi="Times New Roman" w:eastAsia="方正楷体_GBK" w:cs="Times New Roman"/>
          <w:color w:val="auto"/>
          <w:sz w:val="32"/>
          <w:szCs w:val="32"/>
          <w:highlight w:val="none"/>
          <w:lang w:val="en-US" w:eastAsia="zh-CN"/>
        </w:rPr>
        <w:t>区政府办公室</w:t>
      </w:r>
      <w:r>
        <w:rPr>
          <w:rFonts w:hint="default" w:ascii="Times New Roman" w:hAnsi="Times New Roman" w:eastAsia="方正楷体_GBK" w:cs="Times New Roman"/>
          <w:bCs w:val="0"/>
          <w:color w:val="auto"/>
          <w:kern w:val="2"/>
          <w:sz w:val="32"/>
          <w:szCs w:val="32"/>
          <w:highlight w:val="none"/>
          <w:lang w:val="en-US" w:eastAsia="zh-CN" w:bidi="ar"/>
        </w:rPr>
        <w:t>）</w:t>
      </w:r>
      <w:r>
        <w:rPr>
          <w:rFonts w:hint="eastAsia" w:ascii="Times New Roman" w:hAnsi="Times New Roman" w:eastAsia="方正仿宋_GBK" w:cs="方正仿宋_GBK"/>
          <w:color w:val="auto"/>
          <w:sz w:val="32"/>
          <w:szCs w:val="32"/>
          <w:highlight w:val="none"/>
          <w:lang w:val="en-US" w:eastAsia="zh-CN"/>
        </w:rPr>
        <w:t>常态化开展融资服务，每月至少举办1场专题融资对接活动，满足不同经营主体的多元化融资需求。强化政银企对接，利用“银企直通车”服务平台，精准推送融资诉求。</w:t>
      </w:r>
      <w:r>
        <w:rPr>
          <w:rFonts w:hint="default" w:ascii="Times New Roman" w:hAnsi="Times New Roman" w:eastAsia="方正楷体_GBK" w:cs="Times New Roman"/>
          <w:color w:val="auto"/>
          <w:sz w:val="32"/>
          <w:szCs w:val="32"/>
          <w:highlight w:val="none"/>
          <w:lang w:val="en-US" w:eastAsia="zh-CN"/>
        </w:rPr>
        <w:t>（区政府办公室牵头）</w:t>
      </w:r>
    </w:p>
    <w:p w14:paraId="16C07D37">
      <w:pPr>
        <w:keepNext w:val="0"/>
        <w:keepLines w:val="0"/>
        <w:pageBreakBefore w:val="0"/>
        <w:widowControl w:val="0"/>
        <w:numPr>
          <w:ilvl w:val="0"/>
          <w:numId w:val="2"/>
        </w:numPr>
        <w:suppressLineNumbers w:val="0"/>
        <w:kinsoku/>
        <w:wordWrap/>
        <w:overflowPunct/>
        <w:topLinePunct w:val="0"/>
        <w:autoSpaceDE/>
        <w:autoSpaceDN/>
        <w:bidi w:val="0"/>
        <w:adjustRightInd w:val="0"/>
        <w:snapToGrid w:val="0"/>
        <w:spacing w:line="578" w:lineRule="exact"/>
        <w:ind w:leftChars="0" w:firstLine="640" w:firstLineChars="200"/>
        <w:jc w:val="both"/>
        <w:textAlignment w:val="auto"/>
        <w:rPr>
          <w:rFonts w:hint="default" w:ascii="Times New Roman" w:hAnsi="Times New Roman" w:eastAsia="方正楷体_GBK" w:cs="Times New Roman"/>
          <w:color w:val="auto"/>
          <w:kern w:val="2"/>
          <w:sz w:val="32"/>
          <w:szCs w:val="32"/>
          <w:highlight w:val="none"/>
          <w:lang w:val="en-US" w:eastAsia="zh-CN" w:bidi="ar-SA"/>
        </w:rPr>
      </w:pPr>
      <w:r>
        <w:rPr>
          <w:rFonts w:hint="default" w:ascii="Times New Roman" w:hAnsi="Times New Roman" w:eastAsia="方正楷体_GBK" w:cs="Times New Roman"/>
          <w:color w:val="auto"/>
          <w:sz w:val="32"/>
          <w:szCs w:val="32"/>
          <w:highlight w:val="none"/>
        </w:rPr>
        <w:t>释放数据要素活力</w:t>
      </w:r>
      <w:r>
        <w:rPr>
          <w:rFonts w:hint="default" w:ascii="Times New Roman" w:hAnsi="Times New Roman" w:eastAsia="方正楷体_GBK" w:cs="Times New Roman"/>
          <w:color w:val="auto"/>
          <w:sz w:val="32"/>
          <w:szCs w:val="32"/>
          <w:highlight w:val="none"/>
          <w:lang w:eastAsia="zh-CN"/>
        </w:rPr>
        <w:t>。</w:t>
      </w:r>
      <w:r>
        <w:rPr>
          <w:rFonts w:hint="eastAsia" w:ascii="Times New Roman" w:hAnsi="Times New Roman" w:eastAsia="方正仿宋_GBK" w:cs="方正仿宋_GBK"/>
          <w:color w:val="auto"/>
          <w:sz w:val="32"/>
          <w:szCs w:val="32"/>
          <w:highlight w:val="none"/>
        </w:rPr>
        <w:t>依托“开放广东”平台，动态优化开放目录，优先推动企业登记、卫生健康、交通运输、气象等高价值数据集依法依规分类开放。实施“数据要素×”行动，拓展企业数据、公共数据开发利用场景，带动高质量数据采集、治理、标注等产业发展。依照《江门市公共数据资源授权运营实施方案》，形成公共数据资源授权运营资源目录</w:t>
      </w:r>
      <w:r>
        <w:rPr>
          <w:rFonts w:hint="eastAsia" w:ascii="Times New Roman" w:hAnsi="Times New Roman" w:eastAsia="方正仿宋_GBK" w:cs="方正仿宋_GBK"/>
          <w:color w:val="auto"/>
          <w:sz w:val="32"/>
          <w:szCs w:val="32"/>
          <w:highlight w:val="none"/>
          <w:lang w:bidi="ar"/>
        </w:rPr>
        <w:t>清单</w:t>
      </w:r>
      <w:r>
        <w:rPr>
          <w:rFonts w:hint="eastAsia" w:ascii="Times New Roman" w:hAnsi="Times New Roman" w:eastAsia="方正仿宋_GBK" w:cs="方正仿宋_GBK"/>
          <w:color w:val="auto"/>
          <w:sz w:val="32"/>
          <w:szCs w:val="32"/>
          <w:highlight w:val="none"/>
        </w:rPr>
        <w:t>，开展公共数据资源登记。深化培育数据经纪人、数据商及第三方专业服务机构等产业生态。</w:t>
      </w:r>
      <w:r>
        <w:rPr>
          <w:rFonts w:hint="eastAsia" w:ascii="Times New Roman" w:hAnsi="Times New Roman" w:eastAsia="方正仿宋_GBK" w:cs="方正仿宋_GBK"/>
          <w:color w:val="auto"/>
          <w:sz w:val="32"/>
          <w:szCs w:val="32"/>
          <w:highlight w:val="none"/>
          <w:lang w:bidi="ar"/>
        </w:rPr>
        <w:t>用好企业“一企一档”，</w:t>
      </w:r>
      <w:r>
        <w:rPr>
          <w:rFonts w:hint="default" w:ascii="Times New Roman" w:hAnsi="Times New Roman" w:eastAsia="方正仿宋_GBK" w:cs="Times New Roman"/>
          <w:color w:val="auto"/>
          <w:sz w:val="32"/>
          <w:szCs w:val="32"/>
          <w:highlight w:val="none"/>
          <w:lang w:bidi="ar"/>
        </w:rPr>
        <w:t>落实数据产权登记制度，支持企业建设企业可信数据空间，支持行业可信数据空间建设。</w:t>
      </w:r>
      <w:r>
        <w:rPr>
          <w:rFonts w:hint="default" w:ascii="Times New Roman" w:hAnsi="Times New Roman" w:eastAsia="方正楷体_GBK" w:cs="Times New Roman"/>
          <w:color w:val="auto"/>
          <w:sz w:val="32"/>
          <w:szCs w:val="32"/>
          <w:highlight w:val="none"/>
          <w:lang w:val="en-US" w:eastAsia="zh-CN"/>
        </w:rPr>
        <w:t>（区政务和数据局牵头）</w:t>
      </w:r>
    </w:p>
    <w:p w14:paraId="420E90BB">
      <w:pPr>
        <w:keepNext w:val="0"/>
        <w:keepLines w:val="0"/>
        <w:pageBreakBefore w:val="0"/>
        <w:widowControl w:val="0"/>
        <w:numPr>
          <w:ilvl w:val="0"/>
          <w:numId w:val="2"/>
        </w:numPr>
        <w:suppressLineNumbers w:val="0"/>
        <w:kinsoku/>
        <w:wordWrap/>
        <w:overflowPunct/>
        <w:topLinePunct w:val="0"/>
        <w:autoSpaceDE/>
        <w:autoSpaceDN/>
        <w:bidi w:val="0"/>
        <w:adjustRightInd w:val="0"/>
        <w:snapToGrid w:val="0"/>
        <w:spacing w:line="578" w:lineRule="exact"/>
        <w:ind w:firstLine="640" w:firstLineChars="200"/>
        <w:jc w:val="both"/>
        <w:textAlignment w:val="auto"/>
        <w:rPr>
          <w:rFonts w:hint="default" w:ascii="Times New Roman" w:hAnsi="Times New Roman" w:eastAsia="方正楷体_GBK" w:cs="Times New Roman"/>
          <w:color w:val="auto"/>
          <w:kern w:val="2"/>
          <w:sz w:val="32"/>
          <w:szCs w:val="32"/>
          <w:highlight w:val="none"/>
          <w:lang w:val="en-US" w:eastAsia="zh-CN" w:bidi="ar-SA"/>
        </w:rPr>
      </w:pPr>
      <w:r>
        <w:rPr>
          <w:rFonts w:hint="default" w:ascii="Times New Roman" w:hAnsi="Times New Roman" w:eastAsia="方正楷体_GBK" w:cs="Times New Roman"/>
          <w:color w:val="auto"/>
          <w:kern w:val="2"/>
          <w:sz w:val="32"/>
          <w:szCs w:val="32"/>
          <w:highlight w:val="none"/>
          <w:lang w:val="en-US" w:eastAsia="zh-CN" w:bidi="ar-SA"/>
        </w:rPr>
        <w:t>降低物流成本。</w:t>
      </w:r>
      <w:r>
        <w:rPr>
          <w:rFonts w:hint="eastAsia" w:ascii="Times New Roman" w:hAnsi="Times New Roman" w:eastAsia="方正仿宋_GBK" w:cs="Times New Roman"/>
          <w:color w:val="auto"/>
          <w:sz w:val="32"/>
          <w:szCs w:val="32"/>
          <w:highlight w:val="none"/>
        </w:rPr>
        <w:t>围绕临港产业、外向型产业物流发展实际需求，建立辖区物流企业与制造业企业常态化对接机制，依托江门高新港智慧内河码头及进境</w:t>
      </w:r>
      <w:r>
        <w:rPr>
          <w:rFonts w:hint="eastAsia" w:ascii="Times New Roman" w:hAnsi="Times New Roman" w:eastAsia="方正仿宋_GBK" w:cs="Times New Roman"/>
          <w:color w:val="auto"/>
          <w:sz w:val="32"/>
          <w:szCs w:val="32"/>
          <w:highlight w:val="none"/>
          <w:lang w:val="en-US" w:eastAsia="zh-CN"/>
        </w:rPr>
        <w:t>冻</w:t>
      </w:r>
      <w:r>
        <w:rPr>
          <w:rFonts w:hint="eastAsia" w:ascii="Times New Roman" w:hAnsi="Times New Roman" w:eastAsia="方正仿宋_GBK" w:cs="Times New Roman"/>
          <w:color w:val="auto"/>
          <w:sz w:val="32"/>
          <w:szCs w:val="32"/>
          <w:highlight w:val="none"/>
        </w:rPr>
        <w:t>肉、水果指定监管场地优势，联动德</w:t>
      </w:r>
      <w:r>
        <w:rPr>
          <w:rFonts w:hint="eastAsia" w:ascii="Times New Roman" w:hAnsi="Times New Roman" w:eastAsia="方正仿宋_GBK" w:cs="Times New Roman"/>
          <w:color w:val="auto"/>
          <w:sz w:val="32"/>
          <w:szCs w:val="32"/>
          <w:highlight w:val="none"/>
          <w:lang w:eastAsia="zh-CN"/>
        </w:rPr>
        <w:t>邦、江</w:t>
      </w:r>
      <w:r>
        <w:rPr>
          <w:rFonts w:hint="eastAsia" w:ascii="Times New Roman" w:hAnsi="Times New Roman" w:eastAsia="方正仿宋_GBK" w:cs="Times New Roman"/>
          <w:color w:val="auto"/>
          <w:sz w:val="32"/>
          <w:szCs w:val="32"/>
          <w:highlight w:val="none"/>
        </w:rPr>
        <w:t>润物流智慧仓储，为</w:t>
      </w:r>
      <w:r>
        <w:rPr>
          <w:rFonts w:hint="eastAsia" w:ascii="Times New Roman" w:hAnsi="Times New Roman" w:eastAsia="方正仿宋_GBK" w:cs="Times New Roman"/>
          <w:color w:val="auto"/>
          <w:sz w:val="32"/>
          <w:szCs w:val="32"/>
          <w:highlight w:val="none"/>
          <w:lang w:val="en-US" w:eastAsia="zh-CN"/>
        </w:rPr>
        <w:t>园区</w:t>
      </w:r>
      <w:r>
        <w:rPr>
          <w:rFonts w:hint="eastAsia" w:ascii="Times New Roman" w:hAnsi="Times New Roman" w:eastAsia="方正仿宋_GBK" w:cs="Times New Roman"/>
          <w:color w:val="auto"/>
          <w:sz w:val="32"/>
          <w:szCs w:val="32"/>
          <w:highlight w:val="none"/>
        </w:rPr>
        <w:t>产业提供冷链仓储、干线运输、保税物流一体化服务。加快无人机起降点和低空智能融合基础设施建设、探索无人快递配送、支持无人机驾驶员培训，发展航空物流新业态。2026年</w:t>
      </w:r>
      <w:r>
        <w:rPr>
          <w:rFonts w:hint="eastAsia" w:ascii="Times New Roman" w:hAnsi="Times New Roman" w:eastAsia="方正仿宋_GBK" w:cs="Times New Roman"/>
          <w:color w:val="auto"/>
          <w:sz w:val="32"/>
          <w:szCs w:val="32"/>
          <w:highlight w:val="none"/>
          <w:lang w:val="en-US" w:eastAsia="zh-CN"/>
        </w:rPr>
        <w:t>新增无人机起降点5个</w:t>
      </w:r>
      <w:r>
        <w:rPr>
          <w:rFonts w:hint="eastAsia" w:ascii="Times New Roman" w:hAnsi="Times New Roman" w:eastAsia="方正仿宋_GBK" w:cs="Times New Roman"/>
          <w:color w:val="auto"/>
          <w:sz w:val="32"/>
          <w:szCs w:val="32"/>
          <w:highlight w:val="none"/>
        </w:rPr>
        <w:t>。</w:t>
      </w:r>
      <w:r>
        <w:rPr>
          <w:rFonts w:hint="default" w:ascii="Times New Roman" w:hAnsi="Times New Roman" w:eastAsia="方正楷体_GBK" w:cs="Times New Roman"/>
          <w:color w:val="auto"/>
          <w:sz w:val="32"/>
          <w:szCs w:val="32"/>
          <w:highlight w:val="none"/>
          <w:lang w:val="en-US" w:eastAsia="zh-CN"/>
        </w:rPr>
        <w:t>（</w:t>
      </w:r>
      <w:r>
        <w:rPr>
          <w:rFonts w:hint="eastAsia" w:ascii="Times New Roman" w:hAnsi="Times New Roman" w:eastAsia="方正楷体_GBK" w:cs="Times New Roman"/>
          <w:color w:val="auto"/>
          <w:sz w:val="32"/>
          <w:szCs w:val="32"/>
          <w:highlight w:val="none"/>
          <w:lang w:val="en-US" w:eastAsia="zh-CN"/>
        </w:rPr>
        <w:t>责任单位：</w:t>
      </w:r>
      <w:r>
        <w:rPr>
          <w:rFonts w:hint="default" w:ascii="Times New Roman" w:hAnsi="Times New Roman" w:eastAsia="方正楷体_GBK" w:cs="Times New Roman"/>
          <w:color w:val="auto"/>
          <w:sz w:val="32"/>
          <w:szCs w:val="32"/>
          <w:highlight w:val="none"/>
          <w:lang w:val="en-US" w:eastAsia="zh-CN"/>
        </w:rPr>
        <w:t>区发展改革局、区经济促进局、区住房城乡建设局）</w:t>
      </w:r>
    </w:p>
    <w:p w14:paraId="60530E50">
      <w:pPr>
        <w:keepNext w:val="0"/>
        <w:keepLines w:val="0"/>
        <w:pageBreakBefore w:val="0"/>
        <w:widowControl w:val="0"/>
        <w:numPr>
          <w:ilvl w:val="0"/>
          <w:numId w:val="2"/>
        </w:numPr>
        <w:suppressLineNumbers w:val="0"/>
        <w:kinsoku/>
        <w:wordWrap/>
        <w:overflowPunct/>
        <w:topLinePunct w:val="0"/>
        <w:autoSpaceDE/>
        <w:autoSpaceDN/>
        <w:bidi w:val="0"/>
        <w:adjustRightInd w:val="0"/>
        <w:snapToGrid w:val="0"/>
        <w:spacing w:line="578" w:lineRule="exact"/>
        <w:ind w:leftChars="0" w:firstLine="640" w:firstLineChars="200"/>
        <w:jc w:val="both"/>
        <w:textAlignment w:val="auto"/>
        <w:rPr>
          <w:rFonts w:hint="default" w:ascii="Times New Roman" w:hAnsi="Times New Roman" w:eastAsia="方正楷体_GBK" w:cs="Times New Roman"/>
          <w:color w:val="auto"/>
          <w:sz w:val="32"/>
          <w:szCs w:val="32"/>
          <w:highlight w:val="none"/>
          <w:lang w:val="en-US" w:eastAsia="zh-CN"/>
        </w:rPr>
      </w:pPr>
      <w:r>
        <w:rPr>
          <w:rFonts w:hint="default" w:ascii="Times New Roman" w:hAnsi="Times New Roman" w:eastAsia="方正楷体_GBK" w:cs="Times New Roman"/>
          <w:color w:val="auto"/>
          <w:sz w:val="32"/>
          <w:szCs w:val="32"/>
          <w:highlight w:val="none"/>
          <w:lang w:val="en-US" w:eastAsia="zh-CN"/>
        </w:rPr>
        <w:t>有序开放创新应用场景。</w:t>
      </w:r>
      <w:r>
        <w:rPr>
          <w:rFonts w:hint="default" w:ascii="Times New Roman" w:hAnsi="Times New Roman" w:eastAsia="方正仿宋_GBK" w:cs="Times New Roman"/>
          <w:color w:val="auto"/>
          <w:sz w:val="32"/>
          <w:szCs w:val="32"/>
          <w:highlight w:val="none"/>
          <w:lang w:val="en-US" w:eastAsia="zh-CN"/>
        </w:rPr>
        <w:t>定期征集、分类梳理、动态发布应用场景需求和能力清单。推动政府机关、事业单位和国有企业主动开放主业领域场景，吸引民营企业、中小企业和广大科研院所参与，强化场景资源开放和协同共享。</w:t>
      </w:r>
      <w:r>
        <w:rPr>
          <w:rFonts w:hint="default" w:ascii="Times New Roman" w:hAnsi="Times New Roman" w:eastAsia="方正楷体_GBK" w:cs="Times New Roman"/>
          <w:color w:val="auto"/>
          <w:sz w:val="32"/>
          <w:szCs w:val="32"/>
          <w:highlight w:val="none"/>
          <w:lang w:val="en-US" w:eastAsia="zh-CN"/>
        </w:rPr>
        <w:t>（</w:t>
      </w:r>
      <w:r>
        <w:rPr>
          <w:rFonts w:hint="eastAsia" w:ascii="Times New Roman" w:hAnsi="Times New Roman" w:eastAsia="方正楷体_GBK" w:cs="Times New Roman"/>
          <w:color w:val="auto"/>
          <w:sz w:val="32"/>
          <w:szCs w:val="32"/>
          <w:highlight w:val="none"/>
          <w:lang w:val="en-US" w:eastAsia="zh-CN"/>
        </w:rPr>
        <w:t>责任单位：</w:t>
      </w:r>
      <w:r>
        <w:rPr>
          <w:rFonts w:hint="default" w:ascii="Times New Roman" w:hAnsi="Times New Roman" w:eastAsia="方正楷体_GBK" w:cs="Times New Roman"/>
          <w:color w:val="auto"/>
          <w:sz w:val="32"/>
          <w:szCs w:val="32"/>
          <w:highlight w:val="none"/>
          <w:lang w:val="en-US" w:eastAsia="zh-CN"/>
        </w:rPr>
        <w:t>区发展改革局、区财政局）</w:t>
      </w:r>
      <w:r>
        <w:rPr>
          <w:rFonts w:hint="default" w:ascii="Times New Roman" w:hAnsi="Times New Roman" w:eastAsia="方正仿宋_GBK" w:cs="Times New Roman"/>
          <w:color w:val="auto"/>
          <w:sz w:val="32"/>
          <w:szCs w:val="32"/>
          <w:highlight w:val="none"/>
          <w:lang w:val="en-US" w:eastAsia="zh-CN"/>
        </w:rPr>
        <w:t>用好政府首购和优先采购等方式推动更多新技术新产品在江海区率先落地应用。</w:t>
      </w:r>
      <w:r>
        <w:rPr>
          <w:rFonts w:hint="default" w:ascii="Times New Roman" w:hAnsi="Times New Roman" w:eastAsia="方正楷体_GBK" w:cs="Times New Roman"/>
          <w:color w:val="auto"/>
          <w:sz w:val="32"/>
          <w:szCs w:val="32"/>
          <w:highlight w:val="none"/>
          <w:lang w:val="en-US" w:eastAsia="zh-CN"/>
        </w:rPr>
        <w:t>（</w:t>
      </w:r>
      <w:bookmarkStart w:id="0" w:name="OLE_LINK2"/>
      <w:r>
        <w:rPr>
          <w:rFonts w:hint="default" w:ascii="Times New Roman" w:hAnsi="Times New Roman" w:eastAsia="方正楷体_GBK" w:cs="Times New Roman"/>
          <w:color w:val="auto"/>
          <w:sz w:val="32"/>
          <w:szCs w:val="32"/>
          <w:highlight w:val="none"/>
          <w:lang w:val="en-US" w:eastAsia="zh-CN"/>
        </w:rPr>
        <w:t>区财政局牵头</w:t>
      </w:r>
      <w:bookmarkEnd w:id="0"/>
      <w:r>
        <w:rPr>
          <w:rFonts w:hint="default" w:ascii="Times New Roman" w:hAnsi="Times New Roman" w:eastAsia="方正楷体_GBK" w:cs="Times New Roman"/>
          <w:color w:val="auto"/>
          <w:sz w:val="32"/>
          <w:szCs w:val="32"/>
          <w:highlight w:val="none"/>
          <w:lang w:val="en-US" w:eastAsia="zh-CN"/>
        </w:rPr>
        <w:t>）</w:t>
      </w:r>
      <w:r>
        <w:rPr>
          <w:rFonts w:hint="default" w:ascii="Times New Roman" w:hAnsi="Times New Roman" w:eastAsia="方正仿宋_GBK" w:cs="Times New Roman"/>
          <w:b w:val="0"/>
          <w:bCs w:val="0"/>
          <w:color w:val="auto"/>
          <w:sz w:val="32"/>
          <w:szCs w:val="32"/>
          <w:highlight w:val="none"/>
          <w:lang w:eastAsia="zh-CN"/>
        </w:rPr>
        <w:t>开展</w:t>
      </w:r>
      <w:r>
        <w:rPr>
          <w:rFonts w:hint="default" w:ascii="Times New Roman" w:hAnsi="Times New Roman" w:eastAsia="方正仿宋_GBK" w:cs="Times New Roman"/>
          <w:b w:val="0"/>
          <w:bCs w:val="0"/>
          <w:color w:val="auto"/>
          <w:sz w:val="32"/>
          <w:szCs w:val="32"/>
          <w:highlight w:val="none"/>
        </w:rPr>
        <w:t>更多首发、首秀、首展活动</w:t>
      </w:r>
      <w:r>
        <w:rPr>
          <w:rFonts w:hint="default" w:ascii="Times New Roman" w:hAnsi="Times New Roman" w:eastAsia="方正仿宋_GBK" w:cs="Times New Roman"/>
          <w:b w:val="0"/>
          <w:bCs w:val="0"/>
          <w:color w:val="auto"/>
          <w:sz w:val="32"/>
          <w:szCs w:val="32"/>
          <w:highlight w:val="none"/>
          <w:lang w:eastAsia="zh-CN"/>
        </w:rPr>
        <w:t>，引进首店超</w:t>
      </w:r>
      <w:r>
        <w:rPr>
          <w:rFonts w:hint="default" w:ascii="Times New Roman" w:hAnsi="Times New Roman" w:eastAsia="方正仿宋_GBK" w:cs="Times New Roman"/>
          <w:b w:val="0"/>
          <w:bCs w:val="0"/>
          <w:color w:val="auto"/>
          <w:sz w:val="32"/>
          <w:szCs w:val="32"/>
          <w:highlight w:val="none"/>
          <w:lang w:val="en-US" w:eastAsia="zh-CN"/>
        </w:rPr>
        <w:t>10</w:t>
      </w:r>
      <w:r>
        <w:rPr>
          <w:rFonts w:hint="default" w:ascii="Times New Roman" w:hAnsi="Times New Roman" w:eastAsia="方正仿宋_GBK" w:cs="Times New Roman"/>
          <w:b w:val="0"/>
          <w:bCs w:val="0"/>
          <w:color w:val="auto"/>
          <w:sz w:val="32"/>
          <w:szCs w:val="32"/>
          <w:highlight w:val="none"/>
          <w:lang w:eastAsia="zh-CN"/>
        </w:rPr>
        <w:t>家。鼓</w:t>
      </w:r>
      <w:r>
        <w:rPr>
          <w:rFonts w:hint="default" w:ascii="Times New Roman" w:hAnsi="Times New Roman" w:eastAsia="方正仿宋_GBK" w:cs="Times New Roman"/>
          <w:b w:val="0"/>
          <w:bCs w:val="0"/>
          <w:color w:val="auto"/>
          <w:sz w:val="32"/>
          <w:szCs w:val="32"/>
          <w:highlight w:val="none"/>
        </w:rPr>
        <w:t>励老字号与新消费品跨界联动，研发创新产品</w:t>
      </w:r>
      <w:r>
        <w:rPr>
          <w:rFonts w:hint="default" w:ascii="Times New Roman" w:hAnsi="Times New Roman" w:eastAsia="方正仿宋_GBK" w:cs="Times New Roman"/>
          <w:b w:val="0"/>
          <w:bCs w:val="0"/>
          <w:color w:val="auto"/>
          <w:sz w:val="32"/>
          <w:szCs w:val="32"/>
          <w:highlight w:val="none"/>
          <w:lang w:eastAsia="zh-CN"/>
        </w:rPr>
        <w:t>。</w:t>
      </w:r>
      <w:r>
        <w:rPr>
          <w:rFonts w:hint="default" w:ascii="Times New Roman" w:hAnsi="Times New Roman" w:eastAsia="方正楷体_GBK" w:cs="Times New Roman"/>
          <w:color w:val="auto"/>
          <w:sz w:val="32"/>
          <w:szCs w:val="32"/>
          <w:highlight w:val="none"/>
          <w:lang w:val="en-US" w:eastAsia="zh-CN"/>
        </w:rPr>
        <w:t>（区经济促进局牵头）</w:t>
      </w:r>
    </w:p>
    <w:p w14:paraId="49652534">
      <w:pPr>
        <w:keepNext w:val="0"/>
        <w:keepLines w:val="0"/>
        <w:pageBreakBefore w:val="0"/>
        <w:widowControl w:val="0"/>
        <w:numPr>
          <w:ilvl w:val="0"/>
          <w:numId w:val="2"/>
        </w:numPr>
        <w:suppressLineNumbers w:val="0"/>
        <w:kinsoku/>
        <w:wordWrap/>
        <w:overflowPunct/>
        <w:topLinePunct w:val="0"/>
        <w:autoSpaceDE/>
        <w:autoSpaceDN/>
        <w:bidi w:val="0"/>
        <w:adjustRightInd w:val="0"/>
        <w:snapToGrid w:val="0"/>
        <w:spacing w:line="578" w:lineRule="exact"/>
        <w:ind w:leftChars="0"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楷体_GBK" w:cs="Times New Roman"/>
          <w:color w:val="auto"/>
          <w:sz w:val="32"/>
          <w:szCs w:val="32"/>
          <w:highlight w:val="none"/>
          <w:lang w:val="en-US" w:eastAsia="zh-CN"/>
        </w:rPr>
        <w:t>促进产业链协同。</w:t>
      </w:r>
      <w:r>
        <w:rPr>
          <w:rFonts w:hint="default" w:ascii="Times New Roman" w:hAnsi="Times New Roman" w:eastAsia="方正仿宋_GBK" w:cs="Times New Roman"/>
          <w:color w:val="auto"/>
          <w:sz w:val="32"/>
          <w:szCs w:val="32"/>
          <w:highlight w:val="none"/>
          <w:lang w:val="en-US" w:eastAsia="zh-CN"/>
        </w:rPr>
        <w:t>搭建产业链链主与上下游企业常态化交流平台，围绕技术研发、项目互动、场景开放、人才共享共用等领域组织融资服务、供需对接活动。</w:t>
      </w:r>
      <w:r>
        <w:rPr>
          <w:rFonts w:hint="eastAsia" w:ascii="Times New Roman" w:hAnsi="Times New Roman" w:eastAsia="方正仿宋_GBK" w:cs="Times New Roman"/>
          <w:color w:val="auto"/>
          <w:sz w:val="32"/>
          <w:szCs w:val="32"/>
          <w:highlight w:val="none"/>
          <w:lang w:val="en-US" w:eastAsia="zh-CN"/>
        </w:rPr>
        <w:t>推动形成“邻居带邻居、龙头引配套”</w:t>
      </w:r>
      <w:r>
        <w:rPr>
          <w:rFonts w:hint="eastAsia" w:ascii="Times New Roman" w:hAnsi="Times New Roman" w:eastAsia="方正仿宋_GBK" w:cs="方正仿宋_GBK"/>
          <w:color w:val="auto"/>
          <w:sz w:val="32"/>
          <w:szCs w:val="32"/>
          <w:highlight w:val="none"/>
          <w:lang w:val="en-US" w:eastAsia="zh-CN"/>
        </w:rPr>
        <w:t>的良性循环，吸引更多优质项目及上下游企业“落户为邻”，组织企业参加“左邻右里”活动30家次。</w:t>
      </w:r>
      <w:r>
        <w:rPr>
          <w:rFonts w:hint="default" w:ascii="Times New Roman" w:hAnsi="Times New Roman" w:eastAsia="方正楷体_GBK" w:cs="Times New Roman"/>
          <w:color w:val="auto"/>
          <w:sz w:val="32"/>
          <w:szCs w:val="32"/>
          <w:highlight w:val="none"/>
          <w:lang w:val="en-US" w:eastAsia="zh-CN"/>
        </w:rPr>
        <w:t>（区企业发展服务中心牵头）</w:t>
      </w:r>
      <w:r>
        <w:rPr>
          <w:rFonts w:hint="eastAsia" w:ascii="Times New Roman" w:hAnsi="Times New Roman" w:eastAsia="方正仿宋_GBK" w:cs="方正仿宋_GBK"/>
          <w:color w:val="auto"/>
          <w:sz w:val="32"/>
          <w:szCs w:val="32"/>
          <w:highlight w:val="none"/>
          <w:lang w:val="en-US" w:eastAsia="zh-CN"/>
        </w:rPr>
        <w:t>结合中小企业数字化转型城市试点工作，以产业链供应链为纽带，促进上下游企业“链式”协同转型，全年完成80家以上工业企业技术改造、80家规上企业数字化转</w:t>
      </w:r>
      <w:r>
        <w:rPr>
          <w:rFonts w:hint="default" w:ascii="Times New Roman" w:hAnsi="Times New Roman" w:eastAsia="方正仿宋_GBK" w:cs="Times New Roman"/>
          <w:color w:val="auto"/>
          <w:sz w:val="32"/>
          <w:szCs w:val="32"/>
          <w:highlight w:val="none"/>
          <w:lang w:val="en-US" w:eastAsia="zh-CN"/>
        </w:rPr>
        <w:t>型。</w:t>
      </w:r>
      <w:r>
        <w:rPr>
          <w:rFonts w:hint="default" w:ascii="Times New Roman" w:hAnsi="Times New Roman" w:eastAsia="方正楷体_GBK" w:cs="Times New Roman"/>
          <w:color w:val="auto"/>
          <w:sz w:val="32"/>
          <w:szCs w:val="32"/>
          <w:highlight w:val="none"/>
          <w:lang w:val="en-US" w:eastAsia="zh-CN"/>
        </w:rPr>
        <w:t>（区经济促进局牵头）</w:t>
      </w:r>
      <w:r>
        <w:rPr>
          <w:rFonts w:hint="default" w:ascii="Times New Roman" w:hAnsi="Times New Roman" w:eastAsia="方正仿宋_GBK" w:cs="Times New Roman"/>
          <w:color w:val="auto"/>
          <w:sz w:val="32"/>
          <w:szCs w:val="32"/>
          <w:highlight w:val="none"/>
          <w:lang w:val="en-US" w:eastAsia="zh-CN"/>
        </w:rPr>
        <w:t>促进大中小企业融通创新，鼓励企业牵头组建创新联合体，支持中小企业针对大企业配套需求开展技术攻关。</w:t>
      </w:r>
      <w:r>
        <w:rPr>
          <w:rFonts w:hint="default" w:ascii="Times New Roman" w:hAnsi="Times New Roman" w:eastAsia="方正楷体_GBK" w:cs="Times New Roman"/>
          <w:color w:val="auto"/>
          <w:sz w:val="32"/>
          <w:szCs w:val="32"/>
          <w:highlight w:val="none"/>
          <w:lang w:val="en-US" w:eastAsia="zh-CN"/>
        </w:rPr>
        <w:t>（区科技局牵头）</w:t>
      </w:r>
    </w:p>
    <w:p w14:paraId="57D41A37">
      <w:pPr>
        <w:keepNext w:val="0"/>
        <w:keepLines w:val="0"/>
        <w:pageBreakBefore w:val="0"/>
        <w:widowControl w:val="0"/>
        <w:numPr>
          <w:ilvl w:val="0"/>
          <w:numId w:val="1"/>
        </w:numPr>
        <w:kinsoku/>
        <w:wordWrap/>
        <w:overflowPunct/>
        <w:topLinePunct w:val="0"/>
        <w:autoSpaceDE/>
        <w:autoSpaceDN/>
        <w:bidi w:val="0"/>
        <w:adjustRightInd w:val="0"/>
        <w:snapToGrid w:val="0"/>
        <w:spacing w:line="578" w:lineRule="exact"/>
        <w:ind w:firstLine="640" w:firstLineChars="200"/>
        <w:textAlignment w:val="auto"/>
        <w:rPr>
          <w:rFonts w:hint="default" w:ascii="Times New Roman" w:hAnsi="Times New Roman" w:eastAsia="方正黑体_GBK" w:cs="Times New Roman"/>
          <w:color w:val="auto"/>
          <w:sz w:val="32"/>
          <w:szCs w:val="32"/>
          <w:highlight w:val="none"/>
          <w:lang w:val="en-US" w:eastAsia="zh-CN"/>
        </w:rPr>
      </w:pPr>
      <w:r>
        <w:rPr>
          <w:rFonts w:hint="default" w:ascii="Times New Roman" w:hAnsi="Times New Roman" w:eastAsia="方正黑体_GBK" w:cs="Times New Roman"/>
          <w:color w:val="auto"/>
          <w:sz w:val="32"/>
          <w:szCs w:val="32"/>
          <w:highlight w:val="none"/>
          <w:lang w:val="en-US" w:eastAsia="zh-CN"/>
        </w:rPr>
        <w:t>加强涉企服务</w:t>
      </w:r>
    </w:p>
    <w:p w14:paraId="1C99D51C">
      <w:pPr>
        <w:keepNext w:val="0"/>
        <w:keepLines w:val="0"/>
        <w:pageBreakBefore w:val="0"/>
        <w:widowControl w:val="0"/>
        <w:numPr>
          <w:ilvl w:val="0"/>
          <w:numId w:val="2"/>
        </w:numPr>
        <w:suppressLineNumbers w:val="0"/>
        <w:kinsoku/>
        <w:wordWrap/>
        <w:overflowPunct/>
        <w:topLinePunct w:val="0"/>
        <w:autoSpaceDE/>
        <w:autoSpaceDN/>
        <w:bidi w:val="0"/>
        <w:adjustRightInd w:val="0"/>
        <w:snapToGrid w:val="0"/>
        <w:spacing w:line="578" w:lineRule="exact"/>
        <w:ind w:firstLine="640" w:firstLineChars="200"/>
        <w:jc w:val="both"/>
        <w:textAlignment w:val="auto"/>
        <w:rPr>
          <w:rFonts w:hint="default" w:ascii="Times New Roman" w:hAnsi="Times New Roman" w:eastAsia="方正楷体_GBK" w:cs="Times New Roman"/>
          <w:color w:val="auto"/>
          <w:sz w:val="32"/>
          <w:szCs w:val="32"/>
          <w:highlight w:val="none"/>
          <w:lang w:val="en-US" w:eastAsia="zh-CN"/>
        </w:rPr>
      </w:pPr>
      <w:r>
        <w:rPr>
          <w:rFonts w:hint="default" w:ascii="Times New Roman" w:hAnsi="Times New Roman" w:eastAsia="方正楷体_GBK" w:cs="Times New Roman"/>
          <w:color w:val="auto"/>
          <w:kern w:val="2"/>
          <w:sz w:val="32"/>
          <w:szCs w:val="32"/>
          <w:highlight w:val="none"/>
          <w:lang w:val="en-US" w:eastAsia="zh-CN" w:bidi="ar-SA"/>
        </w:rPr>
        <w:t>提升涉企审批事项办理质效。</w:t>
      </w:r>
      <w:r>
        <w:rPr>
          <w:rFonts w:hint="default" w:ascii="Times New Roman" w:hAnsi="Times New Roman" w:eastAsia="方正仿宋_GBK" w:cs="Times New Roman"/>
          <w:color w:val="auto"/>
          <w:sz w:val="32"/>
          <w:szCs w:val="32"/>
          <w:highlight w:val="none"/>
          <w:lang w:val="en-US" w:eastAsia="zh-CN"/>
        </w:rPr>
        <w:t>提速提质建项目，</w:t>
      </w:r>
      <w:r>
        <w:rPr>
          <w:rFonts w:hint="eastAsia" w:ascii="Times New Roman" w:hAnsi="Times New Roman" w:eastAsia="方正仿宋_GBK" w:cs="方正仿宋_GBK"/>
          <w:color w:val="auto"/>
          <w:sz w:val="32"/>
          <w:szCs w:val="32"/>
          <w:highlight w:val="none"/>
          <w:lang w:val="en-US" w:eastAsia="zh-CN"/>
        </w:rPr>
        <w:t>完善重大项目并联审批工作机制，强化用地、区域综合评价、审批等一体联动，推行“同意马上办、不同意上报一级”审批机制，以“审批大提速”推动“效率大提升”。围绕新一代电子信息产业，聚焦与产业发展密切相关的项目服务、政策服务、要素保障、科技创新、应用场景、监管服务等领域，编制实施产业链企业全生</w:t>
      </w:r>
      <w:r>
        <w:rPr>
          <w:rFonts w:hint="default" w:ascii="Times New Roman" w:hAnsi="Times New Roman" w:eastAsia="方正仿宋_GBK" w:cs="Times New Roman"/>
          <w:color w:val="auto"/>
          <w:sz w:val="32"/>
          <w:szCs w:val="32"/>
          <w:highlight w:val="none"/>
          <w:lang w:val="en-US" w:eastAsia="zh-CN"/>
        </w:rPr>
        <w:t>命周期服务指引</w:t>
      </w:r>
      <w:r>
        <w:rPr>
          <w:rFonts w:hint="default" w:ascii="Times New Roman" w:hAnsi="Times New Roman" w:eastAsia="方正楷体_GBK" w:cs="Times New Roman"/>
          <w:color w:val="auto"/>
          <w:sz w:val="32"/>
          <w:szCs w:val="32"/>
          <w:highlight w:val="none"/>
          <w:lang w:val="en-US" w:eastAsia="zh-CN"/>
        </w:rPr>
        <w:t>。（区发展改革局牵头）</w:t>
      </w:r>
      <w:r>
        <w:rPr>
          <w:rFonts w:hint="eastAsia" w:ascii="Times New Roman" w:hAnsi="Times New Roman" w:eastAsia="方正仿宋_GBK" w:cs="方正仿宋_GBK"/>
          <w:color w:val="auto"/>
          <w:sz w:val="32"/>
          <w:szCs w:val="32"/>
          <w:highlight w:val="none"/>
          <w:lang w:val="en-US" w:eastAsia="zh-CN"/>
        </w:rPr>
        <w:t>以产业链需</w:t>
      </w:r>
      <w:r>
        <w:rPr>
          <w:rFonts w:hint="eastAsia" w:ascii="Times New Roman" w:hAnsi="Times New Roman" w:eastAsia="方正仿宋_GBK" w:cs="方正仿宋_GBK"/>
          <w:color w:val="auto"/>
          <w:sz w:val="32"/>
          <w:szCs w:val="24"/>
          <w:highlight w:val="none"/>
          <w:lang w:val="en-US" w:eastAsia="zh-CN"/>
        </w:rPr>
        <w:t>求为导向，围绕准入准营、经营发展、职业认定、政策兑现、贸易进出口、创新产品培育认定等方面，推出订制化、套餐式“一类事”服务新场景，</w:t>
      </w:r>
      <w:r>
        <w:rPr>
          <w:rFonts w:hint="eastAsia" w:ascii="Times New Roman" w:hAnsi="Times New Roman" w:eastAsia="方正仿宋_GBK" w:cs="方正仿宋_GBK"/>
          <w:color w:val="auto"/>
          <w:sz w:val="32"/>
          <w:szCs w:val="32"/>
          <w:highlight w:val="none"/>
          <w:lang w:val="en-US" w:eastAsia="zh-CN"/>
        </w:rPr>
        <w:t>年内新增不少于5项‘高效办成一件事’主题事项。</w:t>
      </w:r>
      <w:r>
        <w:rPr>
          <w:rFonts w:hint="eastAsia" w:ascii="Times New Roman" w:hAnsi="Times New Roman" w:eastAsia="方正仿宋_GBK" w:cs="方正仿宋_GBK"/>
          <w:color w:val="auto"/>
          <w:sz w:val="32"/>
          <w:szCs w:val="24"/>
          <w:highlight w:val="none"/>
          <w:u w:val="none"/>
          <w:lang w:val="en-US" w:eastAsia="zh-CN"/>
        </w:rPr>
        <w:t>通过“江海高新发布”微信公众号推广应用‘江小i’政务服务智能导办系统，创新推出江海区AI智慧政务，提升政务服务智办能力。推动我区24小时智慧政务大厅建设。</w:t>
      </w:r>
      <w:r>
        <w:rPr>
          <w:rFonts w:hint="eastAsia" w:ascii="Times New Roman" w:hAnsi="Times New Roman" w:eastAsia="方正仿宋_GBK" w:cs="方正仿宋_GBK"/>
          <w:color w:val="auto"/>
          <w:sz w:val="32"/>
          <w:szCs w:val="32"/>
          <w:highlight w:val="none"/>
        </w:rPr>
        <w:t>对标全国‘审批备案数量最少、政务服务速度最快、产业生态环境最好’目标，优化区涉企审批备案事项。推行“极简审批”，减材料、压环节，创新实施告知承诺、容缺受理等审批方式</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楷体_GBK" w:cs="Times New Roman"/>
          <w:color w:val="auto"/>
          <w:sz w:val="32"/>
          <w:szCs w:val="32"/>
          <w:highlight w:val="none"/>
          <w:lang w:val="en-US" w:eastAsia="zh-CN"/>
        </w:rPr>
        <w:t>（区政务和数据局牵头）</w:t>
      </w:r>
    </w:p>
    <w:p w14:paraId="45EA9C9E">
      <w:pPr>
        <w:keepNext w:val="0"/>
        <w:keepLines w:val="0"/>
        <w:pageBreakBefore w:val="0"/>
        <w:widowControl w:val="0"/>
        <w:numPr>
          <w:ilvl w:val="0"/>
          <w:numId w:val="2"/>
        </w:numPr>
        <w:suppressLineNumbers w:val="0"/>
        <w:kinsoku/>
        <w:wordWrap/>
        <w:overflowPunct/>
        <w:topLinePunct w:val="0"/>
        <w:autoSpaceDE/>
        <w:autoSpaceDN/>
        <w:bidi w:val="0"/>
        <w:adjustRightInd w:val="0"/>
        <w:snapToGrid w:val="0"/>
        <w:spacing w:line="578" w:lineRule="exact"/>
        <w:ind w:firstLine="640" w:firstLineChars="200"/>
        <w:jc w:val="both"/>
        <w:textAlignment w:val="auto"/>
        <w:rPr>
          <w:rFonts w:hint="default" w:ascii="Times New Roman" w:hAnsi="Times New Roman" w:eastAsia="方正楷体_GBK" w:cs="Times New Roman"/>
          <w:color w:val="auto"/>
          <w:sz w:val="32"/>
          <w:szCs w:val="32"/>
          <w:highlight w:val="none"/>
          <w:lang w:val="en-US" w:eastAsia="zh-CN"/>
        </w:rPr>
      </w:pPr>
      <w:r>
        <w:rPr>
          <w:rFonts w:hint="default" w:ascii="Times New Roman" w:hAnsi="Times New Roman" w:eastAsia="方正楷体_GBK" w:cs="Times New Roman"/>
          <w:color w:val="auto"/>
          <w:sz w:val="32"/>
          <w:szCs w:val="32"/>
          <w:highlight w:val="none"/>
          <w:lang w:val="en-US" w:eastAsia="zh-CN"/>
        </w:rPr>
        <w:t>提升企业登记和注销服务水平。</w:t>
      </w:r>
      <w:r>
        <w:rPr>
          <w:rFonts w:hint="default" w:ascii="Times New Roman" w:hAnsi="Times New Roman" w:eastAsia="方正仿宋_GBK" w:cs="Times New Roman"/>
          <w:color w:val="auto"/>
          <w:sz w:val="32"/>
          <w:szCs w:val="32"/>
          <w:highlight w:val="none"/>
          <w:lang w:val="en-US" w:eastAsia="zh-CN"/>
        </w:rPr>
        <w:t>统一经营主体登记材料规范、</w:t>
      </w:r>
      <w:r>
        <w:rPr>
          <w:rFonts w:hint="eastAsia" w:ascii="Times New Roman" w:hAnsi="Times New Roman" w:eastAsia="方正仿宋_GBK" w:cs="方正仿宋_GBK"/>
          <w:color w:val="auto"/>
          <w:sz w:val="32"/>
          <w:szCs w:val="32"/>
          <w:highlight w:val="none"/>
          <w:lang w:val="en-US" w:eastAsia="zh-CN"/>
        </w:rPr>
        <w:t>办理流程和服务标准，</w:t>
      </w:r>
      <w:r>
        <w:rPr>
          <w:rFonts w:hint="eastAsia" w:ascii="Times New Roman" w:hAnsi="Times New Roman" w:eastAsia="方正仿宋_GBK" w:cs="方正仿宋_GBK"/>
          <w:bCs w:val="0"/>
          <w:color w:val="auto"/>
          <w:kern w:val="2"/>
          <w:sz w:val="32"/>
          <w:szCs w:val="32"/>
          <w:highlight w:val="none"/>
          <w:lang w:val="en-US" w:eastAsia="zh-CN" w:bidi="ar"/>
        </w:rPr>
        <w:t>梳理形成经营主体注册登记要件“一张单”，实现“全区统一、一单尽列、单外无单”。</w:t>
      </w:r>
      <w:r>
        <w:rPr>
          <w:rFonts w:hint="eastAsia" w:ascii="Times New Roman" w:hAnsi="Times New Roman" w:eastAsia="方正仿宋_GBK" w:cs="方正仿宋_GBK"/>
          <w:color w:val="auto"/>
          <w:sz w:val="32"/>
          <w:szCs w:val="32"/>
          <w:highlight w:val="none"/>
          <w:lang w:val="en-US" w:eastAsia="zh-CN"/>
        </w:rPr>
        <w:t>推行个转企直接变更登记，保留个体工商户原字号、行业或者经营特点，延续使用原个体工商户的统一社会信用代码和成立日期。深化注册资本认缴登记制度改革，引导存量公司依法有序调整出资期限，稳步推进经营主体注册管理，提升经营主体登记管理规范化水平。持续推广经营主体设立、变更、注销登记“线上全程网办+线下全城通办”工作模式，宣传指导群众</w:t>
      </w:r>
      <w:r>
        <w:rPr>
          <w:rFonts w:hint="default" w:ascii="Times New Roman" w:hAnsi="Times New Roman" w:eastAsia="方正仿宋_GBK" w:cs="Times New Roman"/>
          <w:color w:val="auto"/>
          <w:sz w:val="32"/>
          <w:szCs w:val="32"/>
          <w:highlight w:val="none"/>
          <w:lang w:val="en-US" w:eastAsia="zh-CN"/>
        </w:rPr>
        <w:t>多渠道办理经营主体登记。</w:t>
      </w:r>
      <w:r>
        <w:rPr>
          <w:rFonts w:hint="default" w:ascii="Times New Roman" w:hAnsi="Times New Roman" w:eastAsia="方正楷体_GBK" w:cs="Times New Roman"/>
          <w:color w:val="auto"/>
          <w:sz w:val="32"/>
          <w:szCs w:val="32"/>
          <w:highlight w:val="none"/>
          <w:lang w:val="en-US" w:eastAsia="zh-CN" w:bidi="ar"/>
        </w:rPr>
        <w:t>（区市场监管局牵头）</w:t>
      </w:r>
    </w:p>
    <w:p w14:paraId="0DA6AFC0">
      <w:pPr>
        <w:keepNext w:val="0"/>
        <w:keepLines w:val="0"/>
        <w:pageBreakBefore w:val="0"/>
        <w:widowControl w:val="0"/>
        <w:numPr>
          <w:ilvl w:val="0"/>
          <w:numId w:val="2"/>
        </w:numPr>
        <w:kinsoku/>
        <w:wordWrap/>
        <w:overflowPunct/>
        <w:topLinePunct w:val="0"/>
        <w:autoSpaceDE/>
        <w:autoSpaceDN/>
        <w:bidi w:val="0"/>
        <w:adjustRightInd w:val="0"/>
        <w:snapToGrid w:val="0"/>
        <w:spacing w:line="578" w:lineRule="exact"/>
        <w:ind w:firstLine="640" w:firstLineChars="200"/>
        <w:textAlignment w:val="auto"/>
        <w:rPr>
          <w:rFonts w:hint="default" w:ascii="Times New Roman" w:hAnsi="Times New Roman" w:eastAsia="方正楷体_GBK" w:cs="Times New Roman"/>
          <w:color w:val="auto"/>
          <w:sz w:val="32"/>
          <w:szCs w:val="32"/>
          <w:highlight w:val="none"/>
          <w:lang w:val="en-US" w:eastAsia="zh-CN"/>
        </w:rPr>
      </w:pPr>
      <w:r>
        <w:rPr>
          <w:rFonts w:hint="default" w:ascii="Times New Roman" w:hAnsi="Times New Roman" w:eastAsia="方正楷体_GBK" w:cs="Times New Roman"/>
          <w:color w:val="auto"/>
          <w:sz w:val="32"/>
          <w:szCs w:val="32"/>
          <w:highlight w:val="none"/>
          <w:lang w:val="en-US" w:eastAsia="zh-CN"/>
        </w:rPr>
        <w:t>优化工程建设项目审批与不动产登记服务</w:t>
      </w:r>
      <w:r>
        <w:rPr>
          <w:rFonts w:hint="eastAsia" w:ascii="Times New Roman" w:hAnsi="Times New Roman" w:eastAsia="方正楷体_GBK" w:cs="Times New Roman"/>
          <w:color w:val="auto"/>
          <w:sz w:val="32"/>
          <w:szCs w:val="32"/>
          <w:highlight w:val="none"/>
          <w:lang w:val="en-US" w:eastAsia="zh-CN"/>
        </w:rPr>
        <w:t>。</w:t>
      </w:r>
      <w:r>
        <w:rPr>
          <w:rFonts w:hint="default" w:ascii="Times New Roman" w:hAnsi="Times New Roman" w:eastAsia="方正仿宋_GBK" w:cs="Times New Roman"/>
          <w:b w:val="0"/>
          <w:bCs w:val="0"/>
          <w:color w:val="auto"/>
          <w:sz w:val="32"/>
          <w:szCs w:val="32"/>
          <w:highlight w:val="none"/>
        </w:rPr>
        <w:t>健全跨部门协同机制，紧盯项目落地、建设、投产全流程，落实一项目一专班，推行容缺受理、并联审批，着力解决项目动工难、推进慢问题。统一项目报建、验收流程标准，打通部门数据共享渠道。深化项目开工、联合验收一件事改革，强化审批环节高效衔接。精简工业项目用地、规划、人防、施工审批流程，推动各类许可事项并联办理。</w:t>
      </w:r>
      <w:r>
        <w:rPr>
          <w:rFonts w:hint="default" w:ascii="Times New Roman" w:hAnsi="Times New Roman" w:eastAsia="方正楷体_GBK" w:cs="Times New Roman"/>
          <w:b w:val="0"/>
          <w:bCs w:val="0"/>
          <w:color w:val="auto"/>
          <w:sz w:val="32"/>
          <w:szCs w:val="32"/>
          <w:highlight w:val="none"/>
        </w:rPr>
        <w:t>（</w:t>
      </w:r>
      <w:r>
        <w:rPr>
          <w:rFonts w:hint="eastAsia" w:ascii="Times New Roman" w:hAnsi="Times New Roman" w:eastAsia="方正楷体_GBK" w:cs="Times New Roman"/>
          <w:color w:val="auto"/>
          <w:sz w:val="32"/>
          <w:szCs w:val="32"/>
          <w:highlight w:val="none"/>
          <w:lang w:val="en-US" w:eastAsia="zh-CN"/>
        </w:rPr>
        <w:t>责任单位：</w:t>
      </w:r>
      <w:r>
        <w:rPr>
          <w:rFonts w:hint="default" w:ascii="Times New Roman" w:hAnsi="Times New Roman" w:eastAsia="方正楷体_GBK" w:cs="Times New Roman"/>
          <w:b w:val="0"/>
          <w:bCs w:val="0"/>
          <w:color w:val="auto"/>
          <w:sz w:val="32"/>
          <w:szCs w:val="32"/>
          <w:highlight w:val="none"/>
        </w:rPr>
        <w:t>区发展改革局、</w:t>
      </w:r>
      <w:r>
        <w:rPr>
          <w:rFonts w:hint="default" w:ascii="Times New Roman" w:hAnsi="Times New Roman" w:eastAsia="方正楷体_GBK" w:cs="Times New Roman"/>
          <w:color w:val="auto"/>
          <w:sz w:val="32"/>
          <w:szCs w:val="32"/>
          <w:highlight w:val="none"/>
          <w:lang w:val="en-US" w:eastAsia="zh-CN"/>
        </w:rPr>
        <w:t>区住房城乡建设局</w:t>
      </w:r>
      <w:r>
        <w:rPr>
          <w:rFonts w:hint="eastAsia" w:ascii="Times New Roman" w:hAnsi="Times New Roman" w:eastAsia="方正楷体_GBK" w:cs="Times New Roman"/>
          <w:b w:val="0"/>
          <w:bCs w:val="0"/>
          <w:color w:val="auto"/>
          <w:sz w:val="32"/>
          <w:szCs w:val="32"/>
          <w:highlight w:val="none"/>
          <w:lang w:val="en-US" w:eastAsia="zh-CN"/>
        </w:rPr>
        <w:t>、</w:t>
      </w:r>
      <w:r>
        <w:rPr>
          <w:rFonts w:hint="default" w:ascii="Times New Roman" w:hAnsi="Times New Roman" w:eastAsia="方正楷体_GBK" w:cs="Times New Roman"/>
          <w:color w:val="auto"/>
          <w:sz w:val="32"/>
          <w:szCs w:val="32"/>
          <w:highlight w:val="none"/>
          <w:lang w:val="en-US" w:eastAsia="zh-CN"/>
        </w:rPr>
        <w:t>区自然资源局</w:t>
      </w:r>
      <w:r>
        <w:rPr>
          <w:rFonts w:hint="eastAsia" w:ascii="Times New Roman" w:hAnsi="Times New Roman" w:eastAsia="方正楷体_GBK" w:cs="Times New Roman"/>
          <w:color w:val="auto"/>
          <w:sz w:val="32"/>
          <w:szCs w:val="32"/>
          <w:highlight w:val="none"/>
          <w:lang w:val="en-US" w:eastAsia="zh-CN"/>
        </w:rPr>
        <w:t>、区企业服务中心</w:t>
      </w:r>
      <w:r>
        <w:rPr>
          <w:rFonts w:hint="default" w:ascii="Times New Roman" w:hAnsi="Times New Roman" w:eastAsia="方正楷体_GBK" w:cs="Times New Roman"/>
          <w:color w:val="auto"/>
          <w:sz w:val="32"/>
          <w:szCs w:val="32"/>
          <w:highlight w:val="none"/>
          <w:lang w:val="en-US" w:eastAsia="zh-CN"/>
        </w:rPr>
        <w:t>）</w:t>
      </w:r>
      <w:r>
        <w:rPr>
          <w:rFonts w:hint="eastAsia" w:ascii="Times New Roman" w:hAnsi="Times New Roman" w:eastAsia="方正仿宋_GBK" w:cs="方正仿宋_GBK"/>
          <w:color w:val="auto"/>
          <w:sz w:val="32"/>
          <w:szCs w:val="32"/>
          <w:highlight w:val="none"/>
          <w:lang w:val="en-US" w:eastAsia="zh-CN" w:bidi="ar"/>
        </w:rPr>
        <w:t>推行工业项目“完工即投产”一件事改革，整合优化审批流程，推行单位工程分栋分批联合竣工验收，健全全过程监管体系。统筹项目建设审批、施工验收与厂房装修、设备安装等投产环节，构建多部门联合监管、工程安全闭环管理模式，推动工业项目快竣</w:t>
      </w:r>
      <w:r>
        <w:rPr>
          <w:rFonts w:hint="default" w:ascii="Times New Roman" w:hAnsi="Times New Roman" w:eastAsia="方正仿宋_GBK" w:cs="Times New Roman"/>
          <w:color w:val="auto"/>
          <w:sz w:val="32"/>
          <w:szCs w:val="32"/>
          <w:highlight w:val="none"/>
          <w:lang w:val="en-US" w:eastAsia="zh-CN" w:bidi="ar"/>
        </w:rPr>
        <w:t>工、快投产。</w:t>
      </w:r>
      <w:r>
        <w:rPr>
          <w:rFonts w:hint="default" w:ascii="Times New Roman" w:hAnsi="Times New Roman" w:eastAsia="方正楷体_GBK" w:cs="Times New Roman"/>
          <w:color w:val="auto"/>
          <w:sz w:val="32"/>
          <w:szCs w:val="32"/>
          <w:highlight w:val="none"/>
          <w:lang w:val="en-US" w:eastAsia="zh-CN"/>
        </w:rPr>
        <w:t>（</w:t>
      </w:r>
      <w:r>
        <w:rPr>
          <w:rFonts w:hint="eastAsia" w:ascii="Times New Roman" w:hAnsi="Times New Roman" w:eastAsia="方正楷体_GBK" w:cs="Times New Roman"/>
          <w:color w:val="auto"/>
          <w:sz w:val="32"/>
          <w:szCs w:val="32"/>
          <w:highlight w:val="none"/>
          <w:lang w:val="en-US" w:eastAsia="zh-CN"/>
        </w:rPr>
        <w:t>责任单位：</w:t>
      </w:r>
      <w:r>
        <w:rPr>
          <w:rFonts w:hint="default" w:ascii="Times New Roman" w:hAnsi="Times New Roman" w:eastAsia="方正楷体_GBK" w:cs="Times New Roman"/>
          <w:color w:val="auto"/>
          <w:sz w:val="32"/>
          <w:szCs w:val="32"/>
          <w:highlight w:val="none"/>
          <w:lang w:val="en-US" w:eastAsia="zh-CN"/>
        </w:rPr>
        <w:t>区政务和数据局</w:t>
      </w:r>
      <w:r>
        <w:rPr>
          <w:rFonts w:hint="eastAsia" w:ascii="Times New Roman" w:hAnsi="Times New Roman" w:eastAsia="方正楷体_GBK" w:cs="Times New Roman"/>
          <w:color w:val="auto"/>
          <w:sz w:val="32"/>
          <w:szCs w:val="32"/>
          <w:highlight w:val="none"/>
          <w:lang w:val="en-US" w:eastAsia="zh-CN"/>
        </w:rPr>
        <w:t>、</w:t>
      </w:r>
      <w:r>
        <w:rPr>
          <w:rFonts w:hint="default" w:ascii="Times New Roman" w:hAnsi="Times New Roman" w:eastAsia="方正楷体_GBK" w:cs="Times New Roman"/>
          <w:color w:val="auto"/>
          <w:sz w:val="32"/>
          <w:szCs w:val="32"/>
          <w:highlight w:val="none"/>
          <w:lang w:val="en-US" w:eastAsia="zh-CN"/>
        </w:rPr>
        <w:t>区住房城乡建设局、区</w:t>
      </w:r>
      <w:r>
        <w:rPr>
          <w:rFonts w:hint="eastAsia" w:ascii="Times New Roman" w:hAnsi="Times New Roman" w:eastAsia="方正楷体_GBK" w:cs="Times New Roman"/>
          <w:color w:val="auto"/>
          <w:sz w:val="32"/>
          <w:szCs w:val="32"/>
          <w:highlight w:val="none"/>
          <w:lang w:val="en-US" w:eastAsia="zh-CN"/>
        </w:rPr>
        <w:t>自然资源</w:t>
      </w:r>
      <w:r>
        <w:rPr>
          <w:rFonts w:hint="default" w:ascii="Times New Roman" w:hAnsi="Times New Roman" w:eastAsia="方正楷体_GBK" w:cs="Times New Roman"/>
          <w:color w:val="auto"/>
          <w:sz w:val="32"/>
          <w:szCs w:val="32"/>
          <w:highlight w:val="none"/>
          <w:lang w:val="en-US" w:eastAsia="zh-CN"/>
        </w:rPr>
        <w:t>局</w:t>
      </w:r>
      <w:r>
        <w:rPr>
          <w:rFonts w:hint="eastAsia" w:ascii="Times New Roman" w:hAnsi="Times New Roman" w:eastAsia="方正楷体_GBK" w:cs="Times New Roman"/>
          <w:color w:val="auto"/>
          <w:sz w:val="32"/>
          <w:szCs w:val="32"/>
          <w:highlight w:val="none"/>
          <w:lang w:val="en-US" w:eastAsia="zh-CN"/>
        </w:rPr>
        <w:t>、区企业服务中心</w:t>
      </w:r>
      <w:r>
        <w:rPr>
          <w:rFonts w:hint="default" w:ascii="Times New Roman" w:hAnsi="Times New Roman" w:eastAsia="方正楷体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持续优化环评审批服务，探索实行项目环评与排污许可联动审批、一网融合办理。</w:t>
      </w:r>
      <w:r>
        <w:rPr>
          <w:rFonts w:hint="default" w:ascii="Times New Roman" w:hAnsi="Times New Roman" w:eastAsia="方正楷体_GBK" w:cs="Times New Roman"/>
          <w:color w:val="auto"/>
          <w:sz w:val="32"/>
          <w:szCs w:val="32"/>
          <w:highlight w:val="none"/>
          <w:lang w:val="en-US" w:eastAsia="zh-CN"/>
        </w:rPr>
        <w:t>（区生态环境局牵头）</w:t>
      </w:r>
    </w:p>
    <w:p w14:paraId="185680EC">
      <w:pPr>
        <w:keepNext w:val="0"/>
        <w:keepLines w:val="0"/>
        <w:pageBreakBefore w:val="0"/>
        <w:widowControl w:val="0"/>
        <w:numPr>
          <w:ilvl w:val="0"/>
          <w:numId w:val="2"/>
        </w:numPr>
        <w:suppressLineNumbers w:val="0"/>
        <w:kinsoku/>
        <w:wordWrap/>
        <w:overflowPunct/>
        <w:topLinePunct w:val="0"/>
        <w:autoSpaceDE/>
        <w:autoSpaceDN/>
        <w:bidi w:val="0"/>
        <w:adjustRightInd w:val="0"/>
        <w:snapToGrid w:val="0"/>
        <w:spacing w:line="578" w:lineRule="exact"/>
        <w:ind w:firstLine="640" w:firstLineChars="200"/>
        <w:jc w:val="both"/>
        <w:textAlignment w:val="auto"/>
        <w:rPr>
          <w:rFonts w:hint="default" w:ascii="Times New Roman" w:hAnsi="Times New Roman" w:eastAsia="方正楷体_GBK" w:cs="Times New Roman"/>
          <w:color w:val="auto"/>
          <w:sz w:val="32"/>
          <w:szCs w:val="32"/>
          <w:highlight w:val="none"/>
          <w:lang w:eastAsia="zh-CN"/>
        </w:rPr>
      </w:pPr>
      <w:r>
        <w:rPr>
          <w:rFonts w:hint="default" w:ascii="Times New Roman" w:hAnsi="Times New Roman" w:eastAsia="方正楷体_GBK" w:cs="Times New Roman"/>
          <w:color w:val="auto"/>
          <w:sz w:val="32"/>
          <w:szCs w:val="32"/>
          <w:highlight w:val="none"/>
          <w:lang w:val="en-US" w:eastAsia="zh-CN"/>
        </w:rPr>
        <w:t>提升公共基础设施服务。</w:t>
      </w:r>
      <w:r>
        <w:rPr>
          <w:rFonts w:hint="default" w:ascii="Times New Roman" w:hAnsi="Times New Roman" w:eastAsia="方正仿宋_GBK" w:cs="Times New Roman"/>
          <w:color w:val="auto"/>
          <w:sz w:val="32"/>
          <w:szCs w:val="32"/>
          <w:highlight w:val="none"/>
          <w:lang w:val="en-US" w:eastAsia="zh-CN"/>
        </w:rPr>
        <w:t>贴合产业发展实际需求，深化园区供水专业运维服务，夯实工业园区供水管护基础。常态化开展水质、水压监测并及时公示，实施供水管网提质改造，切实提升供水保障能力。持续扩大城镇燃气管网覆盖范围，年度新建天然气管网3公里，新增天然气用户700户。</w:t>
      </w:r>
      <w:r>
        <w:rPr>
          <w:rFonts w:hint="default" w:ascii="Times New Roman" w:hAnsi="Times New Roman" w:eastAsia="方正楷体_GBK" w:cs="Times New Roman"/>
          <w:color w:val="auto"/>
          <w:sz w:val="32"/>
          <w:szCs w:val="32"/>
          <w:highlight w:val="none"/>
          <w:lang w:val="en-US" w:eastAsia="zh-CN"/>
        </w:rPr>
        <w:t>（区城市管理综合执法局牵头）</w:t>
      </w:r>
      <w:r>
        <w:rPr>
          <w:rFonts w:hint="default" w:ascii="Times New Roman" w:hAnsi="Times New Roman" w:eastAsia="方正仿宋_GBK" w:cs="Times New Roman"/>
          <w:color w:val="auto"/>
          <w:sz w:val="32"/>
          <w:szCs w:val="32"/>
          <w:highlight w:val="none"/>
          <w:lang w:val="en-US" w:eastAsia="zh-CN"/>
        </w:rPr>
        <w:t>统筹衔接园区用电布局与电力专项规划，建立重大项目专属服务机制，实现企业用电极速接入。持续创新优化办电服务，推广一次办结、信用办电、扫码用电、无界通办、巡回办电、临永</w:t>
      </w:r>
      <w:r>
        <w:rPr>
          <w:rFonts w:hint="eastAsia" w:ascii="Times New Roman" w:hAnsi="Times New Roman" w:eastAsia="方正仿宋_GBK" w:cs="Times New Roman"/>
          <w:color w:val="auto"/>
          <w:sz w:val="32"/>
          <w:szCs w:val="32"/>
          <w:highlight w:val="none"/>
          <w:lang w:val="en-US" w:eastAsia="zh-CN"/>
        </w:rPr>
        <w:t>电</w:t>
      </w:r>
      <w:r>
        <w:rPr>
          <w:rFonts w:hint="default" w:ascii="Times New Roman" w:hAnsi="Times New Roman" w:eastAsia="方正仿宋_GBK" w:cs="Times New Roman"/>
          <w:color w:val="auto"/>
          <w:sz w:val="32"/>
          <w:szCs w:val="32"/>
          <w:highlight w:val="none"/>
          <w:lang w:val="en-US" w:eastAsia="zh-CN"/>
        </w:rPr>
        <w:t>结合等服务方式，落实表计预装、勘查装表一体化办理，全面压缩办电时长。推行精准靶向供电服务，围绕产业集群需求提供定制化用电保障。实行土地证+承诺制办电，有效化解产权手续不全制约用电增容、光伏接入等问题。</w:t>
      </w:r>
      <w:r>
        <w:rPr>
          <w:rFonts w:hint="default" w:ascii="Times New Roman" w:hAnsi="Times New Roman" w:eastAsia="方正楷体_GBK" w:cs="Times New Roman"/>
          <w:color w:val="auto"/>
          <w:sz w:val="32"/>
          <w:szCs w:val="32"/>
          <w:highlight w:val="none"/>
          <w:lang w:val="en-US" w:eastAsia="zh-CN"/>
        </w:rPr>
        <w:t>（江海供电局牵头）</w:t>
      </w:r>
      <w:r>
        <w:rPr>
          <w:rFonts w:hint="default" w:ascii="Times New Roman" w:hAnsi="Times New Roman" w:eastAsia="方正仿宋_GBK" w:cs="Times New Roman"/>
          <w:color w:val="auto"/>
          <w:sz w:val="32"/>
          <w:szCs w:val="32"/>
          <w:highlight w:val="none"/>
          <w:lang w:val="en-US" w:eastAsia="zh-CN"/>
        </w:rPr>
        <w:t>积极培育建设零碳工厂，加快推进三网融合发展，推动通信基础设施共建共享，统一建设技术规范，提升网络运行质量与服务水平。统筹做好产业园区、商务楼宇通信设施规划，严格落实同步规划、同步建设、同步验收要求。</w:t>
      </w:r>
      <w:r>
        <w:rPr>
          <w:rFonts w:hint="default" w:ascii="Times New Roman" w:hAnsi="Times New Roman" w:eastAsia="方正楷体_GBK" w:cs="Times New Roman"/>
          <w:color w:val="auto"/>
          <w:sz w:val="32"/>
          <w:szCs w:val="32"/>
          <w:highlight w:val="none"/>
          <w:lang w:val="en-US" w:eastAsia="zh-CN"/>
        </w:rPr>
        <w:t>（区经济促进局牵头）</w:t>
      </w:r>
    </w:p>
    <w:p w14:paraId="64CB7955">
      <w:pPr>
        <w:keepNext w:val="0"/>
        <w:keepLines w:val="0"/>
        <w:pageBreakBefore w:val="0"/>
        <w:widowControl w:val="0"/>
        <w:numPr>
          <w:ilvl w:val="0"/>
          <w:numId w:val="2"/>
        </w:numPr>
        <w:suppressLineNumbers w:val="0"/>
        <w:kinsoku/>
        <w:wordWrap/>
        <w:overflowPunct/>
        <w:topLinePunct w:val="0"/>
        <w:autoSpaceDE/>
        <w:autoSpaceDN/>
        <w:bidi w:val="0"/>
        <w:adjustRightInd w:val="0"/>
        <w:snapToGrid w:val="0"/>
        <w:spacing w:line="578" w:lineRule="exact"/>
        <w:ind w:firstLine="640" w:firstLineChars="200"/>
        <w:jc w:val="both"/>
        <w:textAlignment w:val="auto"/>
        <w:rPr>
          <w:rFonts w:hint="default" w:ascii="Times New Roman" w:hAnsi="Times New Roman" w:eastAsia="方正楷体_GBK" w:cs="Times New Roman"/>
          <w:color w:val="auto"/>
          <w:sz w:val="32"/>
          <w:szCs w:val="32"/>
          <w:highlight w:val="none"/>
          <w:lang w:eastAsia="zh-CN"/>
        </w:rPr>
      </w:pPr>
      <w:r>
        <w:rPr>
          <w:rFonts w:hint="eastAsia" w:ascii="Times New Roman" w:hAnsi="Times New Roman" w:eastAsia="方正楷体_GBK" w:cs="方正楷体_GBK"/>
          <w:i w:val="0"/>
          <w:iCs w:val="0"/>
          <w:caps w:val="0"/>
          <w:color w:val="auto"/>
          <w:spacing w:val="0"/>
          <w:kern w:val="2"/>
          <w:sz w:val="32"/>
          <w:szCs w:val="32"/>
          <w:highlight w:val="none"/>
          <w:shd w:val="clear" w:color="auto" w:fill="auto"/>
          <w:lang w:val="en-US" w:eastAsia="zh-CN" w:bidi="ar"/>
        </w:rPr>
        <w:t>提升纳税服务水平</w:t>
      </w:r>
      <w:r>
        <w:rPr>
          <w:rFonts w:hint="eastAsia" w:ascii="Times New Roman" w:hAnsi="Times New Roman" w:eastAsia="方正楷体_GBK" w:cs="方正楷体_GBK"/>
          <w:color w:val="auto"/>
          <w:sz w:val="32"/>
          <w:szCs w:val="32"/>
          <w:highlight w:val="none"/>
          <w:lang w:val="en-US" w:eastAsia="zh-CN"/>
        </w:rPr>
        <w:t>。</w:t>
      </w:r>
      <w:r>
        <w:rPr>
          <w:rFonts w:hint="eastAsia" w:ascii="Times New Roman" w:hAnsi="Times New Roman" w:eastAsia="方正仿宋_GBK" w:cs="方正仿宋_GBK"/>
          <w:color w:val="auto"/>
          <w:sz w:val="32"/>
          <w:szCs w:val="32"/>
          <w:highlight w:val="none"/>
          <w:lang w:val="en-US" w:eastAsia="zh-CN"/>
        </w:rPr>
        <w:t>推行税费申报“智能自检”，通过精准推送、智能外呼、可视化答疑等方式，为企业提供合规申报辅导。推行社税“镇村通”服务，实现社保经办和缴费业务一体化就近、便捷办理。推广税费优惠政策红利账单查询功能，方便纳税人缴费人查询已享受红利账单数据</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楷体_GBK" w:cs="Times New Roman"/>
          <w:color w:val="auto"/>
          <w:sz w:val="32"/>
          <w:szCs w:val="32"/>
          <w:highlight w:val="none"/>
          <w:lang w:val="en-US" w:eastAsia="zh-CN"/>
        </w:rPr>
        <w:t>（区税务局牵头）</w:t>
      </w:r>
    </w:p>
    <w:p w14:paraId="48DFD038">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line="578" w:lineRule="exact"/>
        <w:ind w:firstLine="640" w:firstLineChars="200"/>
        <w:jc w:val="both"/>
        <w:textAlignment w:val="auto"/>
        <w:rPr>
          <w:rFonts w:hint="eastAsia" w:ascii="Times New Roman" w:hAnsi="Times New Roman" w:eastAsia="方正仿宋_GBK" w:cs="Times New Roman"/>
          <w:b w:val="0"/>
          <w:bCs w:val="0"/>
          <w:color w:val="auto"/>
          <w:kern w:val="2"/>
          <w:sz w:val="32"/>
          <w:szCs w:val="32"/>
          <w:highlight w:val="none"/>
          <w:lang w:val="en-US" w:eastAsia="zh-CN" w:bidi="ar-SA"/>
        </w:rPr>
      </w:pPr>
      <w:r>
        <w:rPr>
          <w:rFonts w:hint="eastAsia" w:ascii="Times New Roman" w:hAnsi="Times New Roman" w:eastAsia="方正楷体_GBK" w:cs="Times New Roman"/>
          <w:color w:val="auto"/>
          <w:sz w:val="32"/>
          <w:szCs w:val="32"/>
          <w:highlight w:val="none"/>
          <w:lang w:val="en-US" w:eastAsia="zh-CN"/>
        </w:rPr>
        <w:t>14.</w:t>
      </w:r>
      <w:r>
        <w:rPr>
          <w:rFonts w:hint="default" w:ascii="Times New Roman" w:hAnsi="Times New Roman" w:eastAsia="方正楷体_GBK" w:cs="Times New Roman"/>
          <w:color w:val="auto"/>
          <w:sz w:val="32"/>
          <w:szCs w:val="32"/>
          <w:highlight w:val="none"/>
          <w:lang w:val="en-US" w:eastAsia="zh-CN"/>
        </w:rPr>
        <w:t>优化涉企服务</w:t>
      </w:r>
      <w:r>
        <w:rPr>
          <w:rFonts w:hint="eastAsia" w:ascii="Times New Roman" w:hAnsi="Times New Roman" w:eastAsia="方正楷体_GBK" w:cs="Times New Roman"/>
          <w:color w:val="auto"/>
          <w:sz w:val="32"/>
          <w:szCs w:val="32"/>
          <w:highlight w:val="none"/>
          <w:lang w:val="en-US" w:eastAsia="zh-CN"/>
        </w:rPr>
        <w:t>，</w:t>
      </w:r>
      <w:r>
        <w:rPr>
          <w:rFonts w:hint="default" w:ascii="Times New Roman" w:hAnsi="Times New Roman" w:eastAsia="方正楷体_GBK" w:cs="Times New Roman"/>
          <w:color w:val="auto"/>
          <w:sz w:val="32"/>
          <w:szCs w:val="32"/>
          <w:highlight w:val="none"/>
          <w:lang w:val="en-US" w:eastAsia="zh-CN"/>
        </w:rPr>
        <w:t>强化权益保障。</w:t>
      </w:r>
      <w:r>
        <w:rPr>
          <w:rFonts w:hint="eastAsia" w:ascii="Times New Roman" w:hAnsi="Times New Roman" w:eastAsia="方正仿宋_GBK" w:cs="方正仿宋_GBK"/>
          <w:color w:val="auto"/>
          <w:sz w:val="32"/>
          <w:szCs w:val="32"/>
          <w:highlight w:val="none"/>
          <w:lang w:val="en-US" w:eastAsia="zh-CN"/>
        </w:rPr>
        <w:t>深化12345热线平台“即接即办”改革，统一归口诉求渠道、编制区级诉求事项实施清单，实现诉求接得更快、分得更准、办得更实、体验更好。</w:t>
      </w:r>
      <w:r>
        <w:rPr>
          <w:rFonts w:hint="eastAsia" w:ascii="Times New Roman" w:hAnsi="Times New Roman" w:eastAsia="方正仿宋_GBK" w:cs="方正仿宋_GBK"/>
          <w:color w:val="auto"/>
          <w:sz w:val="32"/>
          <w:szCs w:val="32"/>
          <w:highlight w:val="none"/>
        </w:rPr>
        <w:t>全面部署惠企政策服务系统，实现线上线下同步推进，提供统一的政策查询、精准推送、在线办理等服务。深化惠企政策数据库建设，动态归集市、区层级惠企政策，提升惠企政策知晓度与查询便利度。深化本地企业标签化管理，自动匹配适配惠企政策，</w:t>
      </w:r>
      <w:r>
        <w:rPr>
          <w:rFonts w:hint="eastAsia" w:ascii="Times New Roman" w:hAnsi="Times New Roman" w:eastAsia="方正仿宋_GBK" w:cs="方正仿宋_GBK"/>
          <w:color w:val="auto"/>
          <w:sz w:val="32"/>
          <w:szCs w:val="32"/>
          <w:highlight w:val="none"/>
          <w:lang w:val="en-US" w:eastAsia="zh-CN"/>
        </w:rPr>
        <w:t>主动向企业推送产业政策资讯。</w:t>
      </w:r>
      <w:r>
        <w:rPr>
          <w:rFonts w:hint="default" w:ascii="Times New Roman" w:hAnsi="Times New Roman" w:eastAsia="方正楷体_GBK" w:cs="Times New Roman"/>
          <w:color w:val="auto"/>
          <w:sz w:val="32"/>
          <w:szCs w:val="32"/>
          <w:highlight w:val="none"/>
          <w:lang w:val="en-US" w:eastAsia="zh-CN"/>
        </w:rPr>
        <w:t>（区政务和数据局牵头）</w:t>
      </w:r>
      <w:r>
        <w:rPr>
          <w:rFonts w:hint="default" w:ascii="Times New Roman" w:hAnsi="Times New Roman" w:eastAsia="方正仿宋_GBK" w:cs="Times New Roman"/>
          <w:b w:val="0"/>
          <w:bCs w:val="0"/>
          <w:color w:val="auto"/>
          <w:sz w:val="32"/>
          <w:szCs w:val="32"/>
          <w:highlight w:val="none"/>
        </w:rPr>
        <w:t>用好企业发展服务中心、</w:t>
      </w:r>
      <w:r>
        <w:rPr>
          <w:rFonts w:hint="eastAsia" w:ascii="Times New Roman" w:hAnsi="Times New Roman" w:eastAsia="方正仿宋_GBK" w:cs="方正仿宋_GBK"/>
          <w:b w:val="0"/>
          <w:bCs w:val="0"/>
          <w:color w:val="auto"/>
          <w:sz w:val="32"/>
          <w:szCs w:val="32"/>
          <w:highlight w:val="none"/>
        </w:rPr>
        <w:t>中小微企业诉求快速响应平台，推动政策直达快享、企业诉求“不过夜”。</w:t>
      </w:r>
      <w:r>
        <w:rPr>
          <w:rFonts w:hint="default" w:ascii="Times New Roman" w:hAnsi="Times New Roman" w:eastAsia="方正楷体_GBK" w:cs="Times New Roman"/>
          <w:b w:val="0"/>
          <w:bCs w:val="0"/>
          <w:color w:val="auto"/>
          <w:sz w:val="32"/>
          <w:szCs w:val="32"/>
          <w:highlight w:val="none"/>
        </w:rPr>
        <w:t>（区企业发展服务中心牵头</w:t>
      </w:r>
      <w:r>
        <w:rPr>
          <w:rFonts w:hint="default" w:ascii="Times New Roman" w:hAnsi="Times New Roman" w:eastAsia="方正楷体_GBK" w:cs="Times New Roman"/>
          <w:b w:val="0"/>
          <w:bCs w:val="0"/>
          <w:color w:val="auto"/>
          <w:sz w:val="32"/>
          <w:szCs w:val="32"/>
          <w:highlight w:val="none"/>
          <w:lang w:eastAsia="zh-CN"/>
        </w:rPr>
        <w:t>）</w:t>
      </w:r>
      <w:r>
        <w:rPr>
          <w:rFonts w:hint="default" w:ascii="Times New Roman" w:hAnsi="Times New Roman" w:eastAsia="方正仿宋_GBK" w:cs="Times New Roman"/>
          <w:b w:val="0"/>
          <w:bCs w:val="0"/>
          <w:color w:val="auto"/>
          <w:kern w:val="2"/>
          <w:sz w:val="32"/>
          <w:szCs w:val="32"/>
          <w:highlight w:val="none"/>
          <w:lang w:val="en-US" w:eastAsia="zh-CN" w:bidi="ar-SA"/>
        </w:rPr>
        <w:t>健全税法纪联动护企机制，聚焦民营企业发展需求，落实各类税费支持政策，开展合规培育与法治宣讲，引导企业规范稳健经营。搭建多元诉求对接渠道，实现企业诉求快速受理、闭环处置。持续规范涉企执法行为，推行综合监管、柔性执法，落实审慎监管要求，杜绝多头重复检查。优化涉企司法保障，畅通案件办理绿色通道，强化知识产权全方位保护，精准区分经济纠纷与刑事界限，依法稳妥处置涉企案件</w:t>
      </w:r>
      <w:r>
        <w:rPr>
          <w:rFonts w:hint="eastAsia" w:ascii="Times New Roman" w:hAnsi="Times New Roman" w:eastAsia="方正仿宋_GBK" w:cs="Times New Roman"/>
          <w:b w:val="0"/>
          <w:bCs w:val="0"/>
          <w:color w:val="auto"/>
          <w:kern w:val="2"/>
          <w:sz w:val="32"/>
          <w:szCs w:val="32"/>
          <w:highlight w:val="none"/>
          <w:lang w:val="en-US" w:eastAsia="zh-CN" w:bidi="ar-SA"/>
        </w:rPr>
        <w:t>，</w:t>
      </w:r>
      <w:r>
        <w:rPr>
          <w:rFonts w:hint="default" w:ascii="Times New Roman" w:hAnsi="Times New Roman" w:eastAsia="方正仿宋_GBK" w:cs="Times New Roman"/>
          <w:b w:val="0"/>
          <w:bCs w:val="0"/>
          <w:color w:val="auto"/>
          <w:kern w:val="2"/>
          <w:sz w:val="32"/>
          <w:szCs w:val="32"/>
          <w:highlight w:val="none"/>
          <w:lang w:val="en-US" w:eastAsia="zh-CN" w:bidi="ar-SA"/>
        </w:rPr>
        <w:t>维护企业及企业家合法权益</w:t>
      </w:r>
      <w:r>
        <w:rPr>
          <w:rFonts w:hint="eastAsia" w:ascii="Times New Roman" w:hAnsi="Times New Roman" w:eastAsia="方正楷体_GBK" w:cs="Times New Roman"/>
          <w:b w:val="0"/>
          <w:bCs w:val="0"/>
          <w:color w:val="auto"/>
          <w:kern w:val="2"/>
          <w:sz w:val="32"/>
          <w:szCs w:val="32"/>
          <w:highlight w:val="none"/>
          <w:lang w:val="en-US" w:eastAsia="zh-CN" w:bidi="ar-SA"/>
        </w:rPr>
        <w:t>（责任单位：</w:t>
      </w:r>
      <w:r>
        <w:rPr>
          <w:rFonts w:hint="default" w:ascii="Times New Roman" w:hAnsi="Times New Roman" w:eastAsia="方正楷体_GBK" w:cs="Times New Roman"/>
          <w:b w:val="0"/>
          <w:bCs w:val="0"/>
          <w:color w:val="auto"/>
          <w:kern w:val="2"/>
          <w:sz w:val="32"/>
          <w:szCs w:val="32"/>
          <w:highlight w:val="none"/>
          <w:lang w:val="en-US" w:eastAsia="zh-CN" w:bidi="ar-SA"/>
        </w:rPr>
        <w:t>区纪委监委</w:t>
      </w:r>
      <w:r>
        <w:rPr>
          <w:rFonts w:hint="eastAsia" w:ascii="Times New Roman" w:hAnsi="Times New Roman" w:eastAsia="方正楷体_GBK" w:cs="Times New Roman"/>
          <w:b w:val="0"/>
          <w:bCs w:val="0"/>
          <w:color w:val="auto"/>
          <w:kern w:val="2"/>
          <w:sz w:val="32"/>
          <w:szCs w:val="32"/>
          <w:highlight w:val="none"/>
          <w:lang w:val="en-US" w:eastAsia="zh-CN" w:bidi="ar-SA"/>
        </w:rPr>
        <w:t>、</w:t>
      </w:r>
      <w:r>
        <w:rPr>
          <w:rFonts w:hint="default" w:ascii="Times New Roman" w:hAnsi="Times New Roman" w:eastAsia="方正楷体_GBK" w:cs="Times New Roman"/>
          <w:b w:val="0"/>
          <w:bCs w:val="0"/>
          <w:color w:val="auto"/>
          <w:kern w:val="2"/>
          <w:sz w:val="32"/>
          <w:szCs w:val="32"/>
          <w:highlight w:val="none"/>
          <w:lang w:val="en-US" w:eastAsia="zh-CN" w:bidi="ar-SA"/>
        </w:rPr>
        <w:t>区委政法委</w:t>
      </w:r>
      <w:r>
        <w:rPr>
          <w:rFonts w:hint="eastAsia" w:ascii="Times New Roman" w:hAnsi="Times New Roman" w:eastAsia="方正楷体_GBK" w:cs="Times New Roman"/>
          <w:b w:val="0"/>
          <w:bCs w:val="0"/>
          <w:color w:val="auto"/>
          <w:kern w:val="2"/>
          <w:sz w:val="32"/>
          <w:szCs w:val="32"/>
          <w:highlight w:val="none"/>
          <w:lang w:val="en-US" w:eastAsia="zh-CN" w:bidi="ar-SA"/>
        </w:rPr>
        <w:t>、</w:t>
      </w:r>
      <w:r>
        <w:rPr>
          <w:rFonts w:hint="default" w:ascii="Times New Roman" w:hAnsi="Times New Roman" w:eastAsia="方正楷体_GBK" w:cs="Times New Roman"/>
          <w:b w:val="0"/>
          <w:bCs w:val="0"/>
          <w:color w:val="auto"/>
          <w:kern w:val="2"/>
          <w:sz w:val="32"/>
          <w:szCs w:val="32"/>
          <w:highlight w:val="none"/>
          <w:lang w:val="en-US" w:eastAsia="zh-CN" w:bidi="ar-SA"/>
        </w:rPr>
        <w:t>区法院</w:t>
      </w:r>
      <w:r>
        <w:rPr>
          <w:rFonts w:hint="eastAsia" w:ascii="Times New Roman" w:hAnsi="Times New Roman" w:eastAsia="方正楷体_GBK" w:cs="Times New Roman"/>
          <w:b w:val="0"/>
          <w:bCs w:val="0"/>
          <w:color w:val="auto"/>
          <w:kern w:val="2"/>
          <w:sz w:val="32"/>
          <w:szCs w:val="32"/>
          <w:highlight w:val="none"/>
          <w:lang w:val="en-US" w:eastAsia="zh-CN" w:bidi="ar-SA"/>
        </w:rPr>
        <w:t>、</w:t>
      </w:r>
      <w:r>
        <w:rPr>
          <w:rFonts w:hint="default" w:ascii="Times New Roman" w:hAnsi="Times New Roman" w:eastAsia="方正楷体_GBK" w:cs="Times New Roman"/>
          <w:b w:val="0"/>
          <w:bCs w:val="0"/>
          <w:color w:val="auto"/>
          <w:kern w:val="2"/>
          <w:sz w:val="32"/>
          <w:szCs w:val="32"/>
          <w:highlight w:val="none"/>
          <w:lang w:val="en-US" w:eastAsia="zh-CN" w:bidi="ar-SA"/>
        </w:rPr>
        <w:t>区检察院</w:t>
      </w:r>
      <w:r>
        <w:rPr>
          <w:rFonts w:hint="eastAsia" w:ascii="Times New Roman" w:hAnsi="Times New Roman" w:eastAsia="方正楷体_GBK" w:cs="Times New Roman"/>
          <w:b w:val="0"/>
          <w:bCs w:val="0"/>
          <w:color w:val="auto"/>
          <w:kern w:val="2"/>
          <w:sz w:val="32"/>
          <w:szCs w:val="32"/>
          <w:highlight w:val="none"/>
          <w:lang w:val="en-US" w:eastAsia="zh-CN" w:bidi="ar-SA"/>
        </w:rPr>
        <w:t>、区发展改革局、</w:t>
      </w:r>
      <w:r>
        <w:rPr>
          <w:rFonts w:hint="default" w:ascii="Times New Roman" w:hAnsi="Times New Roman" w:eastAsia="方正楷体_GBK" w:cs="Times New Roman"/>
          <w:b w:val="0"/>
          <w:bCs w:val="0"/>
          <w:color w:val="auto"/>
          <w:kern w:val="2"/>
          <w:sz w:val="32"/>
          <w:szCs w:val="32"/>
          <w:highlight w:val="none"/>
          <w:lang w:val="en-US" w:eastAsia="zh-CN" w:bidi="ar-SA"/>
        </w:rPr>
        <w:t>区司法局</w:t>
      </w:r>
      <w:r>
        <w:rPr>
          <w:rFonts w:hint="eastAsia" w:ascii="Times New Roman" w:hAnsi="Times New Roman" w:eastAsia="方正楷体_GBK" w:cs="Times New Roman"/>
          <w:b w:val="0"/>
          <w:bCs w:val="0"/>
          <w:color w:val="auto"/>
          <w:kern w:val="2"/>
          <w:sz w:val="32"/>
          <w:szCs w:val="32"/>
          <w:highlight w:val="none"/>
          <w:lang w:val="en-US" w:eastAsia="zh-CN" w:bidi="ar-SA"/>
        </w:rPr>
        <w:t>、</w:t>
      </w:r>
      <w:r>
        <w:rPr>
          <w:rFonts w:hint="default" w:ascii="Times New Roman" w:hAnsi="Times New Roman" w:eastAsia="方正楷体_GBK" w:cs="Times New Roman"/>
          <w:b w:val="0"/>
          <w:bCs w:val="0"/>
          <w:color w:val="auto"/>
          <w:kern w:val="2"/>
          <w:sz w:val="32"/>
          <w:szCs w:val="32"/>
          <w:highlight w:val="none"/>
          <w:lang w:val="en-US" w:eastAsia="zh-CN" w:bidi="ar-SA"/>
        </w:rPr>
        <w:t>区税务局</w:t>
      </w:r>
      <w:r>
        <w:rPr>
          <w:rFonts w:hint="eastAsia" w:ascii="Times New Roman" w:hAnsi="Times New Roman" w:eastAsia="方正楷体_GBK" w:cs="Times New Roman"/>
          <w:b w:val="0"/>
          <w:bCs w:val="0"/>
          <w:color w:val="auto"/>
          <w:kern w:val="2"/>
          <w:sz w:val="32"/>
          <w:szCs w:val="32"/>
          <w:highlight w:val="none"/>
          <w:lang w:val="en-US" w:eastAsia="zh-CN" w:bidi="ar-SA"/>
        </w:rPr>
        <w:t>）</w:t>
      </w:r>
    </w:p>
    <w:p w14:paraId="1C233B65">
      <w:pPr>
        <w:keepNext w:val="0"/>
        <w:keepLines w:val="0"/>
        <w:pageBreakBefore w:val="0"/>
        <w:widowControl w:val="0"/>
        <w:numPr>
          <w:ilvl w:val="0"/>
          <w:numId w:val="1"/>
        </w:numPr>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eastAsia="方正黑体_GBK" w:cs="Times New Roman"/>
          <w:color w:val="auto"/>
          <w:sz w:val="32"/>
          <w:szCs w:val="32"/>
          <w:highlight w:val="none"/>
          <w:lang w:val="en-US" w:eastAsia="zh-CN"/>
        </w:rPr>
      </w:pPr>
      <w:r>
        <w:rPr>
          <w:rFonts w:hint="default" w:ascii="Times New Roman" w:hAnsi="Times New Roman" w:eastAsia="方正黑体_GBK" w:cs="Times New Roman"/>
          <w:color w:val="auto"/>
          <w:sz w:val="32"/>
          <w:szCs w:val="32"/>
          <w:highlight w:val="none"/>
          <w:lang w:val="en-US" w:eastAsia="zh-CN"/>
        </w:rPr>
        <w:t>完善市场体系</w:t>
      </w:r>
    </w:p>
    <w:p w14:paraId="7C28C5D2">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jc w:val="both"/>
        <w:textAlignment w:val="auto"/>
        <w:rPr>
          <w:rFonts w:hint="default" w:ascii="Times New Roman" w:hAnsi="Times New Roman" w:eastAsia="方正楷体_GBK" w:cs="Times New Roman"/>
          <w:color w:val="auto"/>
          <w:sz w:val="32"/>
          <w:szCs w:val="32"/>
          <w:highlight w:val="none"/>
          <w:lang w:val="en-US" w:eastAsia="zh-CN" w:bidi="ar"/>
        </w:rPr>
      </w:pPr>
      <w:r>
        <w:rPr>
          <w:rFonts w:hint="eastAsia" w:ascii="Times New Roman" w:hAnsi="Times New Roman" w:eastAsia="方正楷体_GBK" w:cs="Times New Roman"/>
          <w:color w:val="auto"/>
          <w:sz w:val="32"/>
          <w:szCs w:val="32"/>
          <w:highlight w:val="none"/>
          <w:lang w:val="en-US" w:eastAsia="zh-CN"/>
        </w:rPr>
        <w:t>15.</w:t>
      </w:r>
      <w:r>
        <w:rPr>
          <w:rFonts w:hint="default" w:ascii="Times New Roman" w:hAnsi="Times New Roman" w:eastAsia="方正楷体_GBK" w:cs="Times New Roman"/>
          <w:color w:val="auto"/>
          <w:sz w:val="32"/>
          <w:szCs w:val="32"/>
          <w:highlight w:val="none"/>
          <w:lang w:val="en-US" w:eastAsia="zh-CN"/>
        </w:rPr>
        <w:t>便利新业态新领域市场准入。</w:t>
      </w:r>
      <w:r>
        <w:rPr>
          <w:rFonts w:hint="default" w:ascii="Times New Roman" w:hAnsi="Times New Roman" w:eastAsia="方正仿宋_GBK" w:cs="Times New Roman"/>
          <w:i w:val="0"/>
          <w:iCs w:val="0"/>
          <w:caps w:val="0"/>
          <w:color w:val="auto"/>
          <w:spacing w:val="0"/>
          <w:kern w:val="2"/>
          <w:sz w:val="32"/>
          <w:szCs w:val="32"/>
          <w:highlight w:val="none"/>
          <w:lang w:val="en-US" w:eastAsia="zh-CN" w:bidi="ar"/>
        </w:rPr>
        <w:t>推进智能网联汽车道路测试和示范应用，推动跨区域道路测试结果和牌照互认。推广智能网联汽车在无人配送、景区接驳、物流运输、智能环卫等场景的应用。</w:t>
      </w:r>
      <w:r>
        <w:rPr>
          <w:rFonts w:hint="default" w:ascii="Times New Roman" w:hAnsi="Times New Roman" w:eastAsia="方正仿宋_GBK" w:cs="Times New Roman"/>
          <w:color w:val="auto"/>
          <w:sz w:val="32"/>
          <w:szCs w:val="32"/>
          <w:highlight w:val="none"/>
          <w:lang w:val="en-US" w:eastAsia="zh-CN"/>
        </w:rPr>
        <w:t>加快推进无人配送车辆落地，建立健全工作机制，突破无人配送车辆上路的制度障碍，发展智慧物流配送。</w:t>
      </w:r>
      <w:r>
        <w:rPr>
          <w:rFonts w:hint="default" w:ascii="Times New Roman" w:hAnsi="Times New Roman" w:eastAsia="方正楷体_GBK" w:cs="Times New Roman"/>
          <w:color w:val="auto"/>
          <w:sz w:val="32"/>
          <w:szCs w:val="32"/>
          <w:highlight w:val="none"/>
          <w:lang w:val="en-US" w:eastAsia="zh-CN"/>
        </w:rPr>
        <w:t>（</w:t>
      </w:r>
      <w:r>
        <w:rPr>
          <w:rFonts w:hint="eastAsia" w:ascii="Times New Roman" w:hAnsi="Times New Roman" w:eastAsia="方正楷体_GBK" w:cs="Times New Roman"/>
          <w:color w:val="auto"/>
          <w:sz w:val="32"/>
          <w:szCs w:val="32"/>
          <w:highlight w:val="none"/>
          <w:lang w:val="en-US" w:eastAsia="zh-CN"/>
        </w:rPr>
        <w:t>责任单位：</w:t>
      </w:r>
      <w:r>
        <w:rPr>
          <w:rFonts w:hint="default" w:ascii="Times New Roman" w:hAnsi="Times New Roman" w:eastAsia="方正楷体_GBK" w:cs="Times New Roman"/>
          <w:color w:val="auto"/>
          <w:sz w:val="32"/>
          <w:szCs w:val="32"/>
          <w:highlight w:val="none"/>
          <w:lang w:val="en-US" w:eastAsia="zh-CN"/>
        </w:rPr>
        <w:t>区经济促进局、江海交警大队、区住房城乡建设局牵头）</w:t>
      </w:r>
      <w:r>
        <w:rPr>
          <w:rFonts w:hint="eastAsia" w:ascii="Times New Roman" w:hAnsi="Times New Roman" w:eastAsia="方正仿宋_GBK" w:cs="方正仿宋_GBK"/>
          <w:color w:val="auto"/>
          <w:sz w:val="32"/>
          <w:szCs w:val="32"/>
          <w:highlight w:val="none"/>
          <w:lang w:val="en-US" w:eastAsia="zh-CN"/>
        </w:rPr>
        <w:t>大力实施“人工智能+”行动，</w:t>
      </w:r>
      <w:r>
        <w:rPr>
          <w:rFonts w:hint="eastAsia" w:ascii="Times New Roman" w:hAnsi="Times New Roman" w:eastAsia="方正仿宋_GBK" w:cs="方正仿宋_GBK"/>
          <w:sz w:val="32"/>
          <w:szCs w:val="32"/>
          <w:highlight w:val="none"/>
          <w:lang w:val="en-US" w:eastAsia="zh-CN"/>
        </w:rPr>
        <w:t>建立完善“人工智能+制造业”机制，</w:t>
      </w:r>
      <w:r>
        <w:rPr>
          <w:rFonts w:hint="eastAsia" w:ascii="Times New Roman" w:hAnsi="Times New Roman" w:eastAsia="方正仿宋_GBK" w:cs="方正仿宋_GBK"/>
          <w:color w:val="auto"/>
          <w:sz w:val="32"/>
          <w:szCs w:val="32"/>
          <w:highlight w:val="none"/>
          <w:lang w:val="en-US" w:eastAsia="zh-CN"/>
        </w:rPr>
        <w:t>用好全市中小企业数字化转型城市试点政策，开展数字化赋能宣讲培训，为中小制造企业提供转型诊断、落地实施全链条服务，普及智能生产应用，助力企业降本增效。</w:t>
      </w:r>
      <w:r>
        <w:rPr>
          <w:rFonts w:hint="default" w:ascii="Times New Roman" w:hAnsi="Times New Roman" w:eastAsia="方正楷体_GBK" w:cs="Times New Roman"/>
          <w:i w:val="0"/>
          <w:iCs w:val="0"/>
          <w:caps w:val="0"/>
          <w:color w:val="auto"/>
          <w:spacing w:val="0"/>
          <w:kern w:val="2"/>
          <w:sz w:val="32"/>
          <w:szCs w:val="32"/>
          <w:highlight w:val="none"/>
          <w:lang w:val="en-US" w:eastAsia="zh-CN" w:bidi="ar"/>
        </w:rPr>
        <w:t>（</w:t>
      </w:r>
      <w:r>
        <w:rPr>
          <w:rFonts w:hint="default" w:ascii="Times New Roman" w:hAnsi="Times New Roman" w:eastAsia="方正楷体_GBK" w:cs="Times New Roman"/>
          <w:color w:val="auto"/>
          <w:sz w:val="32"/>
          <w:szCs w:val="32"/>
          <w:highlight w:val="none"/>
          <w:lang w:val="en-US" w:eastAsia="zh-CN"/>
        </w:rPr>
        <w:t>区经济促进局</w:t>
      </w:r>
      <w:r>
        <w:rPr>
          <w:rFonts w:hint="default" w:ascii="Times New Roman" w:hAnsi="Times New Roman" w:eastAsia="方正楷体_GBK" w:cs="Times New Roman"/>
          <w:i w:val="0"/>
          <w:iCs w:val="0"/>
          <w:caps w:val="0"/>
          <w:color w:val="auto"/>
          <w:spacing w:val="0"/>
          <w:kern w:val="2"/>
          <w:sz w:val="32"/>
          <w:szCs w:val="32"/>
          <w:highlight w:val="none"/>
          <w:lang w:val="en-US" w:eastAsia="zh-CN" w:bidi="ar"/>
        </w:rPr>
        <w:t>牵头）</w:t>
      </w:r>
    </w:p>
    <w:p w14:paraId="7B34F5CA">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jc w:val="both"/>
        <w:textAlignment w:val="auto"/>
        <w:rPr>
          <w:rFonts w:hint="default" w:ascii="Times New Roman" w:hAnsi="Times New Roman" w:eastAsia="方正黑体_GBK" w:cs="Times New Roman"/>
          <w:color w:val="auto"/>
          <w:sz w:val="32"/>
          <w:szCs w:val="32"/>
          <w:highlight w:val="none"/>
          <w:lang w:val="en-US" w:eastAsia="zh-CN"/>
        </w:rPr>
      </w:pPr>
      <w:r>
        <w:rPr>
          <w:rFonts w:hint="eastAsia" w:ascii="Times New Roman" w:hAnsi="Times New Roman" w:eastAsia="方正楷体_GBK" w:cs="Times New Roman"/>
          <w:color w:val="auto"/>
          <w:sz w:val="32"/>
          <w:szCs w:val="32"/>
          <w:highlight w:val="none"/>
          <w:shd w:val="clear" w:color="auto" w:fill="auto"/>
          <w:lang w:val="en-US" w:eastAsia="zh-CN" w:bidi="ar"/>
        </w:rPr>
        <w:t>16.</w:t>
      </w:r>
      <w:r>
        <w:rPr>
          <w:rFonts w:hint="default" w:ascii="Times New Roman" w:hAnsi="Times New Roman" w:eastAsia="方正楷体_GBK" w:cs="Times New Roman"/>
          <w:color w:val="auto"/>
          <w:sz w:val="32"/>
          <w:szCs w:val="32"/>
          <w:highlight w:val="none"/>
          <w:shd w:val="clear" w:color="auto" w:fill="auto"/>
          <w:lang w:val="en-US" w:eastAsia="zh-CN" w:bidi="ar"/>
        </w:rPr>
        <w:t>维护</w:t>
      </w:r>
      <w:r>
        <w:rPr>
          <w:rFonts w:hint="default" w:ascii="Times New Roman" w:hAnsi="Times New Roman" w:eastAsia="方正楷体_GBK" w:cs="Times New Roman"/>
          <w:color w:val="auto"/>
          <w:sz w:val="32"/>
          <w:szCs w:val="32"/>
          <w:highlight w:val="none"/>
          <w:lang w:val="en-US" w:eastAsia="zh-CN"/>
        </w:rPr>
        <w:t>公平竞争市场秩序。</w:t>
      </w:r>
      <w:r>
        <w:rPr>
          <w:rFonts w:hint="default" w:ascii="Times New Roman" w:hAnsi="Times New Roman" w:eastAsia="方正仿宋_GBK" w:cs="Times New Roman"/>
          <w:color w:val="auto"/>
          <w:sz w:val="32"/>
          <w:szCs w:val="32"/>
          <w:highlight w:val="none"/>
          <w:lang w:val="en-US" w:eastAsia="zh-CN"/>
        </w:rPr>
        <w:t>加强反垄断与反不正当竞争执法，严查价格欺诈、虚假宣传等行为。强化平台经济、重点领域治理。畅通投诉举报渠道，引导企业诚信经营，营造公开透明、公平有序的市场环境。</w:t>
      </w:r>
      <w:r>
        <w:rPr>
          <w:rFonts w:hint="default" w:ascii="Times New Roman" w:hAnsi="Times New Roman" w:eastAsia="方正楷体_GBK" w:cs="Times New Roman"/>
          <w:color w:val="auto"/>
          <w:sz w:val="32"/>
          <w:szCs w:val="32"/>
          <w:highlight w:val="none"/>
          <w:lang w:val="en-US" w:eastAsia="zh-CN"/>
        </w:rPr>
        <w:t>（区市场监管局牵头）</w:t>
      </w:r>
      <w:r>
        <w:rPr>
          <w:rFonts w:hint="default" w:ascii="Times New Roman" w:hAnsi="Times New Roman" w:eastAsia="方正仿宋_GBK" w:cs="Times New Roman"/>
          <w:color w:val="auto"/>
          <w:sz w:val="32"/>
          <w:szCs w:val="32"/>
          <w:highlight w:val="none"/>
          <w:lang w:eastAsia="zh-CN"/>
        </w:rPr>
        <w:t>修订完善《江门高新区（江海区）便民服务疏导区（点）设置和管理工作方案》，统筹推进便民疏导点位布设。指导各街道结合辖区实际，依规增设合规摊贩疏导点位，激活夜间经济发展活力。常态化开展督导巡查，严格落实管理标准，及时整改各类问题，保障疏导区域规范运营。细化户外广告、招牌设置规范，强化前置服务指导，压缩审批办理时限，健全审批监管联动机制，抓实事中事后日常巡查，实现精细化规范化管理。</w:t>
      </w:r>
      <w:r>
        <w:rPr>
          <w:rFonts w:hint="default" w:ascii="Times New Roman" w:hAnsi="Times New Roman" w:eastAsia="方正楷体_GBK" w:cs="Times New Roman"/>
          <w:color w:val="auto"/>
          <w:sz w:val="32"/>
          <w:szCs w:val="32"/>
          <w:highlight w:val="none"/>
          <w:lang w:val="en-US" w:eastAsia="zh-CN"/>
        </w:rPr>
        <w:t>（区城市管理综合执法局牵头）</w:t>
      </w:r>
      <w:r>
        <w:rPr>
          <w:rFonts w:hint="default" w:ascii="Times New Roman" w:hAnsi="Times New Roman" w:eastAsia="方正仿宋_GBK" w:cs="Times New Roman"/>
          <w:color w:val="auto"/>
          <w:sz w:val="32"/>
          <w:szCs w:val="32"/>
          <w:highlight w:val="none"/>
          <w:lang w:eastAsia="zh-CN"/>
        </w:rPr>
        <w:t>依托辖区文体场馆、演艺场所、高校资源，集聚文创机构与创新创业主体，聚力打造特色创意生态街区。</w:t>
      </w:r>
      <w:r>
        <w:rPr>
          <w:rFonts w:hint="default" w:ascii="Times New Roman" w:hAnsi="Times New Roman" w:eastAsia="方正楷体_GBK" w:cs="Times New Roman"/>
          <w:color w:val="auto"/>
          <w:sz w:val="32"/>
          <w:szCs w:val="32"/>
          <w:highlight w:val="none"/>
          <w:lang w:val="en-US" w:eastAsia="zh-CN"/>
        </w:rPr>
        <w:t>（区文广旅体局牵头）</w:t>
      </w:r>
    </w:p>
    <w:p w14:paraId="1CB27BC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rPr>
          <w:rFonts w:hint="default" w:ascii="Times New Roman" w:hAnsi="Times New Roman" w:eastAsia="方正楷体_GBK" w:cs="Times New Roman"/>
          <w:color w:val="auto"/>
          <w:sz w:val="32"/>
          <w:szCs w:val="32"/>
          <w:highlight w:val="none"/>
          <w:lang w:val="en-US" w:eastAsia="zh-CN"/>
        </w:rPr>
      </w:pPr>
      <w:r>
        <w:rPr>
          <w:rFonts w:hint="default" w:ascii="Times New Roman" w:hAnsi="Times New Roman" w:eastAsia="方正楷体_GBK" w:cs="Times New Roman"/>
          <w:color w:val="auto"/>
          <w:sz w:val="32"/>
          <w:szCs w:val="32"/>
          <w:highlight w:val="none"/>
          <w:lang w:val="en-US" w:eastAsia="zh-CN"/>
        </w:rPr>
        <w:t>1</w:t>
      </w:r>
      <w:r>
        <w:rPr>
          <w:rFonts w:hint="eastAsia" w:ascii="Times New Roman" w:hAnsi="Times New Roman" w:eastAsia="方正楷体_GBK" w:cs="Times New Roman"/>
          <w:color w:val="auto"/>
          <w:sz w:val="32"/>
          <w:szCs w:val="32"/>
          <w:highlight w:val="none"/>
          <w:lang w:val="en-US" w:eastAsia="zh-CN"/>
        </w:rPr>
        <w:t>7</w:t>
      </w:r>
      <w:r>
        <w:rPr>
          <w:rFonts w:hint="default" w:ascii="Times New Roman" w:hAnsi="Times New Roman" w:eastAsia="方正楷体_GBK" w:cs="Times New Roman"/>
          <w:color w:val="auto"/>
          <w:sz w:val="32"/>
          <w:szCs w:val="32"/>
          <w:highlight w:val="none"/>
          <w:lang w:val="en-US" w:eastAsia="zh-CN"/>
        </w:rPr>
        <w:t>.深化招投标领域专项治理。</w:t>
      </w:r>
      <w:r>
        <w:rPr>
          <w:rFonts w:hint="default" w:ascii="Times New Roman" w:hAnsi="Times New Roman" w:eastAsia="方正仿宋_GBK" w:cs="Times New Roman"/>
          <w:color w:val="auto"/>
          <w:sz w:val="32"/>
          <w:szCs w:val="32"/>
          <w:highlight w:val="none"/>
          <w:lang w:val="en-US" w:eastAsia="zh-CN"/>
        </w:rPr>
        <w:t>常态化推进政府招标投标乱象整治，全面清理市场隐性壁垒，破除地方保护限制，严厉打击围标串标各类违法违规行为，持续规范公共资源交易市场秩序。鼓励招标人通过预留份额、完善评标标准、提高首付款比例等方式支持中小企业参与投标。积极推行暗标评审、分区隔离分散评标模式，最大限度减少人为评审干预。抓实标后履约全过程监管，健全信用监管与联动执法体系，严格落实交易干预行为登记报备制度。</w:t>
      </w:r>
      <w:r>
        <w:rPr>
          <w:rFonts w:hint="default" w:ascii="Times New Roman" w:hAnsi="Times New Roman" w:eastAsia="方正楷体_GBK" w:cs="Times New Roman"/>
          <w:color w:val="auto"/>
          <w:sz w:val="32"/>
          <w:szCs w:val="32"/>
          <w:highlight w:val="none"/>
          <w:lang w:val="en-US" w:eastAsia="zh-CN"/>
        </w:rPr>
        <w:t>（责任单位：区发展改革局、各行业主管部门）</w:t>
      </w:r>
    </w:p>
    <w:p w14:paraId="6BCC036B">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rPr>
          <w:rFonts w:hint="default" w:ascii="Times New Roman" w:hAnsi="Times New Roman" w:eastAsia="方正楷体_GBK" w:cs="Times New Roman"/>
          <w:color w:val="auto"/>
          <w:sz w:val="32"/>
          <w:szCs w:val="32"/>
          <w:highlight w:val="none"/>
          <w:lang w:val="en-US" w:eastAsia="zh-CN"/>
        </w:rPr>
      </w:pPr>
      <w:r>
        <w:rPr>
          <w:rFonts w:hint="eastAsia" w:ascii="Times New Roman" w:hAnsi="Times New Roman" w:eastAsia="方正楷体_GBK" w:cs="Times New Roman"/>
          <w:color w:val="auto"/>
          <w:sz w:val="32"/>
          <w:szCs w:val="32"/>
          <w:highlight w:val="none"/>
          <w:lang w:val="en-US" w:eastAsia="zh-CN"/>
        </w:rPr>
        <w:t>18.</w:t>
      </w:r>
      <w:r>
        <w:rPr>
          <w:rFonts w:hint="default" w:ascii="Times New Roman" w:hAnsi="Times New Roman" w:eastAsia="方正楷体_GBK" w:cs="Times New Roman"/>
          <w:color w:val="auto"/>
          <w:sz w:val="32"/>
          <w:szCs w:val="32"/>
          <w:highlight w:val="none"/>
          <w:lang w:val="en-US" w:eastAsia="zh-CN"/>
        </w:rPr>
        <w:t>规范政府采购行为。</w:t>
      </w:r>
      <w:r>
        <w:rPr>
          <w:rFonts w:hint="default" w:ascii="Times New Roman" w:hAnsi="Times New Roman" w:eastAsia="方正仿宋_GBK" w:cs="Times New Roman"/>
          <w:color w:val="auto"/>
          <w:sz w:val="32"/>
          <w:szCs w:val="32"/>
          <w:highlight w:val="none"/>
          <w:lang w:val="en-US" w:eastAsia="zh-CN"/>
        </w:rPr>
        <w:t>推动解决政府采购异常低价问题，科学制定采购需求，强化评审核查与智慧监管，对异常低价报价立即启动审查程序，严肃查处违法违规行为。依托省政采智慧云平台，实现政府采购全流程电子化办理。不收投标保证金，鼓励通过履约保函替代履约保证金收取，履约保函线上办理。落实中小企业扶持政策，小微企业享受10%-20%价格扣除优惠。提高合同签订效率，鼓励中标、成交通知书发出之日起10日内签订合同。落实信息公开，合同签订后2个工作日内线上公开。重视履约验收，加强预算和计划管理，确保按期支付合同款项。</w:t>
      </w:r>
      <w:r>
        <w:rPr>
          <w:rFonts w:hint="default" w:ascii="Times New Roman" w:hAnsi="Times New Roman" w:eastAsia="方正楷体_GBK" w:cs="Times New Roman"/>
          <w:color w:val="auto"/>
          <w:sz w:val="32"/>
          <w:szCs w:val="32"/>
          <w:highlight w:val="none"/>
          <w:lang w:val="en-US" w:eastAsia="zh-CN"/>
        </w:rPr>
        <w:t>（区财政局牵头）</w:t>
      </w:r>
    </w:p>
    <w:p w14:paraId="357A02F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rPr>
          <w:rFonts w:hint="default" w:ascii="Times New Roman" w:hAnsi="Times New Roman" w:eastAsia="方正楷体_GBK" w:cs="Times New Roman"/>
          <w:color w:val="auto"/>
          <w:sz w:val="32"/>
          <w:szCs w:val="32"/>
          <w:highlight w:val="none"/>
          <w:lang w:val="en-US" w:eastAsia="zh-CN"/>
        </w:rPr>
      </w:pPr>
      <w:r>
        <w:rPr>
          <w:rFonts w:hint="eastAsia" w:ascii="Times New Roman" w:hAnsi="Times New Roman" w:eastAsia="方正楷体_GBK" w:cs="Times New Roman"/>
          <w:color w:val="auto"/>
          <w:sz w:val="32"/>
          <w:szCs w:val="32"/>
          <w:highlight w:val="none"/>
          <w:lang w:val="en-US" w:eastAsia="zh-CN"/>
        </w:rPr>
        <w:t>19.</w:t>
      </w:r>
      <w:r>
        <w:rPr>
          <w:rFonts w:hint="default" w:ascii="Times New Roman" w:hAnsi="Times New Roman" w:eastAsia="方正楷体_GBK" w:cs="Times New Roman"/>
          <w:color w:val="auto"/>
          <w:sz w:val="32"/>
          <w:szCs w:val="32"/>
          <w:highlight w:val="none"/>
          <w:lang w:val="en-US" w:eastAsia="zh-CN"/>
        </w:rPr>
        <w:t>加速发展技术市场。</w:t>
      </w:r>
      <w:r>
        <w:rPr>
          <w:rFonts w:hint="eastAsia" w:ascii="方正仿宋_GBK" w:hAnsi="方正仿宋_GBK" w:eastAsia="方正仿宋_GBK" w:cs="方正仿宋_GBK"/>
          <w:color w:val="auto"/>
          <w:sz w:val="32"/>
          <w:szCs w:val="32"/>
          <w:highlight w:val="none"/>
        </w:rPr>
        <w:t>落实大型科研仪器设施开放共享机制，推进使用需求与共享服务高效对接，降低企业创新成本。推广科技成果“先使用后付费”模式或“先用后转”，加速科技成果转化应用。</w:t>
      </w:r>
      <w:r>
        <w:rPr>
          <w:rFonts w:hint="eastAsia" w:ascii="方正仿宋_GBK" w:hAnsi="方正仿宋_GBK" w:eastAsia="方正仿宋_GBK" w:cs="方正仿宋_GBK"/>
          <w:color w:val="auto"/>
          <w:sz w:val="32"/>
          <w:szCs w:val="32"/>
          <w:highlight w:val="none"/>
          <w:lang w:eastAsia="zh-CN"/>
        </w:rPr>
        <w:t>积极开展技术经理人培育工作，加快提升技术转移机构科技成果转化服务能力，力争促进全区</w:t>
      </w:r>
      <w:r>
        <w:rPr>
          <w:rFonts w:hint="eastAsia" w:ascii="Times New Roman" w:hAnsi="Times New Roman" w:eastAsia="方正仿宋_GBK" w:cs="Times New Roman"/>
          <w:color w:val="auto"/>
          <w:sz w:val="32"/>
          <w:szCs w:val="32"/>
          <w:highlight w:val="none"/>
          <w:lang w:val="en-US" w:eastAsia="zh-CN"/>
        </w:rPr>
        <w:t>年</w:t>
      </w:r>
      <w:r>
        <w:rPr>
          <w:rFonts w:hint="default" w:ascii="Times New Roman" w:hAnsi="Times New Roman" w:eastAsia="方正仿宋_GBK" w:cs="Times New Roman"/>
          <w:color w:val="auto"/>
          <w:sz w:val="32"/>
          <w:szCs w:val="32"/>
          <w:highlight w:val="none"/>
          <w:lang w:eastAsia="zh-CN"/>
        </w:rPr>
        <w:t>认定技术合同成交额2.5亿元</w:t>
      </w:r>
      <w:r>
        <w:rPr>
          <w:rFonts w:hint="eastAsia" w:ascii="Times New Roman" w:hAnsi="Times New Roman" w:eastAsia="方正仿宋_GBK" w:cs="Times New Roman"/>
          <w:color w:val="auto"/>
          <w:sz w:val="32"/>
          <w:szCs w:val="32"/>
          <w:highlight w:val="none"/>
          <w:lang w:val="en-US" w:eastAsia="zh-CN"/>
        </w:rPr>
        <w:t>以上</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楷体_GBK" w:cs="Times New Roman"/>
          <w:color w:val="auto"/>
          <w:sz w:val="32"/>
          <w:szCs w:val="32"/>
          <w:highlight w:val="none"/>
          <w:lang w:val="en-US" w:eastAsia="zh-CN"/>
        </w:rPr>
        <w:t>（区科技局牵头）</w:t>
      </w:r>
    </w:p>
    <w:p w14:paraId="446BFCA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rPr>
          <w:rFonts w:hint="default" w:ascii="Times New Roman" w:hAnsi="Times New Roman" w:eastAsia="方正楷体_GBK" w:cs="Times New Roman"/>
          <w:color w:val="auto"/>
          <w:sz w:val="32"/>
          <w:szCs w:val="32"/>
          <w:highlight w:val="none"/>
          <w:lang w:eastAsia="zh-CN"/>
        </w:rPr>
      </w:pPr>
      <w:r>
        <w:rPr>
          <w:rFonts w:hint="eastAsia" w:ascii="Times New Roman" w:hAnsi="Times New Roman" w:eastAsia="方正楷体_GBK" w:cs="Times New Roman"/>
          <w:color w:val="auto"/>
          <w:sz w:val="32"/>
          <w:szCs w:val="32"/>
          <w:highlight w:val="none"/>
          <w:lang w:val="en-US" w:eastAsia="zh-CN"/>
        </w:rPr>
        <w:t>20.强化知识产权创造与运用</w:t>
      </w:r>
      <w:r>
        <w:rPr>
          <w:rFonts w:hint="default" w:ascii="Times New Roman" w:hAnsi="Times New Roman" w:eastAsia="方正楷体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rPr>
        <w:t>支持</w:t>
      </w:r>
      <w:r>
        <w:rPr>
          <w:rFonts w:hint="eastAsia" w:ascii="Times New Roman" w:hAnsi="Times New Roman" w:eastAsia="方正仿宋_GBK" w:cs="方正仿宋_GBK"/>
          <w:color w:val="auto"/>
          <w:sz w:val="32"/>
          <w:szCs w:val="32"/>
          <w:highlight w:val="none"/>
        </w:rPr>
        <w:t>建设高价值专利培育布局中心，</w:t>
      </w:r>
      <w:r>
        <w:rPr>
          <w:rFonts w:hint="eastAsia" w:ascii="Times New Roman" w:hAnsi="Times New Roman" w:eastAsia="方正仿宋_GBK" w:cs="方正仿宋_GBK"/>
          <w:color w:val="auto"/>
          <w:sz w:val="32"/>
          <w:szCs w:val="32"/>
          <w:highlight w:val="none"/>
          <w:lang w:val="en-US" w:eastAsia="zh-CN"/>
        </w:rPr>
        <w:t>参加</w:t>
      </w:r>
      <w:r>
        <w:rPr>
          <w:rFonts w:hint="eastAsia" w:ascii="Times New Roman" w:hAnsi="Times New Roman" w:eastAsia="方正仿宋_GBK" w:cs="方正仿宋_GBK"/>
          <w:color w:val="auto"/>
          <w:sz w:val="32"/>
          <w:szCs w:val="32"/>
          <w:highlight w:val="none"/>
        </w:rPr>
        <w:t>江门市高价值专利培育布局大赛，精准引导高质量创造。实施专利转化提升工程，盘活高校院所存量专利，鼓励高校、科研机构通过许可、转让、先试用后付费等模式推进转化运用。</w:t>
      </w:r>
      <w:r>
        <w:rPr>
          <w:rFonts w:hint="eastAsia" w:ascii="Times New Roman" w:hAnsi="Times New Roman" w:eastAsia="方正仿宋_GBK" w:cs="方正仿宋_GBK"/>
          <w:color w:val="auto"/>
          <w:sz w:val="32"/>
          <w:szCs w:val="32"/>
          <w:highlight w:val="none"/>
          <w:lang w:eastAsia="zh-CN"/>
        </w:rPr>
        <w:t>推动数据知识产权登记，深化“数据+产业”融合。强化政策宣传引导，提供精准高效服务，指导企业规范开展数据梳理、完善登记流程，推动辖区企业完成数据知识产权登记不少于3件。积极盘活数据要素</w:t>
      </w:r>
      <w:bookmarkStart w:id="1" w:name="_GoBack"/>
      <w:bookmarkEnd w:id="1"/>
      <w:r>
        <w:rPr>
          <w:rFonts w:hint="eastAsia" w:ascii="Times New Roman" w:hAnsi="Times New Roman" w:eastAsia="方正仿宋_GBK" w:cs="方正仿宋_GBK"/>
          <w:color w:val="auto"/>
          <w:sz w:val="32"/>
          <w:szCs w:val="32"/>
          <w:highlight w:val="none"/>
          <w:lang w:eastAsia="zh-CN"/>
        </w:rPr>
        <w:t>价值，促进数据知识产权在质押融资、司法保护等场景落地应用，切实赋能企业创新发展。</w:t>
      </w:r>
      <w:r>
        <w:rPr>
          <w:rFonts w:hint="eastAsia" w:ascii="Times New Roman" w:hAnsi="Times New Roman" w:eastAsia="方正仿宋_GBK" w:cs="方正仿宋_GBK"/>
          <w:color w:val="auto"/>
          <w:sz w:val="32"/>
          <w:szCs w:val="32"/>
          <w:highlight w:val="none"/>
        </w:rPr>
        <w:t>深化知识产权金融服务，搭建银企供需对接平台，</w:t>
      </w:r>
      <w:r>
        <w:rPr>
          <w:rFonts w:hint="eastAsia" w:ascii="Times New Roman" w:hAnsi="Times New Roman" w:eastAsia="方正仿宋_GBK" w:cs="方正仿宋_GBK"/>
          <w:color w:val="auto"/>
          <w:sz w:val="32"/>
          <w:szCs w:val="32"/>
          <w:highlight w:val="none"/>
          <w:lang w:val="en-US" w:eastAsia="zh-CN"/>
        </w:rPr>
        <w:t>组织开展4场以上知识产权质押融资“入园惠企”，</w:t>
      </w:r>
      <w:r>
        <w:rPr>
          <w:rFonts w:hint="eastAsia" w:ascii="Times New Roman" w:hAnsi="Times New Roman" w:eastAsia="方正仿宋_GBK" w:cs="方正仿宋_GBK"/>
          <w:color w:val="auto"/>
          <w:sz w:val="32"/>
          <w:szCs w:val="32"/>
          <w:highlight w:val="none"/>
        </w:rPr>
        <w:t>加大政策宣讲和推介力度。</w:t>
      </w:r>
      <w:r>
        <w:rPr>
          <w:rFonts w:hint="eastAsia" w:ascii="Times New Roman" w:hAnsi="Times New Roman" w:eastAsia="方正仿宋_GBK" w:cs="方正仿宋_GBK"/>
          <w:b w:val="0"/>
          <w:bCs w:val="0"/>
          <w:color w:val="auto"/>
          <w:sz w:val="32"/>
          <w:szCs w:val="32"/>
          <w:highlight w:val="none"/>
        </w:rPr>
        <w:t>打造“一站式”知识产权公共服务中心和“1+N”知识产权运营服务信息化平台，线上线下联动知识产权全生命周期政策指导、</w:t>
      </w:r>
      <w:r>
        <w:rPr>
          <w:rFonts w:hint="default" w:ascii="Times New Roman" w:hAnsi="Times New Roman" w:eastAsia="方正仿宋_GBK" w:cs="Times New Roman"/>
          <w:b w:val="0"/>
          <w:bCs w:val="0"/>
          <w:color w:val="auto"/>
          <w:sz w:val="32"/>
          <w:szCs w:val="32"/>
          <w:highlight w:val="none"/>
        </w:rPr>
        <w:t>维权援助服务。</w:t>
      </w:r>
      <w:r>
        <w:rPr>
          <w:rFonts w:hint="default" w:ascii="Times New Roman" w:hAnsi="Times New Roman" w:eastAsia="方正楷体_GBK" w:cs="Times New Roman"/>
          <w:color w:val="auto"/>
          <w:sz w:val="32"/>
          <w:szCs w:val="32"/>
          <w:highlight w:val="none"/>
          <w:lang w:val="en-US" w:eastAsia="zh-CN"/>
        </w:rPr>
        <w:t>（区市场监管局牵头）</w:t>
      </w:r>
    </w:p>
    <w:sectPr>
      <w:footerReference r:id="rId3" w:type="default"/>
      <w:pgSz w:w="11906" w:h="16838"/>
      <w:pgMar w:top="2154" w:right="1587" w:bottom="1814" w:left="1587"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2000000000000"/>
    <w:charset w:val="86"/>
    <w:family w:val="auto"/>
    <w:pitch w:val="default"/>
    <w:sig w:usb0="00000001" w:usb1="080E0000" w:usb2="00000000" w:usb3="00000000" w:csb0="00040000" w:csb1="00000000"/>
  </w:font>
  <w:font w:name="方正楷体简体">
    <w:altName w:val="宋体"/>
    <w:panose1 w:val="03000509000000000000"/>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Times New Roman PS MT">
    <w:altName w:val="Times New Roman"/>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88EFD">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3F397DA">
                          <w:pPr>
                            <w:pStyle w:val="5"/>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eastAsia" w:ascii="Times New Roman" w:hAnsi="Times New Roman" w:cs="Times New Roman"/>
                              <w:sz w:val="28"/>
                              <w:szCs w:val="28"/>
                              <w:lang w:val="en-US" w:eastAsia="zh-CN"/>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eastAsia" w:ascii="Times New Roman" w:hAnsi="Times New Roman" w:cs="Times New Roman"/>
                              <w:sz w:val="28"/>
                              <w:szCs w:val="28"/>
                              <w:lang w:val="en-US" w:eastAsia="zh-CN"/>
                            </w:rPr>
                            <w:t xml:space="preserve"> </w:t>
                          </w:r>
                          <w:r>
                            <w:rPr>
                              <w:rFonts w:hint="default" w:ascii="Times New Roman" w:hAnsi="Times New Roman" w:cs="Times New Roman"/>
                              <w:sz w:val="28"/>
                              <w:szCs w:val="28"/>
                            </w:rPr>
                            <w:t xml:space="preserve"> —</w:t>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ZIC97LAQAAnAMAAA4AAAAAAAAAAQAgAAAAHgEAAGRycy9lMm9E&#10;b2MueG1sUEsFBgAAAAAGAAYAWQEAAFsFAAAAAA==&#10;">
              <v:fill on="f" focussize="0,0"/>
              <v:stroke on="f"/>
              <v:imagedata o:title=""/>
              <o:lock v:ext="edit" aspectratio="f"/>
              <v:textbox inset="0mm,0mm,0mm,0mm" style="mso-fit-shape-to-text:t;">
                <w:txbxContent>
                  <w:p w14:paraId="73F397DA">
                    <w:pPr>
                      <w:pStyle w:val="5"/>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eastAsia" w:ascii="Times New Roman" w:hAnsi="Times New Roman" w:cs="Times New Roman"/>
                        <w:sz w:val="28"/>
                        <w:szCs w:val="28"/>
                        <w:lang w:val="en-US" w:eastAsia="zh-CN"/>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eastAsia" w:ascii="Times New Roman" w:hAnsi="Times New Roman" w:cs="Times New Roman"/>
                        <w:sz w:val="28"/>
                        <w:szCs w:val="28"/>
                        <w:lang w:val="en-US" w:eastAsia="zh-CN"/>
                      </w:rPr>
                      <w:t xml:space="preserve"> </w:t>
                    </w:r>
                    <w:r>
                      <w:rPr>
                        <w:rFonts w:hint="default" w:ascii="Times New Roman" w:hAnsi="Times New Roman" w:cs="Times New Roman"/>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FE13DE"/>
    <w:multiLevelType w:val="singleLevel"/>
    <w:tmpl w:val="FBFE13DE"/>
    <w:lvl w:ilvl="0" w:tentative="0">
      <w:start w:val="1"/>
      <w:numFmt w:val="decimal"/>
      <w:suff w:val="nothing"/>
      <w:lvlText w:val="%1．"/>
      <w:lvlJc w:val="left"/>
      <w:pPr>
        <w:ind w:left="0" w:firstLine="400"/>
      </w:pPr>
      <w:rPr>
        <w:rFonts w:hint="default" w:ascii="Times New Roman" w:hAnsi="Times New Roman" w:eastAsia="方正仿宋_GBK" w:cs="Times New Roman"/>
        <w:color w:val="auto"/>
        <w:sz w:val="32"/>
        <w:szCs w:val="32"/>
        <w:highlight w:val="none"/>
      </w:rPr>
    </w:lvl>
  </w:abstractNum>
  <w:abstractNum w:abstractNumId="1">
    <w:nsid w:val="39F70368"/>
    <w:multiLevelType w:val="singleLevel"/>
    <w:tmpl w:val="39F70368"/>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D91EDB"/>
    <w:rsid w:val="01366DA8"/>
    <w:rsid w:val="02A26391"/>
    <w:rsid w:val="048C54B6"/>
    <w:rsid w:val="05352C64"/>
    <w:rsid w:val="066147B7"/>
    <w:rsid w:val="078441FF"/>
    <w:rsid w:val="082A74C0"/>
    <w:rsid w:val="0AB23DCC"/>
    <w:rsid w:val="0CD30126"/>
    <w:rsid w:val="0CE43042"/>
    <w:rsid w:val="0D211F92"/>
    <w:rsid w:val="10FE4BED"/>
    <w:rsid w:val="11CE4EF3"/>
    <w:rsid w:val="12C06CDA"/>
    <w:rsid w:val="13615C6C"/>
    <w:rsid w:val="16822B9F"/>
    <w:rsid w:val="16C61704"/>
    <w:rsid w:val="18E8115C"/>
    <w:rsid w:val="190F0CF7"/>
    <w:rsid w:val="198A0658"/>
    <w:rsid w:val="1EB37DB8"/>
    <w:rsid w:val="1FD004F5"/>
    <w:rsid w:val="207B5EF5"/>
    <w:rsid w:val="20D833A5"/>
    <w:rsid w:val="248144B4"/>
    <w:rsid w:val="24893D5A"/>
    <w:rsid w:val="260F3956"/>
    <w:rsid w:val="27252DB6"/>
    <w:rsid w:val="279835D6"/>
    <w:rsid w:val="27DC212D"/>
    <w:rsid w:val="2DAD1E76"/>
    <w:rsid w:val="3013786F"/>
    <w:rsid w:val="3153711C"/>
    <w:rsid w:val="3489732F"/>
    <w:rsid w:val="355860E3"/>
    <w:rsid w:val="36F942BF"/>
    <w:rsid w:val="3B820822"/>
    <w:rsid w:val="3CDA5276"/>
    <w:rsid w:val="3D9B7F3D"/>
    <w:rsid w:val="3F0D67E2"/>
    <w:rsid w:val="3F3E6DD2"/>
    <w:rsid w:val="3FFA0F65"/>
    <w:rsid w:val="458B0E76"/>
    <w:rsid w:val="474B5735"/>
    <w:rsid w:val="476E5016"/>
    <w:rsid w:val="4F5B250A"/>
    <w:rsid w:val="4FAD255B"/>
    <w:rsid w:val="5329655D"/>
    <w:rsid w:val="54F05604"/>
    <w:rsid w:val="5BCE5E90"/>
    <w:rsid w:val="5E822539"/>
    <w:rsid w:val="601E5C45"/>
    <w:rsid w:val="60E14D1F"/>
    <w:rsid w:val="610527BA"/>
    <w:rsid w:val="628968F5"/>
    <w:rsid w:val="65D3249F"/>
    <w:rsid w:val="6841330B"/>
    <w:rsid w:val="69506198"/>
    <w:rsid w:val="6B09747A"/>
    <w:rsid w:val="708554A0"/>
    <w:rsid w:val="7137174F"/>
    <w:rsid w:val="71F71538"/>
    <w:rsid w:val="73EB6821"/>
    <w:rsid w:val="787F3721"/>
    <w:rsid w:val="7B3D2F3E"/>
    <w:rsid w:val="7D3134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3">
    <w:name w:val="heading 4"/>
    <w:basedOn w:val="1"/>
    <w:next w:val="1"/>
    <w:qFormat/>
    <w:uiPriority w:val="0"/>
    <w:pPr>
      <w:keepNext/>
      <w:keepLines/>
      <w:ind w:firstLine="720" w:firstLineChars="200"/>
      <w:outlineLvl w:val="3"/>
    </w:pPr>
    <w:rPr>
      <w:rFonts w:ascii="Times New Roman" w:hAnsi="Times New Roman"/>
      <w:b/>
      <w:bCs/>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1">
    <w:name w:val="Strong"/>
    <w:basedOn w:val="10"/>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6613</Words>
  <Characters>6671</Characters>
  <Lines>0</Lines>
  <Paragraphs>0</Paragraphs>
  <TotalTime>45</TotalTime>
  <ScaleCrop>false</ScaleCrop>
  <LinksUpToDate>false</LinksUpToDate>
  <CharactersWithSpaces>6671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2026-03-16T09:02:00Z</dcterms:created>
  <dc:creator>Administrator</dc:creator>
  <cp:lastModifiedBy> 遥不可及</cp:lastModifiedBy>
  <cp:lastPrinted>2026-06-04T07:26:00Z</cp:lastPrinted>
  <dcterms:modified xsi:type="dcterms:W3CDTF">2026-06-05T07:30:17Z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eyJoZGlkIjoiYWFiMDg2ZTZjYzZkMzU0YzZlMDFkMWFlNThjNTliMTEiLCJ1c2VySWQiOiI0MTU3NDkzNzMifQ==</vt:lpwstr>
  </property>
  <property fmtid="{D5CDD505-2E9C-101B-9397-08002B2CF9AE}" pid="4" name="ICV">
    <vt:lpwstr>E624159A49874A4888E487DAEEA4F91C_13</vt:lpwstr>
  </property>
</Properties>
</file>