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DE1A4">
      <w:pPr>
        <w:spacing w:line="560" w:lineRule="exact"/>
        <w:jc w:val="left"/>
        <w:rPr>
          <w:rFonts w:hint="eastAsia" w:ascii="CESI黑体-GB2312" w:hAnsi="CESI黑体-GB2312" w:eastAsia="CESI黑体-GB2312" w:cs="CESI黑体-GB2312"/>
          <w:sz w:val="28"/>
          <w:szCs w:val="28"/>
        </w:rPr>
      </w:pPr>
      <w:r>
        <w:rPr>
          <w:rFonts w:hint="eastAsia" w:ascii="CESI黑体-GB2312" w:hAnsi="CESI黑体-GB2312" w:eastAsia="CESI黑体-GB2312" w:cs="CESI黑体-GB2312"/>
          <w:sz w:val="28"/>
          <w:szCs w:val="28"/>
        </w:rPr>
        <w:t>附件</w:t>
      </w:r>
    </w:p>
    <w:p w14:paraId="67153D03">
      <w:pPr>
        <w:spacing w:line="560" w:lineRule="exact"/>
        <w:jc w:val="left"/>
        <w:rPr>
          <w:rFonts w:hint="eastAsia" w:ascii="CESI黑体-GB2312" w:hAnsi="CESI黑体-GB2312" w:eastAsia="CESI黑体-GB2312" w:cs="CESI黑体-GB2312"/>
          <w:sz w:val="28"/>
          <w:szCs w:val="28"/>
          <w:lang w:val="en-US" w:eastAsia="zh-CN"/>
        </w:rPr>
      </w:pPr>
    </w:p>
    <w:p w14:paraId="68C3C2FA">
      <w:pPr>
        <w:adjustRightInd/>
        <w:spacing w:before="40" w:line="560" w:lineRule="exact"/>
        <w:contextualSpacing w:val="0"/>
        <w:jc w:val="center"/>
        <w:outlineLvl w:val="0"/>
        <w:rPr>
          <w:rFonts w:hint="eastAsia" w:ascii="方正大标宋_GBK" w:hAnsi="方正大标宋_GBK" w:eastAsia="方正大标宋_GBK" w:cs="方正大标宋_GBK"/>
          <w:b w:val="0"/>
          <w:bCs/>
          <w:spacing w:val="-4"/>
          <w:kern w:val="0"/>
          <w:sz w:val="44"/>
          <w:szCs w:val="32"/>
        </w:rPr>
      </w:pPr>
      <w:r>
        <w:rPr>
          <w:rFonts w:hint="eastAsia" w:ascii="方正大标宋_GBK" w:hAnsi="方正大标宋_GBK" w:eastAsia="方正大标宋_GBK"/>
          <w:b w:val="0"/>
          <w:bCs/>
          <w:spacing w:val="-4"/>
          <w:kern w:val="0"/>
          <w:sz w:val="44"/>
          <w:szCs w:val="32"/>
        </w:rPr>
        <w:t>江门市江海区</w:t>
      </w:r>
      <w:r>
        <w:rPr>
          <w:rFonts w:hint="eastAsia" w:ascii="方正大标宋_GBK" w:hAnsi="方正大标宋_GBK" w:eastAsia="方正大标宋_GBK"/>
          <w:b w:val="0"/>
          <w:bCs/>
          <w:spacing w:val="-4"/>
          <w:kern w:val="0"/>
          <w:sz w:val="44"/>
          <w:szCs w:val="32"/>
          <w:lang w:val="en-US" w:eastAsia="zh-CN"/>
        </w:rPr>
        <w:t>投资促进局2026年度</w:t>
      </w:r>
      <w:r>
        <w:rPr>
          <w:rFonts w:hint="eastAsia" w:ascii="方正大标宋_GBK" w:hAnsi="方正大标宋_GBK" w:eastAsia="方正大标宋_GBK"/>
          <w:b w:val="0"/>
          <w:bCs/>
          <w:spacing w:val="-4"/>
          <w:kern w:val="0"/>
          <w:sz w:val="44"/>
          <w:szCs w:val="32"/>
        </w:rPr>
        <w:t>委托招商辅助服务采购评审表</w:t>
      </w:r>
      <w:bookmarkStart w:id="0" w:name="_GoBack"/>
      <w:bookmarkEnd w:id="0"/>
    </w:p>
    <w:p w14:paraId="516207F6">
      <w:pPr>
        <w:adjustRightInd w:val="0"/>
        <w:spacing w:line="560" w:lineRule="exact"/>
        <w:contextualSpacing/>
        <w:rPr>
          <w:rFonts w:eastAsia="黑体"/>
          <w:sz w:val="28"/>
          <w:szCs w:val="28"/>
        </w:rPr>
      </w:pPr>
    </w:p>
    <w:p w14:paraId="2881434F">
      <w:pPr>
        <w:adjustRightInd w:val="0"/>
        <w:spacing w:line="560" w:lineRule="exact"/>
        <w:contextualSpacing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供应商名称：</w:t>
      </w:r>
    </w:p>
    <w:tbl>
      <w:tblPr>
        <w:tblStyle w:val="8"/>
        <w:tblpPr w:leftFromText="180" w:rightFromText="180" w:vertAnchor="text" w:horzAnchor="page" w:tblpX="1425" w:tblpY="550"/>
        <w:tblOverlap w:val="never"/>
        <w:tblW w:w="93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7"/>
        <w:gridCol w:w="4563"/>
        <w:gridCol w:w="1306"/>
      </w:tblGrid>
      <w:tr w14:paraId="38AFFEE0">
        <w:trPr>
          <w:trHeight w:val="540" w:hRule="atLeast"/>
        </w:trPr>
        <w:tc>
          <w:tcPr>
            <w:tcW w:w="9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7D02">
            <w:pPr>
              <w:spacing w:line="36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一、资格（资质）符合性审查</w:t>
            </w:r>
          </w:p>
        </w:tc>
      </w:tr>
      <w:tr w14:paraId="220535A4">
        <w:trPr>
          <w:trHeight w:val="540" w:hRule="atLeast"/>
        </w:trPr>
        <w:tc>
          <w:tcPr>
            <w:tcW w:w="3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AB651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审查内容</w:t>
            </w:r>
          </w:p>
        </w:tc>
        <w:tc>
          <w:tcPr>
            <w:tcW w:w="4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A738A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具体要求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E378E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</w:t>
            </w:r>
          </w:p>
          <w:p w14:paraId="63995814"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符合要求</w:t>
            </w:r>
          </w:p>
        </w:tc>
      </w:tr>
      <w:tr w14:paraId="140C25D5">
        <w:trPr>
          <w:trHeight w:val="1133" w:hRule="atLeast"/>
        </w:trPr>
        <w:tc>
          <w:tcPr>
            <w:tcW w:w="3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807F8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1、是否具有法人资格。</w:t>
            </w:r>
          </w:p>
        </w:tc>
        <w:tc>
          <w:tcPr>
            <w:tcW w:w="4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8D63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须具有合法经营资格的法人或其他组织（提供营业执照或统一社会信用代码证书）。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74710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4F302EE5">
        <w:trPr>
          <w:trHeight w:val="988" w:hRule="atLeast"/>
        </w:trPr>
        <w:tc>
          <w:tcPr>
            <w:tcW w:w="34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2B15A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  <w:p w14:paraId="39A20BFC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2.具有良好的信誉和健全的财务会计制度。</w:t>
            </w:r>
          </w:p>
        </w:tc>
        <w:tc>
          <w:tcPr>
            <w:tcW w:w="4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569D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/>
                <w:sz w:val="24"/>
              </w:rPr>
              <w:t>有依法缴纳税收和社会保障资金的良好记录。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797C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4D998D99">
        <w:trPr>
          <w:trHeight w:val="928" w:hRule="atLeast"/>
        </w:trPr>
        <w:tc>
          <w:tcPr>
            <w:tcW w:w="3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6D954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  <w:tc>
          <w:tcPr>
            <w:tcW w:w="4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86066">
            <w:pPr>
              <w:wordWrap w:val="0"/>
              <w:spacing w:line="3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/>
                <w:sz w:val="24"/>
              </w:rPr>
              <w:t>提供“信用中国”网站（http://www.creditchina.gov.cn）的信用信息报告。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87DAD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173701D0">
        <w:trPr>
          <w:trHeight w:val="988" w:hRule="atLeast"/>
        </w:trPr>
        <w:tc>
          <w:tcPr>
            <w:tcW w:w="3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E0D7B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3.参加政府采购活动前三年内，在经营活动中没有重大违法记录</w:t>
            </w:r>
          </w:p>
        </w:tc>
        <w:tc>
          <w:tcPr>
            <w:tcW w:w="4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7647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近三年内在经营活动中没有重大违法记录（提供书面声明）。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574E4">
            <w:pPr>
              <w:spacing w:line="36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</w:tbl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4253"/>
        <w:gridCol w:w="1134"/>
      </w:tblGrid>
      <w:tr w14:paraId="6B92C9A2">
        <w:trPr>
          <w:trHeight w:val="493" w:hRule="atLeast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2CE518">
            <w:pPr>
              <w:spacing w:line="40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楷体"/>
                <w:sz w:val="28"/>
                <w:szCs w:val="28"/>
              </w:rPr>
              <w:t>备注：以上为一票否决项，不符合任意一项要求的报价无效</w:t>
            </w:r>
          </w:p>
          <w:p w14:paraId="32ACE352">
            <w:pPr>
              <w:spacing w:line="400" w:lineRule="exact"/>
              <w:jc w:val="left"/>
              <w:rPr>
                <w:rFonts w:eastAsia="黑体"/>
                <w:sz w:val="32"/>
                <w:szCs w:val="32"/>
              </w:rPr>
            </w:pPr>
          </w:p>
          <w:p w14:paraId="6999EA3A">
            <w:pPr>
              <w:spacing w:line="40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二、商务水平、技术水平及报价评审</w:t>
            </w:r>
          </w:p>
        </w:tc>
      </w:tr>
      <w:tr w14:paraId="7D40BC42">
        <w:trPr>
          <w:trHeight w:val="560" w:hRule="atLeast"/>
          <w:jc w:val="center"/>
        </w:trPr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5D08546C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类别</w:t>
            </w:r>
          </w:p>
        </w:tc>
        <w:tc>
          <w:tcPr>
            <w:tcW w:w="2835" w:type="dxa"/>
            <w:tcBorders>
              <w:top w:val="single" w:color="auto" w:sz="4" w:space="0"/>
            </w:tcBorders>
            <w:vAlign w:val="center"/>
          </w:tcPr>
          <w:p w14:paraId="2CCB100C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一级评价指标</w:t>
            </w:r>
          </w:p>
        </w:tc>
        <w:tc>
          <w:tcPr>
            <w:tcW w:w="4253" w:type="dxa"/>
            <w:tcBorders>
              <w:top w:val="single" w:color="auto" w:sz="4" w:space="0"/>
            </w:tcBorders>
            <w:vAlign w:val="center"/>
          </w:tcPr>
          <w:p w14:paraId="56D9AB7C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二级评价指标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492BCC2D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评分</w:t>
            </w:r>
          </w:p>
        </w:tc>
      </w:tr>
      <w:tr w14:paraId="1864D157">
        <w:trPr>
          <w:trHeight w:val="610" w:hRule="atLeast"/>
          <w:jc w:val="center"/>
        </w:trPr>
        <w:tc>
          <w:tcPr>
            <w:tcW w:w="1134" w:type="dxa"/>
            <w:vMerge w:val="restart"/>
            <w:vAlign w:val="center"/>
          </w:tcPr>
          <w:p w14:paraId="3480B2DF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（一）</w:t>
            </w: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>技术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水平（</w:t>
            </w: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0分）</w:t>
            </w:r>
          </w:p>
        </w:tc>
        <w:tc>
          <w:tcPr>
            <w:tcW w:w="2835" w:type="dxa"/>
            <w:vAlign w:val="center"/>
          </w:tcPr>
          <w:p w14:paraId="62A9EEF3">
            <w:pPr>
              <w:spacing w:line="400" w:lineRule="exact"/>
              <w:jc w:val="lef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>近三年同类项目业绩（30分）</w:t>
            </w:r>
          </w:p>
        </w:tc>
        <w:tc>
          <w:tcPr>
            <w:tcW w:w="4253" w:type="dxa"/>
            <w:vAlign w:val="center"/>
          </w:tcPr>
          <w:p w14:paraId="05929ED4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根据供应商2023年1月1日至今[提供承办合同或服务委托书及成效佐证，以合同签订日期或服务委托书落款日期或中标（或成交）通知书签发日期为准]独立或牵头承办过的同类招商辅助服务（含企业走访对接、招商线索推送、招商中介服务等）案例成效进行综合评分。完全达标30分：提供近3年承办的2个同类服务项目合同或服务委托书，配套线索台账、企业对接记录、成效报告等客观佐证材料。基本达标18分：提供近3年承办的1个同类服务项目合同及佐证材料，或仅附合同及服务记录，无成效报告等佐证材料。不达标0分：未提供近3年承办同类服务项目佐证材料。</w:t>
            </w:r>
          </w:p>
        </w:tc>
        <w:tc>
          <w:tcPr>
            <w:tcW w:w="1134" w:type="dxa"/>
            <w:vAlign w:val="center"/>
          </w:tcPr>
          <w:p w14:paraId="688B4C1E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429C90A9">
        <w:trPr>
          <w:trHeight w:val="610" w:hRule="atLeast"/>
          <w:jc w:val="center"/>
        </w:trPr>
        <w:tc>
          <w:tcPr>
            <w:tcW w:w="1134" w:type="dxa"/>
            <w:vMerge w:val="continue"/>
            <w:vAlign w:val="center"/>
          </w:tcPr>
          <w:p w14:paraId="3433D0C9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E5FAC34">
            <w:pPr>
              <w:spacing w:line="400" w:lineRule="exact"/>
              <w:rPr>
                <w:rFonts w:hint="eastAsia" w:ascii="Times New Roman Regular" w:hAnsi="Times New Roman Regular" w:eastAsia="方正仿宋_GBK" w:cs="Times New Roman Regular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服务实施方案（30分）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1BE6683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rFonts w:hint="default" w:ascii="Times New Roman Regular" w:hAnsi="Times New Roman Regular" w:eastAsia="方正仿宋_GBK" w:cs="Times New Roman Regular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根据供应商方案全面、具体、合理度进行综合评分。完全达标30分：方案贴合项目需求，走访对接、线索推送两项服务措施完整清晰，团队配置、工作流程、进度安排、台账管理、应急预案、明细预算全部齐全，内容针对性强、落地操作性高；基本达标18分：具备基础服务框架，缺少应急预案、预算明细等关键内容，内容通用性强、定制化不足；不达标0分：方案内容空洞残缺，与本项目需求不匹配，无法落地实施。</w:t>
            </w:r>
          </w:p>
        </w:tc>
        <w:tc>
          <w:tcPr>
            <w:tcW w:w="1134" w:type="dxa"/>
            <w:vAlign w:val="center"/>
          </w:tcPr>
          <w:p w14:paraId="4C907A6A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59EFF1BD">
        <w:trPr>
          <w:trHeight w:val="610" w:hRule="atLeast"/>
          <w:jc w:val="center"/>
        </w:trPr>
        <w:tc>
          <w:tcPr>
            <w:tcW w:w="1134" w:type="dxa"/>
            <w:vMerge w:val="continue"/>
            <w:vAlign w:val="center"/>
          </w:tcPr>
          <w:p w14:paraId="54D62DF1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D1858A3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rFonts w:hint="eastAsia" w:ascii="Times New Roman Regular" w:hAnsi="Times New Roman Regular" w:eastAsia="方正仿宋_GBK" w:cs="Times New Roman Regular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后续服务（</w:t>
            </w: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>10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分）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91AFF4C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根据供应商的服务措施承诺是否全面、具体、合理可行进行综合评分。完全达标10分：完整承诺全流程跟进、专人对接、7×24小时应急响应、季度工作进展报告与台账报送、问题限时整改、配套增值服务，措施具体可落地；基本达标6分：仅简单承诺基础对接服务，无明确响应时效、整改细则、报告报送等后续配套保障；不达标0分：未列明任何后续服务及保障承诺。</w:t>
            </w:r>
          </w:p>
        </w:tc>
        <w:tc>
          <w:tcPr>
            <w:tcW w:w="1134" w:type="dxa"/>
            <w:vAlign w:val="center"/>
          </w:tcPr>
          <w:p w14:paraId="2D3FE225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78CD91BB">
        <w:trPr>
          <w:trHeight w:val="1755" w:hRule="atLeast"/>
          <w:jc w:val="center"/>
        </w:trPr>
        <w:tc>
          <w:tcPr>
            <w:tcW w:w="1134" w:type="dxa"/>
            <w:vAlign w:val="center"/>
          </w:tcPr>
          <w:p w14:paraId="724E30A7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（</w:t>
            </w: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>二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）报价（30分）</w:t>
            </w:r>
          </w:p>
        </w:tc>
        <w:tc>
          <w:tcPr>
            <w:tcW w:w="2835" w:type="dxa"/>
            <w:vAlign w:val="center"/>
          </w:tcPr>
          <w:p w14:paraId="4E6706E9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各有效供应商报价中，取最低价为评标基准价，基准价评分为满分，则其他报价的得分＝总分值×（基准价/报价）</w:t>
            </w:r>
          </w:p>
        </w:tc>
        <w:tc>
          <w:tcPr>
            <w:tcW w:w="4253" w:type="dxa"/>
            <w:vAlign w:val="center"/>
          </w:tcPr>
          <w:p w14:paraId="518F1E94">
            <w:pPr>
              <w:spacing w:line="400" w:lineRule="exact"/>
              <w:rPr>
                <w:rFonts w:hint="eastAsia" w:ascii="Times New Roman Regular" w:hAnsi="Times New Roman Regular" w:eastAsia="方正仿宋_GBK" w:cs="Times New Roman Regular"/>
                <w:sz w:val="24"/>
                <w:lang w:eastAsia="zh-CN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基准价：</w:t>
            </w:r>
            <w:r>
              <w:rPr>
                <w:rFonts w:hint="eastAsia" w:ascii="Times New Roman Regular" w:hAnsi="Times New Roman Regular" w:eastAsia="方正仿宋_GBK" w:cs="Times New Roman Regular"/>
                <w:sz w:val="24"/>
                <w:lang w:val="en-US" w:eastAsia="zh-CN"/>
              </w:rPr>
              <w:t xml:space="preserve">       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</w:rPr>
              <w:t>报价：</w:t>
            </w:r>
          </w:p>
        </w:tc>
        <w:tc>
          <w:tcPr>
            <w:tcW w:w="1134" w:type="dxa"/>
            <w:vAlign w:val="center"/>
          </w:tcPr>
          <w:p w14:paraId="729CDEDE">
            <w:pPr>
              <w:spacing w:line="400" w:lineRule="exact"/>
              <w:rPr>
                <w:rFonts w:hint="default" w:ascii="Times New Roman Regular" w:hAnsi="Times New Roman Regular" w:eastAsia="方正仿宋_GBK" w:cs="Times New Roman Regular"/>
                <w:sz w:val="24"/>
              </w:rPr>
            </w:pPr>
          </w:p>
        </w:tc>
      </w:tr>
      <w:tr w14:paraId="63102068">
        <w:trPr>
          <w:trHeight w:val="1078" w:hRule="atLeast"/>
          <w:jc w:val="center"/>
        </w:trPr>
        <w:tc>
          <w:tcPr>
            <w:tcW w:w="8222" w:type="dxa"/>
            <w:gridSpan w:val="3"/>
            <w:vAlign w:val="center"/>
          </w:tcPr>
          <w:p w14:paraId="0DCCDCE0">
            <w:pPr>
              <w:spacing w:line="400" w:lineRule="exact"/>
              <w:jc w:val="right"/>
              <w:rPr>
                <w:b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</w:rPr>
              <w:t>合计得分</w:t>
            </w:r>
          </w:p>
        </w:tc>
        <w:tc>
          <w:tcPr>
            <w:tcW w:w="1134" w:type="dxa"/>
            <w:vAlign w:val="center"/>
          </w:tcPr>
          <w:p w14:paraId="3519405C">
            <w:pPr>
              <w:spacing w:line="400" w:lineRule="exact"/>
              <w:rPr>
                <w:sz w:val="24"/>
              </w:rPr>
            </w:pPr>
          </w:p>
        </w:tc>
      </w:tr>
    </w:tbl>
    <w:p w14:paraId="3AA53808">
      <w:pPr>
        <w:wordWrap w:val="0"/>
        <w:spacing w:line="360" w:lineRule="auto"/>
        <w:rPr>
          <w:b/>
          <w:sz w:val="24"/>
        </w:rPr>
      </w:pPr>
    </w:p>
    <w:p w14:paraId="7F6A190E">
      <w:pPr>
        <w:wordWrap w:val="0"/>
        <w:spacing w:line="360" w:lineRule="auto"/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sz w:val="24"/>
        </w:rPr>
        <w:t>评分人：</w:t>
      </w:r>
      <w:r>
        <w:rPr>
          <w:rFonts w:hint="default" w:ascii="方正黑体_GBK" w:hAnsi="方正黑体_GBK" w:eastAsia="方正黑体_GBK" w:cs="方正黑体_GBK"/>
          <w:b/>
          <w:sz w:val="24"/>
          <w:lang w:val="en-US"/>
        </w:rPr>
        <w:t xml:space="preserve">                        </w:t>
      </w:r>
      <w:r>
        <w:rPr>
          <w:rFonts w:hint="eastAsia" w:ascii="方正黑体_GBK" w:hAnsi="方正黑体_GBK" w:eastAsia="方正黑体_GBK" w:cs="方正黑体_GBK"/>
          <w:b/>
          <w:sz w:val="24"/>
        </w:rPr>
        <w:t>日期</w:t>
      </w:r>
      <w:r>
        <w:rPr>
          <w:rFonts w:hint="eastAsia" w:ascii="方正黑体_GBK" w:hAnsi="方正黑体_GBK" w:eastAsia="方正黑体_GBK" w:cs="方正黑体_GBK"/>
          <w:sz w:val="24"/>
        </w:rPr>
        <w:t>：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ESI黑体-GB2312">
    <w:altName w:val="汉仪中黑KW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CA9A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81776B">
                          <w:pPr>
                            <w:pStyle w:val="5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vbGRr0QAAAAIBAAAPAAAAAAAAAAEAIAAAACIAAABkcnMvZG93bnJldi54bWxQSwECFAAUAAAA&#10;CACHTuJAOKXQ3C4CAABSBAAADgAAAAAAAAABACAAAAAg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81776B">
                    <w:pPr>
                      <w:pStyle w:val="5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060780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trackRevisions w:val="1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19DE306E"/>
    <w:rsid w:val="000D04D3"/>
    <w:rsid w:val="001479CE"/>
    <w:rsid w:val="001844F5"/>
    <w:rsid w:val="001B5699"/>
    <w:rsid w:val="001E5B2F"/>
    <w:rsid w:val="00245D2E"/>
    <w:rsid w:val="00285D43"/>
    <w:rsid w:val="00286544"/>
    <w:rsid w:val="002C5ACE"/>
    <w:rsid w:val="003068A0"/>
    <w:rsid w:val="00357D7E"/>
    <w:rsid w:val="003E3561"/>
    <w:rsid w:val="004040D3"/>
    <w:rsid w:val="004940E4"/>
    <w:rsid w:val="004A5EF4"/>
    <w:rsid w:val="004B40D0"/>
    <w:rsid w:val="004B679A"/>
    <w:rsid w:val="005642C8"/>
    <w:rsid w:val="00573D63"/>
    <w:rsid w:val="00575BD3"/>
    <w:rsid w:val="005C0BDE"/>
    <w:rsid w:val="00617BA1"/>
    <w:rsid w:val="0068028F"/>
    <w:rsid w:val="006B62F4"/>
    <w:rsid w:val="00705F8E"/>
    <w:rsid w:val="0076292C"/>
    <w:rsid w:val="007630CD"/>
    <w:rsid w:val="00776128"/>
    <w:rsid w:val="00786298"/>
    <w:rsid w:val="007D4D5E"/>
    <w:rsid w:val="0082130F"/>
    <w:rsid w:val="00821441"/>
    <w:rsid w:val="008446A2"/>
    <w:rsid w:val="008501C4"/>
    <w:rsid w:val="00877FFB"/>
    <w:rsid w:val="008A4338"/>
    <w:rsid w:val="008F28B5"/>
    <w:rsid w:val="00901814"/>
    <w:rsid w:val="00914CD6"/>
    <w:rsid w:val="009637D5"/>
    <w:rsid w:val="00986882"/>
    <w:rsid w:val="00996328"/>
    <w:rsid w:val="00997F4C"/>
    <w:rsid w:val="009E561E"/>
    <w:rsid w:val="00A1615D"/>
    <w:rsid w:val="00A44FEE"/>
    <w:rsid w:val="00A47659"/>
    <w:rsid w:val="00AE00EC"/>
    <w:rsid w:val="00AE246F"/>
    <w:rsid w:val="00B32F3D"/>
    <w:rsid w:val="00B345E6"/>
    <w:rsid w:val="00B63B5B"/>
    <w:rsid w:val="00BA711E"/>
    <w:rsid w:val="00BB45B2"/>
    <w:rsid w:val="00BE4C09"/>
    <w:rsid w:val="00C85103"/>
    <w:rsid w:val="00DB48BD"/>
    <w:rsid w:val="00DD6EF0"/>
    <w:rsid w:val="00DF55C6"/>
    <w:rsid w:val="00E968B5"/>
    <w:rsid w:val="00EF30E2"/>
    <w:rsid w:val="00F02D20"/>
    <w:rsid w:val="00F17D58"/>
    <w:rsid w:val="00F40D3A"/>
    <w:rsid w:val="00F44168"/>
    <w:rsid w:val="00F46F90"/>
    <w:rsid w:val="00F565F0"/>
    <w:rsid w:val="00F62643"/>
    <w:rsid w:val="00FE315B"/>
    <w:rsid w:val="00FE3374"/>
    <w:rsid w:val="05223006"/>
    <w:rsid w:val="11758662"/>
    <w:rsid w:val="14D257D7"/>
    <w:rsid w:val="177648C9"/>
    <w:rsid w:val="19DE306E"/>
    <w:rsid w:val="1B723B6E"/>
    <w:rsid w:val="1F873298"/>
    <w:rsid w:val="1FFDA676"/>
    <w:rsid w:val="207D38FD"/>
    <w:rsid w:val="2D3B3037"/>
    <w:rsid w:val="362F3261"/>
    <w:rsid w:val="37985357"/>
    <w:rsid w:val="38F45B51"/>
    <w:rsid w:val="3C7FC92F"/>
    <w:rsid w:val="42913165"/>
    <w:rsid w:val="43C24EA7"/>
    <w:rsid w:val="507F3A61"/>
    <w:rsid w:val="529635F3"/>
    <w:rsid w:val="547824F2"/>
    <w:rsid w:val="57C54D3D"/>
    <w:rsid w:val="593E7E74"/>
    <w:rsid w:val="5E987A92"/>
    <w:rsid w:val="5F9D30E8"/>
    <w:rsid w:val="5F9EC934"/>
    <w:rsid w:val="64BD5BAE"/>
    <w:rsid w:val="678F6B79"/>
    <w:rsid w:val="67F7DA41"/>
    <w:rsid w:val="697F4F4D"/>
    <w:rsid w:val="6AA442B5"/>
    <w:rsid w:val="6DDFCF1C"/>
    <w:rsid w:val="6FB9B9C3"/>
    <w:rsid w:val="6FDF3B00"/>
    <w:rsid w:val="71CBC1FC"/>
    <w:rsid w:val="73630BAC"/>
    <w:rsid w:val="73BC5C51"/>
    <w:rsid w:val="74EF1B21"/>
    <w:rsid w:val="777F9269"/>
    <w:rsid w:val="77FFBC68"/>
    <w:rsid w:val="78332547"/>
    <w:rsid w:val="791314E0"/>
    <w:rsid w:val="7A7F59DD"/>
    <w:rsid w:val="7B5D8044"/>
    <w:rsid w:val="7B64BA4F"/>
    <w:rsid w:val="7B974D51"/>
    <w:rsid w:val="7BED0360"/>
    <w:rsid w:val="7BEE146F"/>
    <w:rsid w:val="7EF41059"/>
    <w:rsid w:val="7FEE1AFA"/>
    <w:rsid w:val="7FFCF0BD"/>
    <w:rsid w:val="ABF797A8"/>
    <w:rsid w:val="AF73021E"/>
    <w:rsid w:val="B7BCBC99"/>
    <w:rsid w:val="BA974FE1"/>
    <w:rsid w:val="BE969E8B"/>
    <w:rsid w:val="BFC318E2"/>
    <w:rsid w:val="CDFB89D3"/>
    <w:rsid w:val="CEFEBBAD"/>
    <w:rsid w:val="D7FC9E3C"/>
    <w:rsid w:val="DFFFE643"/>
    <w:rsid w:val="E6767517"/>
    <w:rsid w:val="E6AB6CE7"/>
    <w:rsid w:val="E7FD2C9C"/>
    <w:rsid w:val="EEFBB070"/>
    <w:rsid w:val="EF2DA1E9"/>
    <w:rsid w:val="EFAF74AF"/>
    <w:rsid w:val="EFFE6368"/>
    <w:rsid w:val="F3DE884C"/>
    <w:rsid w:val="F6F1A925"/>
    <w:rsid w:val="F75F3D47"/>
    <w:rsid w:val="F79C64FB"/>
    <w:rsid w:val="F7F7BF67"/>
    <w:rsid w:val="F959FF20"/>
    <w:rsid w:val="FD6A249F"/>
    <w:rsid w:val="FD7DBBCE"/>
    <w:rsid w:val="FDAF1B5B"/>
    <w:rsid w:val="FDBBF2D0"/>
    <w:rsid w:val="FEBF0710"/>
    <w:rsid w:val="FEF645AC"/>
    <w:rsid w:val="FEFEC1A2"/>
    <w:rsid w:val="FFFB8C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</w:pPr>
    <w:rPr>
      <w:rFonts w:ascii="方正小标宋简体" w:hAnsi="Times New Roman" w:eastAsia="方正小标宋简体" w:cs="Times New Roman"/>
      <w:sz w:val="44"/>
      <w:szCs w:val="44"/>
    </w:rPr>
  </w:style>
  <w:style w:type="paragraph" w:styleId="3">
    <w:name w:val="Body Text"/>
    <w:basedOn w:val="1"/>
    <w:qFormat/>
    <w:uiPriority w:val="0"/>
    <w:pPr>
      <w:spacing w:after="120"/>
    </w:pPr>
    <w:rPr>
      <w:rFonts w:cs="宋体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批注框文本 Char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眉 Char"/>
    <w:link w:val="6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Office_12.1.26015.26015_F1E327BC-269C-435d-A152-05C5408002CA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2026-09-21T23:42:00Z</dcterms:created>
  <dc:creator>Data</dc:creator>
  <cp:lastModifiedBy>明生李</cp:lastModifiedBy>
  <dcterms:modified xsi:type="dcterms:W3CDTF">2026-09-22T16:19:40Z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2052-12.1.26015.26015</vt:lpwstr>
  </property>
  <property fmtid="{D5CDD505-2E9C-101B-9397-08002B2CF9AE}" pid="3" name="ICV">
    <vt:lpwstr>26FDC650D1FB645D1C3AB26ABC97261E_42</vt:lpwstr>
  </property>
</Properties>
</file>