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DE1A4">
      <w:pPr>
        <w:spacing w:line="560" w:lineRule="exact"/>
        <w:jc w:val="left"/>
        <w:rPr>
          <w:rFonts w:hint="eastAsia" w:ascii="CESI黑体-GB2312" w:hAnsi="CESI黑体-GB2312" w:eastAsia="CESI黑体-GB2312" w:cs="CESI黑体-GB2312"/>
          <w:sz w:val="28"/>
          <w:szCs w:val="28"/>
        </w:rPr>
      </w:pPr>
      <w:r>
        <w:rPr>
          <w:rFonts w:hint="eastAsia" w:ascii="CESI黑体-GB2312" w:hAnsi="CESI黑体-GB2312" w:eastAsia="CESI黑体-GB2312" w:cs="CESI黑体-GB2312"/>
          <w:sz w:val="28"/>
          <w:szCs w:val="28"/>
        </w:rPr>
        <w:t>附件</w:t>
      </w:r>
    </w:p>
    <w:p w14:paraId="67153D03">
      <w:pPr>
        <w:spacing w:line="560" w:lineRule="exact"/>
        <w:jc w:val="left"/>
        <w:rPr>
          <w:rFonts w:hint="eastAsia" w:ascii="CESI黑体-GB2312" w:hAnsi="CESI黑体-GB2312" w:eastAsia="CESI黑体-GB2312" w:cs="CESI黑体-GB2312"/>
          <w:sz w:val="28"/>
          <w:szCs w:val="28"/>
          <w:lang w:val="en-US" w:eastAsia="zh-CN"/>
        </w:rPr>
      </w:pPr>
    </w:p>
    <w:p w14:paraId="68C3C2FA">
      <w:pPr>
        <w:adjustRightInd/>
        <w:spacing w:before="40" w:line="560" w:lineRule="exact"/>
        <w:contextualSpacing w:val="0"/>
        <w:jc w:val="center"/>
        <w:outlineLvl w:val="0"/>
        <w:rPr>
          <w:rFonts w:hint="eastAsia" w:ascii="方正大标宋_GBK" w:hAnsi="方正大标宋_GBK" w:eastAsia="方正大标宋_GBK"/>
          <w:b w:val="0"/>
          <w:bCs/>
          <w:spacing w:val="-4"/>
          <w:kern w:val="0"/>
          <w:sz w:val="44"/>
          <w:szCs w:val="32"/>
        </w:rPr>
      </w:pPr>
      <w:r>
        <w:rPr>
          <w:rFonts w:hint="eastAsia" w:ascii="方正大标宋_GBK" w:hAnsi="方正大标宋_GBK" w:eastAsia="方正大标宋_GBK"/>
          <w:b w:val="0"/>
          <w:bCs/>
          <w:spacing w:val="-4"/>
          <w:kern w:val="0"/>
          <w:sz w:val="44"/>
          <w:szCs w:val="32"/>
        </w:rPr>
        <w:t>2026江门市（江海区）高新产业招商引资</w:t>
      </w:r>
    </w:p>
    <w:p w14:paraId="5BD97E27">
      <w:pPr>
        <w:adjustRightInd/>
        <w:spacing w:before="40" w:line="560" w:lineRule="exact"/>
        <w:contextualSpacing w:val="0"/>
        <w:jc w:val="center"/>
        <w:outlineLvl w:val="0"/>
        <w:rPr>
          <w:rFonts w:hint="eastAsia" w:ascii="方正大标宋_GBK" w:hAnsi="方正大标宋_GBK" w:eastAsia="方正大标宋_GBK" w:cs="方正大标宋_GBK"/>
          <w:b w:val="0"/>
          <w:bCs/>
          <w:spacing w:val="-4"/>
          <w:kern w:val="0"/>
          <w:sz w:val="44"/>
          <w:szCs w:val="32"/>
        </w:rPr>
      </w:pPr>
      <w:r>
        <w:rPr>
          <w:rFonts w:hint="eastAsia" w:ascii="方正大标宋_GBK" w:hAnsi="方正大标宋_GBK" w:eastAsia="方正大标宋_GBK"/>
          <w:b w:val="0"/>
          <w:bCs/>
          <w:spacing w:val="-4"/>
          <w:kern w:val="0"/>
          <w:sz w:val="44"/>
          <w:szCs w:val="32"/>
        </w:rPr>
        <w:t>推介会</w:t>
      </w:r>
      <w:r>
        <w:rPr>
          <w:rFonts w:hint="eastAsia" w:ascii="方正大标宋_GBK" w:hAnsi="方正大标宋_GBK" w:eastAsia="方正大标宋_GBK" w:cs="方正大标宋_GBK"/>
          <w:b w:val="0"/>
          <w:bCs/>
          <w:spacing w:val="-4"/>
          <w:kern w:val="0"/>
          <w:sz w:val="44"/>
          <w:szCs w:val="32"/>
        </w:rPr>
        <w:t>承办服务采购评审表</w:t>
      </w:r>
    </w:p>
    <w:p w14:paraId="516207F6">
      <w:pPr>
        <w:adjustRightInd w:val="0"/>
        <w:spacing w:line="560" w:lineRule="exact"/>
        <w:contextualSpacing/>
        <w:rPr>
          <w:rFonts w:eastAsia="黑体"/>
          <w:sz w:val="28"/>
          <w:szCs w:val="28"/>
        </w:rPr>
      </w:pPr>
    </w:p>
    <w:p w14:paraId="2881434F">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87"/>
        <w:gridCol w:w="4563"/>
        <w:gridCol w:w="1306"/>
      </w:tblGrid>
      <w:tr w14:paraId="585135E3">
        <w:trPr>
          <w:trHeight w:val="540" w:hRule="atLeast"/>
        </w:trPr>
        <w:tc>
          <w:tcPr>
            <w:tcW w:w="9356" w:type="dxa"/>
            <w:gridSpan w:val="3"/>
            <w:tcBorders>
              <w:top w:val="single" w:color="auto" w:sz="4" w:space="0"/>
              <w:left w:val="single" w:color="auto" w:sz="4" w:space="0"/>
              <w:bottom w:val="single" w:color="auto" w:sz="4" w:space="0"/>
              <w:right w:val="single" w:color="auto" w:sz="4" w:space="0"/>
            </w:tcBorders>
            <w:vAlign w:val="center"/>
          </w:tcPr>
          <w:p w14:paraId="6ACA7D02">
            <w:pPr>
              <w:spacing w:line="360" w:lineRule="exact"/>
              <w:jc w:val="left"/>
              <w:rPr>
                <w:rFonts w:eastAsia="黑体"/>
                <w:sz w:val="32"/>
                <w:szCs w:val="32"/>
              </w:rPr>
            </w:pPr>
            <w:r>
              <w:rPr>
                <w:rFonts w:eastAsia="黑体"/>
                <w:sz w:val="32"/>
                <w:szCs w:val="32"/>
              </w:rPr>
              <w:t>一、资格（资质）符合性审查</w:t>
            </w:r>
          </w:p>
        </w:tc>
      </w:tr>
      <w:tr w14:paraId="741FBE9E">
        <w:trPr>
          <w:trHeight w:val="540" w:hRule="atLeast"/>
        </w:trPr>
        <w:tc>
          <w:tcPr>
            <w:tcW w:w="3487" w:type="dxa"/>
            <w:tcBorders>
              <w:top w:val="single" w:color="auto" w:sz="4" w:space="0"/>
              <w:left w:val="single" w:color="auto" w:sz="4" w:space="0"/>
              <w:bottom w:val="single" w:color="auto" w:sz="4" w:space="0"/>
              <w:right w:val="single" w:color="auto" w:sz="4" w:space="0"/>
            </w:tcBorders>
            <w:vAlign w:val="center"/>
          </w:tcPr>
          <w:p w14:paraId="657AB651">
            <w:pPr>
              <w:spacing w:line="36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审查内容</w:t>
            </w:r>
          </w:p>
        </w:tc>
        <w:tc>
          <w:tcPr>
            <w:tcW w:w="4563" w:type="dxa"/>
            <w:tcBorders>
              <w:top w:val="single" w:color="auto" w:sz="4" w:space="0"/>
              <w:left w:val="single" w:color="auto" w:sz="4" w:space="0"/>
              <w:bottom w:val="single" w:color="auto" w:sz="4" w:space="0"/>
              <w:right w:val="single" w:color="auto" w:sz="4" w:space="0"/>
            </w:tcBorders>
            <w:vAlign w:val="center"/>
          </w:tcPr>
          <w:p w14:paraId="0B7A738A">
            <w:pPr>
              <w:spacing w:line="36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具体要求</w:t>
            </w:r>
          </w:p>
        </w:tc>
        <w:tc>
          <w:tcPr>
            <w:tcW w:w="1306" w:type="dxa"/>
            <w:tcBorders>
              <w:top w:val="single" w:color="auto" w:sz="4" w:space="0"/>
              <w:left w:val="single" w:color="auto" w:sz="4" w:space="0"/>
              <w:bottom w:val="single" w:color="auto" w:sz="4" w:space="0"/>
              <w:right w:val="single" w:color="auto" w:sz="4" w:space="0"/>
            </w:tcBorders>
            <w:vAlign w:val="center"/>
          </w:tcPr>
          <w:p w14:paraId="086E378E">
            <w:pPr>
              <w:spacing w:line="36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是否</w:t>
            </w:r>
          </w:p>
          <w:p w14:paraId="63995814">
            <w:pPr>
              <w:spacing w:line="36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符合要求</w:t>
            </w:r>
          </w:p>
        </w:tc>
      </w:tr>
      <w:tr w14:paraId="011F3707">
        <w:trPr>
          <w:trHeight w:val="1133" w:hRule="atLeast"/>
        </w:trPr>
        <w:tc>
          <w:tcPr>
            <w:tcW w:w="3487" w:type="dxa"/>
            <w:tcBorders>
              <w:top w:val="single" w:color="auto" w:sz="4" w:space="0"/>
              <w:left w:val="single" w:color="auto" w:sz="4" w:space="0"/>
              <w:bottom w:val="single" w:color="auto" w:sz="4" w:space="0"/>
              <w:right w:val="single" w:color="auto" w:sz="4" w:space="0"/>
            </w:tcBorders>
            <w:vAlign w:val="center"/>
          </w:tcPr>
          <w:p w14:paraId="7FF807F8">
            <w:pPr>
              <w:spacing w:line="36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1、是否具有法人资格。</w:t>
            </w:r>
          </w:p>
        </w:tc>
        <w:tc>
          <w:tcPr>
            <w:tcW w:w="4563" w:type="dxa"/>
            <w:tcBorders>
              <w:top w:val="single" w:color="auto" w:sz="4" w:space="0"/>
              <w:left w:val="single" w:color="auto" w:sz="4" w:space="0"/>
              <w:bottom w:val="single" w:color="auto" w:sz="4" w:space="0"/>
              <w:right w:val="single" w:color="auto" w:sz="4" w:space="0"/>
            </w:tcBorders>
            <w:vAlign w:val="center"/>
          </w:tcPr>
          <w:p w14:paraId="5E7F8D63">
            <w:pPr>
              <w:spacing w:line="36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须具有合法经营资格的法人或其他组织（提供营业执照或统一社会信用代码证书）。</w:t>
            </w:r>
          </w:p>
        </w:tc>
        <w:tc>
          <w:tcPr>
            <w:tcW w:w="1306" w:type="dxa"/>
            <w:tcBorders>
              <w:top w:val="single" w:color="auto" w:sz="4" w:space="0"/>
              <w:left w:val="single" w:color="auto" w:sz="4" w:space="0"/>
              <w:bottom w:val="single" w:color="auto" w:sz="4" w:space="0"/>
              <w:right w:val="single" w:color="auto" w:sz="4" w:space="0"/>
            </w:tcBorders>
            <w:vAlign w:val="center"/>
          </w:tcPr>
          <w:p w14:paraId="41774710">
            <w:pPr>
              <w:spacing w:line="360" w:lineRule="exact"/>
              <w:rPr>
                <w:rFonts w:hint="default" w:ascii="Times New Roman Regular" w:hAnsi="Times New Roman Regular" w:eastAsia="方正仿宋_GBK" w:cs="Times New Roman Regular"/>
                <w:sz w:val="24"/>
              </w:rPr>
            </w:pPr>
          </w:p>
        </w:tc>
      </w:tr>
      <w:tr w14:paraId="3E1E18E1">
        <w:trPr>
          <w:trHeight w:val="988" w:hRule="atLeast"/>
        </w:trPr>
        <w:tc>
          <w:tcPr>
            <w:tcW w:w="3487" w:type="dxa"/>
            <w:vMerge w:val="restart"/>
            <w:tcBorders>
              <w:top w:val="single" w:color="auto" w:sz="4" w:space="0"/>
              <w:left w:val="single" w:color="auto" w:sz="4" w:space="0"/>
              <w:bottom w:val="single" w:color="auto" w:sz="4" w:space="0"/>
              <w:right w:val="single" w:color="auto" w:sz="4" w:space="0"/>
            </w:tcBorders>
            <w:vAlign w:val="center"/>
          </w:tcPr>
          <w:p w14:paraId="61B2B15A">
            <w:pPr>
              <w:spacing w:line="360" w:lineRule="exact"/>
              <w:rPr>
                <w:rFonts w:hint="default" w:ascii="Times New Roman Regular" w:hAnsi="Times New Roman Regular" w:eastAsia="方正仿宋_GBK" w:cs="Times New Roman Regular"/>
                <w:sz w:val="24"/>
              </w:rPr>
            </w:pPr>
          </w:p>
          <w:p w14:paraId="39A20BFC">
            <w:pPr>
              <w:spacing w:line="36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2.具有良好的信誉和健全的财务会计制度。</w:t>
            </w:r>
          </w:p>
        </w:tc>
        <w:tc>
          <w:tcPr>
            <w:tcW w:w="4563" w:type="dxa"/>
            <w:tcBorders>
              <w:top w:val="single" w:color="auto" w:sz="4" w:space="0"/>
              <w:left w:val="single" w:color="auto" w:sz="4" w:space="0"/>
              <w:bottom w:val="single" w:color="auto" w:sz="4" w:space="0"/>
              <w:right w:val="single" w:color="auto" w:sz="4" w:space="0"/>
            </w:tcBorders>
            <w:vAlign w:val="center"/>
          </w:tcPr>
          <w:p w14:paraId="5DD0569D">
            <w:pPr>
              <w:spacing w:line="36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color w:val="000000"/>
                <w:sz w:val="24"/>
              </w:rPr>
              <w:t>有依法缴纳税收和社会保障资金的良好记录。</w:t>
            </w:r>
          </w:p>
        </w:tc>
        <w:tc>
          <w:tcPr>
            <w:tcW w:w="1306" w:type="dxa"/>
            <w:tcBorders>
              <w:top w:val="single" w:color="auto" w:sz="4" w:space="0"/>
              <w:left w:val="single" w:color="auto" w:sz="4" w:space="0"/>
              <w:bottom w:val="single" w:color="auto" w:sz="4" w:space="0"/>
              <w:right w:val="single" w:color="auto" w:sz="4" w:space="0"/>
            </w:tcBorders>
            <w:vAlign w:val="center"/>
          </w:tcPr>
          <w:p w14:paraId="1BD6797C">
            <w:pPr>
              <w:spacing w:line="360" w:lineRule="exact"/>
              <w:rPr>
                <w:rFonts w:hint="default" w:ascii="Times New Roman Regular" w:hAnsi="Times New Roman Regular" w:eastAsia="方正仿宋_GBK" w:cs="Times New Roman Regular"/>
                <w:sz w:val="24"/>
              </w:rPr>
            </w:pPr>
          </w:p>
        </w:tc>
      </w:tr>
      <w:tr w14:paraId="1E645708">
        <w:trPr>
          <w:trHeight w:val="928" w:hRule="atLeast"/>
        </w:trPr>
        <w:tc>
          <w:tcPr>
            <w:tcW w:w="3487" w:type="dxa"/>
            <w:vMerge w:val="continue"/>
            <w:tcBorders>
              <w:top w:val="single" w:color="auto" w:sz="4" w:space="0"/>
              <w:left w:val="single" w:color="auto" w:sz="4" w:space="0"/>
              <w:bottom w:val="single" w:color="auto" w:sz="4" w:space="0"/>
              <w:right w:val="single" w:color="auto" w:sz="4" w:space="0"/>
            </w:tcBorders>
            <w:vAlign w:val="center"/>
          </w:tcPr>
          <w:p w14:paraId="2E26D954">
            <w:pPr>
              <w:spacing w:line="360" w:lineRule="exact"/>
              <w:rPr>
                <w:rFonts w:hint="default" w:ascii="Times New Roman Regular" w:hAnsi="Times New Roman Regular" w:eastAsia="方正仿宋_GBK" w:cs="Times New Roman Regular"/>
                <w:sz w:val="24"/>
              </w:rPr>
            </w:pPr>
          </w:p>
        </w:tc>
        <w:tc>
          <w:tcPr>
            <w:tcW w:w="4563" w:type="dxa"/>
            <w:tcBorders>
              <w:top w:val="single" w:color="auto" w:sz="4" w:space="0"/>
              <w:left w:val="single" w:color="auto" w:sz="4" w:space="0"/>
              <w:bottom w:val="single" w:color="auto" w:sz="4" w:space="0"/>
              <w:right w:val="single" w:color="auto" w:sz="4" w:space="0"/>
            </w:tcBorders>
            <w:vAlign w:val="center"/>
          </w:tcPr>
          <w:p w14:paraId="23C86066">
            <w:pPr>
              <w:wordWrap w:val="0"/>
              <w:spacing w:line="360" w:lineRule="exact"/>
              <w:jc w:val="both"/>
              <w:rPr>
                <w:rFonts w:hint="default" w:ascii="Times New Roman Regular" w:hAnsi="Times New Roman Regular" w:eastAsia="方正仿宋_GBK" w:cs="Times New Roman Regular"/>
                <w:color w:val="000000"/>
                <w:sz w:val="24"/>
              </w:rPr>
            </w:pPr>
            <w:r>
              <w:rPr>
                <w:rFonts w:hint="default" w:ascii="Times New Roman Regular" w:hAnsi="Times New Roman Regular" w:eastAsia="方正仿宋_GBK" w:cs="Times New Roman Regular"/>
                <w:color w:val="000000"/>
                <w:sz w:val="24"/>
              </w:rPr>
              <w:t>提供“信用中国”网站（http://www.creditchina.gov.cn）的信用信息报告。</w:t>
            </w:r>
          </w:p>
        </w:tc>
        <w:tc>
          <w:tcPr>
            <w:tcW w:w="1306" w:type="dxa"/>
            <w:tcBorders>
              <w:top w:val="single" w:color="auto" w:sz="4" w:space="0"/>
              <w:left w:val="single" w:color="auto" w:sz="4" w:space="0"/>
              <w:bottom w:val="single" w:color="auto" w:sz="4" w:space="0"/>
              <w:right w:val="single" w:color="auto" w:sz="4" w:space="0"/>
            </w:tcBorders>
            <w:vAlign w:val="center"/>
          </w:tcPr>
          <w:p w14:paraId="10A87DAD">
            <w:pPr>
              <w:spacing w:line="360" w:lineRule="exact"/>
              <w:rPr>
                <w:rFonts w:hint="default" w:ascii="Times New Roman Regular" w:hAnsi="Times New Roman Regular" w:eastAsia="方正仿宋_GBK" w:cs="Times New Roman Regular"/>
                <w:sz w:val="24"/>
              </w:rPr>
            </w:pPr>
          </w:p>
        </w:tc>
      </w:tr>
      <w:tr w14:paraId="238A00D8">
        <w:trPr>
          <w:trHeight w:val="988" w:hRule="atLeast"/>
        </w:trPr>
        <w:tc>
          <w:tcPr>
            <w:tcW w:w="3487" w:type="dxa"/>
            <w:tcBorders>
              <w:top w:val="single" w:color="auto" w:sz="4" w:space="0"/>
              <w:left w:val="single" w:color="auto" w:sz="4" w:space="0"/>
              <w:bottom w:val="single" w:color="auto" w:sz="4" w:space="0"/>
              <w:right w:val="single" w:color="auto" w:sz="4" w:space="0"/>
            </w:tcBorders>
            <w:vAlign w:val="center"/>
          </w:tcPr>
          <w:p w14:paraId="2EDE0D7B">
            <w:pPr>
              <w:spacing w:line="36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3.参加政府采购活动前三年内，在经营活动中没有重大违法记录</w:t>
            </w:r>
          </w:p>
        </w:tc>
        <w:tc>
          <w:tcPr>
            <w:tcW w:w="4563" w:type="dxa"/>
            <w:tcBorders>
              <w:top w:val="single" w:color="auto" w:sz="4" w:space="0"/>
              <w:left w:val="single" w:color="auto" w:sz="4" w:space="0"/>
              <w:bottom w:val="single" w:color="auto" w:sz="4" w:space="0"/>
              <w:right w:val="single" w:color="auto" w:sz="4" w:space="0"/>
            </w:tcBorders>
            <w:vAlign w:val="center"/>
          </w:tcPr>
          <w:p w14:paraId="2C8E7647">
            <w:pPr>
              <w:spacing w:line="36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近三年内在经营活动中没有重大违法记录（提供书面声明）。</w:t>
            </w:r>
          </w:p>
        </w:tc>
        <w:tc>
          <w:tcPr>
            <w:tcW w:w="1306" w:type="dxa"/>
            <w:tcBorders>
              <w:top w:val="single" w:color="auto" w:sz="4" w:space="0"/>
              <w:left w:val="single" w:color="auto" w:sz="4" w:space="0"/>
              <w:bottom w:val="single" w:color="auto" w:sz="4" w:space="0"/>
              <w:right w:val="single" w:color="auto" w:sz="4" w:space="0"/>
            </w:tcBorders>
            <w:vAlign w:val="center"/>
          </w:tcPr>
          <w:p w14:paraId="6A6574E4">
            <w:pPr>
              <w:spacing w:line="360" w:lineRule="exact"/>
              <w:rPr>
                <w:rFonts w:hint="default" w:ascii="Times New Roman Regular" w:hAnsi="Times New Roman Regular" w:eastAsia="方正仿宋_GBK" w:cs="Times New Roman Regula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14:paraId="4CCB896F">
        <w:trPr>
          <w:trHeight w:val="493" w:hRule="atLeast"/>
          <w:jc w:val="center"/>
        </w:trPr>
        <w:tc>
          <w:tcPr>
            <w:tcW w:w="9356" w:type="dxa"/>
            <w:gridSpan w:val="4"/>
            <w:tcBorders>
              <w:top w:val="nil"/>
              <w:left w:val="nil"/>
              <w:bottom w:val="single" w:color="auto" w:sz="4" w:space="0"/>
              <w:right w:val="nil"/>
            </w:tcBorders>
            <w:vAlign w:val="center"/>
          </w:tcPr>
          <w:p w14:paraId="202CE518">
            <w:pPr>
              <w:spacing w:line="400" w:lineRule="exact"/>
              <w:jc w:val="left"/>
              <w:rPr>
                <w:rFonts w:eastAsia="黑体"/>
                <w:sz w:val="32"/>
                <w:szCs w:val="32"/>
              </w:rPr>
            </w:pPr>
            <w:r>
              <w:rPr>
                <w:rFonts w:eastAsia="楷体"/>
                <w:sz w:val="28"/>
                <w:szCs w:val="28"/>
              </w:rPr>
              <w:t>备注：以上为一票否决项，不符合任意一项要求的报价无效</w:t>
            </w:r>
          </w:p>
          <w:p w14:paraId="32ACE352">
            <w:pPr>
              <w:spacing w:line="400" w:lineRule="exact"/>
              <w:jc w:val="left"/>
              <w:rPr>
                <w:rFonts w:eastAsia="黑体"/>
                <w:sz w:val="32"/>
                <w:szCs w:val="32"/>
              </w:rPr>
            </w:pPr>
          </w:p>
          <w:p w14:paraId="6999EA3A">
            <w:pPr>
              <w:spacing w:line="400" w:lineRule="exact"/>
              <w:jc w:val="left"/>
              <w:rPr>
                <w:rFonts w:eastAsia="黑体"/>
                <w:sz w:val="32"/>
                <w:szCs w:val="32"/>
              </w:rPr>
            </w:pPr>
            <w:r>
              <w:rPr>
                <w:rFonts w:eastAsia="黑体"/>
                <w:sz w:val="32"/>
                <w:szCs w:val="32"/>
              </w:rPr>
              <w:t>二、商务水平、技术水平及报价评审</w:t>
            </w:r>
          </w:p>
        </w:tc>
      </w:tr>
      <w:tr w14:paraId="44748ABF">
        <w:trPr>
          <w:trHeight w:val="560" w:hRule="atLeast"/>
          <w:jc w:val="center"/>
        </w:trPr>
        <w:tc>
          <w:tcPr>
            <w:tcW w:w="1134" w:type="dxa"/>
            <w:tcBorders>
              <w:top w:val="single" w:color="auto" w:sz="4" w:space="0"/>
            </w:tcBorders>
            <w:vAlign w:val="center"/>
          </w:tcPr>
          <w:p w14:paraId="5D08546C">
            <w:pPr>
              <w:spacing w:line="40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类别</w:t>
            </w:r>
          </w:p>
        </w:tc>
        <w:tc>
          <w:tcPr>
            <w:tcW w:w="2835" w:type="dxa"/>
            <w:tcBorders>
              <w:top w:val="single" w:color="auto" w:sz="4" w:space="0"/>
            </w:tcBorders>
            <w:vAlign w:val="center"/>
          </w:tcPr>
          <w:p w14:paraId="2CCB100C">
            <w:pPr>
              <w:spacing w:line="40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一级评价指标</w:t>
            </w:r>
          </w:p>
        </w:tc>
        <w:tc>
          <w:tcPr>
            <w:tcW w:w="4253" w:type="dxa"/>
            <w:tcBorders>
              <w:top w:val="single" w:color="auto" w:sz="4" w:space="0"/>
            </w:tcBorders>
            <w:vAlign w:val="center"/>
          </w:tcPr>
          <w:p w14:paraId="56D9AB7C">
            <w:pPr>
              <w:spacing w:line="40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二级评价指标</w:t>
            </w:r>
          </w:p>
        </w:tc>
        <w:tc>
          <w:tcPr>
            <w:tcW w:w="1134" w:type="dxa"/>
            <w:tcBorders>
              <w:top w:val="single" w:color="auto" w:sz="4" w:space="0"/>
            </w:tcBorders>
            <w:vAlign w:val="center"/>
          </w:tcPr>
          <w:p w14:paraId="492BCC2D">
            <w:pPr>
              <w:spacing w:line="40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评分</w:t>
            </w:r>
          </w:p>
        </w:tc>
      </w:tr>
      <w:tr w14:paraId="697C9B78">
        <w:trPr>
          <w:trHeight w:val="610" w:hRule="atLeast"/>
          <w:jc w:val="center"/>
        </w:trPr>
        <w:tc>
          <w:tcPr>
            <w:tcW w:w="1134" w:type="dxa"/>
            <w:vMerge w:val="restart"/>
            <w:vAlign w:val="center"/>
          </w:tcPr>
          <w:p w14:paraId="3480B2DF">
            <w:pPr>
              <w:spacing w:line="40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（一）</w:t>
            </w:r>
            <w:r>
              <w:rPr>
                <w:rFonts w:hint="eastAsia" w:ascii="Times New Roman Regular" w:hAnsi="Times New Roman Regular" w:eastAsia="方正仿宋_GBK" w:cs="Times New Roman Regular"/>
                <w:sz w:val="24"/>
                <w:lang w:val="en-US" w:eastAsia="zh-CN"/>
              </w:rPr>
              <w:t>技术</w:t>
            </w:r>
            <w:r>
              <w:rPr>
                <w:rFonts w:hint="default" w:ascii="Times New Roman Regular" w:hAnsi="Times New Roman Regular" w:eastAsia="方正仿宋_GBK" w:cs="Times New Roman Regular"/>
                <w:sz w:val="24"/>
              </w:rPr>
              <w:t>水平（</w:t>
            </w:r>
            <w:r>
              <w:rPr>
                <w:rFonts w:hint="eastAsia" w:ascii="Times New Roman Regular" w:hAnsi="Times New Roman Regular" w:eastAsia="方正仿宋_GBK" w:cs="Times New Roman Regular"/>
                <w:sz w:val="24"/>
                <w:lang w:val="en-US" w:eastAsia="zh-CN"/>
              </w:rPr>
              <w:t>7</w:t>
            </w:r>
            <w:r>
              <w:rPr>
                <w:rFonts w:hint="default" w:ascii="Times New Roman Regular" w:hAnsi="Times New Roman Regular" w:eastAsia="方正仿宋_GBK" w:cs="Times New Roman Regular"/>
                <w:sz w:val="24"/>
              </w:rPr>
              <w:t>0分）</w:t>
            </w:r>
          </w:p>
        </w:tc>
        <w:tc>
          <w:tcPr>
            <w:tcW w:w="2835" w:type="dxa"/>
            <w:vAlign w:val="center"/>
          </w:tcPr>
          <w:p w14:paraId="62A9EEF3">
            <w:pPr>
              <w:spacing w:line="400" w:lineRule="exact"/>
              <w:jc w:val="left"/>
              <w:rPr>
                <w:rFonts w:hint="default" w:ascii="Times New Roman Regular" w:hAnsi="Times New Roman Regular" w:eastAsia="方正仿宋_GBK" w:cs="Times New Roman Regular"/>
                <w:sz w:val="24"/>
              </w:rPr>
            </w:pPr>
            <w:r>
              <w:rPr>
                <w:rFonts w:hint="eastAsia" w:ascii="Times New Roman Regular" w:hAnsi="Times New Roman Regular" w:eastAsia="方正仿宋_GBK" w:cs="Times New Roman Regular"/>
                <w:sz w:val="24"/>
                <w:lang w:val="en-US" w:eastAsia="zh-CN"/>
              </w:rPr>
              <w:t>近三年</w:t>
            </w:r>
            <w:r>
              <w:rPr>
                <w:rFonts w:hint="default" w:ascii="Times New Roman Regular" w:hAnsi="Times New Roman Regular" w:eastAsia="方正仿宋_GBK" w:cs="Times New Roman Regular"/>
                <w:sz w:val="24"/>
              </w:rPr>
              <w:t>承</w:t>
            </w:r>
            <w:r>
              <w:rPr>
                <w:rFonts w:hint="eastAsia" w:ascii="Times New Roman Regular" w:hAnsi="Times New Roman Regular" w:eastAsia="方正仿宋_GBK" w:cs="Times New Roman Regular"/>
                <w:sz w:val="24"/>
                <w:lang w:val="en-US" w:eastAsia="zh-CN"/>
              </w:rPr>
              <w:t>办同类活动</w:t>
            </w:r>
            <w:r>
              <w:rPr>
                <w:rFonts w:hint="default" w:ascii="Times New Roman Regular" w:hAnsi="Times New Roman Regular" w:eastAsia="方正仿宋_GBK" w:cs="Times New Roman Regular"/>
                <w:sz w:val="24"/>
                <w:lang w:val="en-US" w:eastAsia="zh-CN"/>
              </w:rPr>
              <w:t>情况</w:t>
            </w:r>
            <w:r>
              <w:rPr>
                <w:rFonts w:hint="default" w:ascii="Times New Roman Regular" w:hAnsi="Times New Roman Regular" w:eastAsia="方正仿宋_GBK" w:cs="Times New Roman Regular"/>
                <w:sz w:val="24"/>
              </w:rPr>
              <w:t>（30分）</w:t>
            </w:r>
          </w:p>
        </w:tc>
        <w:tc>
          <w:tcPr>
            <w:tcW w:w="4253" w:type="dxa"/>
            <w:vAlign w:val="center"/>
          </w:tcPr>
          <w:p w14:paraId="4D379EEC">
            <w:pPr>
              <w:tabs>
                <w:tab w:val="left" w:pos="0"/>
                <w:tab w:val="left" w:pos="720"/>
                <w:tab w:val="left" w:pos="1080"/>
              </w:tabs>
              <w:spacing w:line="40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根据供应商20</w:t>
            </w:r>
            <w:r>
              <w:rPr>
                <w:rFonts w:hint="default" w:ascii="Times New Roman Regular" w:hAnsi="Times New Roman Regular" w:eastAsia="方正仿宋_GBK" w:cs="Times New Roman Regular"/>
                <w:sz w:val="24"/>
                <w:lang w:val="en-US" w:eastAsia="zh-CN"/>
              </w:rPr>
              <w:t>2</w:t>
            </w:r>
            <w:r>
              <w:rPr>
                <w:rFonts w:hint="eastAsia" w:ascii="Times New Roman Regular" w:hAnsi="Times New Roman Regular" w:eastAsia="方正仿宋_GBK" w:cs="Times New Roman Regular"/>
                <w:sz w:val="24"/>
                <w:lang w:val="en-US" w:eastAsia="zh-CN"/>
              </w:rPr>
              <w:t>3</w:t>
            </w:r>
            <w:r>
              <w:rPr>
                <w:rFonts w:hint="default" w:ascii="Times New Roman Regular" w:hAnsi="Times New Roman Regular" w:eastAsia="方正仿宋_GBK" w:cs="Times New Roman Regular"/>
                <w:sz w:val="24"/>
              </w:rPr>
              <w:t>年1月1日至今[</w:t>
            </w:r>
            <w:r>
              <w:rPr>
                <w:rFonts w:hint="eastAsia" w:ascii="Times New Roman Regular" w:hAnsi="Times New Roman Regular" w:eastAsia="方正仿宋_GBK" w:cs="Times New Roman Regular"/>
                <w:sz w:val="24"/>
                <w:lang w:val="en-US" w:eastAsia="zh-CN"/>
              </w:rPr>
              <w:t>提供承办</w:t>
            </w:r>
            <w:r>
              <w:rPr>
                <w:rFonts w:hint="default" w:ascii="Times New Roman Regular" w:hAnsi="Times New Roman Regular" w:eastAsia="方正仿宋_GBK" w:cs="Times New Roman Regular"/>
                <w:sz w:val="24"/>
              </w:rPr>
              <w:t>合同或</w:t>
            </w:r>
            <w:r>
              <w:rPr>
                <w:rFonts w:hint="default" w:ascii="Times New Roman Regular" w:hAnsi="Times New Roman Regular" w:eastAsia="方正仿宋_GBK" w:cs="Times New Roman Regular"/>
                <w:sz w:val="24"/>
                <w:lang w:val="en-US" w:eastAsia="zh-CN"/>
              </w:rPr>
              <w:t>服务</w:t>
            </w:r>
            <w:r>
              <w:rPr>
                <w:rFonts w:hint="default" w:ascii="Times New Roman Regular" w:hAnsi="Times New Roman Regular" w:eastAsia="方正仿宋_GBK" w:cs="Times New Roman Regular"/>
                <w:sz w:val="24"/>
              </w:rPr>
              <w:t>委托书</w:t>
            </w:r>
            <w:r>
              <w:rPr>
                <w:rFonts w:hint="eastAsia" w:ascii="Times New Roman Regular" w:hAnsi="Times New Roman Regular" w:eastAsia="方正仿宋_GBK" w:cs="Times New Roman Regular"/>
                <w:sz w:val="24"/>
                <w:lang w:val="en-US" w:eastAsia="zh-CN"/>
              </w:rPr>
              <w:t>及成效佐证</w:t>
            </w:r>
            <w:r>
              <w:rPr>
                <w:rFonts w:hint="eastAsia" w:ascii="Times New Roman Regular" w:hAnsi="Times New Roman Regular" w:eastAsia="方正仿宋_GBK" w:cs="Times New Roman Regular"/>
                <w:sz w:val="24"/>
                <w:lang w:eastAsia="zh-CN"/>
              </w:rPr>
              <w:t>，</w:t>
            </w:r>
            <w:r>
              <w:rPr>
                <w:rFonts w:hint="default" w:ascii="Times New Roman Regular" w:hAnsi="Times New Roman Regular" w:eastAsia="方正仿宋_GBK" w:cs="Times New Roman Regular"/>
                <w:sz w:val="24"/>
              </w:rPr>
              <w:t>以合同签订日期或</w:t>
            </w:r>
            <w:r>
              <w:rPr>
                <w:rFonts w:hint="default" w:ascii="Times New Roman Regular" w:hAnsi="Times New Roman Regular" w:eastAsia="方正仿宋_GBK" w:cs="Times New Roman Regular"/>
                <w:sz w:val="24"/>
                <w:lang w:val="en-US" w:eastAsia="zh-CN"/>
              </w:rPr>
              <w:t>服务</w:t>
            </w:r>
            <w:r>
              <w:rPr>
                <w:rFonts w:hint="default" w:ascii="Times New Roman Regular" w:hAnsi="Times New Roman Regular" w:eastAsia="方正仿宋_GBK" w:cs="Times New Roman Regular"/>
                <w:sz w:val="24"/>
              </w:rPr>
              <w:t>委托书落款日期或中标（或成交）通知书签发日期为准]独立或牵头承</w:t>
            </w:r>
            <w:r>
              <w:rPr>
                <w:rFonts w:hint="eastAsia" w:ascii="Times New Roman Regular" w:hAnsi="Times New Roman Regular" w:eastAsia="方正仿宋_GBK" w:cs="Times New Roman Regular"/>
                <w:sz w:val="24"/>
                <w:lang w:val="en-US" w:eastAsia="zh-CN"/>
              </w:rPr>
              <w:t>办</w:t>
            </w:r>
            <w:r>
              <w:rPr>
                <w:rFonts w:hint="default" w:ascii="Times New Roman Regular" w:hAnsi="Times New Roman Regular" w:eastAsia="方正仿宋_GBK" w:cs="Times New Roman Regular"/>
                <w:sz w:val="24"/>
              </w:rPr>
              <w:t>过的</w:t>
            </w:r>
            <w:r>
              <w:rPr>
                <w:rFonts w:hint="eastAsia" w:ascii="Times New Roman Regular" w:hAnsi="Times New Roman Regular" w:eastAsia="方正仿宋_GBK" w:cs="Times New Roman Regular"/>
                <w:sz w:val="24"/>
                <w:lang w:val="en-US" w:eastAsia="zh-CN"/>
              </w:rPr>
              <w:t>同类</w:t>
            </w:r>
            <w:r>
              <w:rPr>
                <w:rFonts w:hint="default" w:ascii="Times New Roman Regular" w:hAnsi="Times New Roman Regular" w:eastAsia="方正仿宋_GBK" w:cs="Times New Roman Regular"/>
                <w:sz w:val="24"/>
                <w:lang w:val="en-US" w:eastAsia="zh-CN"/>
              </w:rPr>
              <w:t>活动</w:t>
            </w:r>
            <w:r>
              <w:rPr>
                <w:rFonts w:hint="eastAsia" w:ascii="Times New Roman Regular" w:hAnsi="Times New Roman Regular" w:eastAsia="方正仿宋_GBK" w:cs="Times New Roman Regular"/>
                <w:sz w:val="24"/>
                <w:lang w:val="en-US" w:eastAsia="zh-CN"/>
              </w:rPr>
              <w:t>案例成效</w:t>
            </w:r>
            <w:r>
              <w:rPr>
                <w:rFonts w:hint="default" w:ascii="Times New Roman Regular" w:hAnsi="Times New Roman Regular" w:eastAsia="方正仿宋_GBK" w:cs="Times New Roman Regular"/>
                <w:sz w:val="24"/>
              </w:rPr>
              <w:t>进行综合评分。</w:t>
            </w:r>
          </w:p>
          <w:p w14:paraId="0CB1E028">
            <w:pPr>
              <w:tabs>
                <w:tab w:val="left" w:pos="0"/>
                <w:tab w:val="left" w:pos="720"/>
                <w:tab w:val="left" w:pos="1080"/>
              </w:tabs>
              <w:spacing w:line="400" w:lineRule="exact"/>
              <w:rPr>
                <w:rFonts w:hint="default" w:ascii="Times New Roman Regular" w:hAnsi="Times New Roman Regular" w:eastAsia="方正仿宋_GBK" w:cs="Times New Roman Regular"/>
                <w:sz w:val="24"/>
              </w:rPr>
            </w:pPr>
          </w:p>
          <w:p w14:paraId="1C99D39B">
            <w:pPr>
              <w:tabs>
                <w:tab w:val="left" w:pos="0"/>
                <w:tab w:val="left" w:pos="720"/>
                <w:tab w:val="left" w:pos="1080"/>
              </w:tabs>
              <w:spacing w:line="400" w:lineRule="exact"/>
              <w:rPr>
                <w:rFonts w:hint="eastAsia" w:ascii="Times New Roman Regular" w:hAnsi="Times New Roman Regular" w:eastAsia="方正仿宋_GBK" w:cs="Times New Roman Regular"/>
                <w:sz w:val="24"/>
                <w:lang w:eastAsia="zh-CN"/>
              </w:rPr>
            </w:pPr>
            <w:r>
              <w:rPr>
                <w:rFonts w:hint="default" w:ascii="Times New Roman Regular" w:hAnsi="Times New Roman Regular" w:eastAsia="方正仿宋_GBK" w:cs="Times New Roman Regular"/>
                <w:sz w:val="24"/>
              </w:rPr>
              <w:t>完全达标</w:t>
            </w:r>
            <w:r>
              <w:rPr>
                <w:rFonts w:hint="eastAsia" w:ascii="Times New Roman Regular" w:hAnsi="Times New Roman Regular" w:eastAsia="方正仿宋_GBK" w:cs="Times New Roman Regular"/>
                <w:sz w:val="24"/>
                <w:lang w:val="en-US" w:eastAsia="zh-CN"/>
              </w:rPr>
              <w:t>3</w:t>
            </w:r>
            <w:r>
              <w:rPr>
                <w:rFonts w:hint="default" w:ascii="Times New Roman Regular" w:hAnsi="Times New Roman Regular" w:eastAsia="方正仿宋_GBK" w:cs="Times New Roman Regular"/>
                <w:sz w:val="24"/>
              </w:rPr>
              <w:t>0分：提供近3年承办的2个同类型活动合同或</w:t>
            </w:r>
            <w:r>
              <w:rPr>
                <w:rFonts w:hint="default" w:ascii="Times New Roman Regular" w:hAnsi="Times New Roman Regular" w:eastAsia="方正仿宋_GBK" w:cs="Times New Roman Regular"/>
                <w:sz w:val="24"/>
                <w:lang w:val="en-US" w:eastAsia="zh-CN"/>
              </w:rPr>
              <w:t>服务</w:t>
            </w:r>
            <w:r>
              <w:rPr>
                <w:rFonts w:hint="default" w:ascii="Times New Roman Regular" w:hAnsi="Times New Roman Regular" w:eastAsia="方正仿宋_GBK" w:cs="Times New Roman Regular"/>
                <w:sz w:val="24"/>
              </w:rPr>
              <w:t>委托书，配套媒体报道、活动成果报告、现场影像等客观佐证材料</w:t>
            </w:r>
            <w:r>
              <w:rPr>
                <w:rFonts w:hint="eastAsia" w:ascii="Times New Roman Regular" w:hAnsi="Times New Roman Regular" w:eastAsia="方正仿宋_GBK" w:cs="Times New Roman Regular"/>
                <w:sz w:val="24"/>
                <w:lang w:eastAsia="zh-CN"/>
              </w:rPr>
              <w:t>。</w:t>
            </w:r>
          </w:p>
          <w:p w14:paraId="46B1E836">
            <w:pPr>
              <w:tabs>
                <w:tab w:val="left" w:pos="0"/>
                <w:tab w:val="left" w:pos="720"/>
                <w:tab w:val="left" w:pos="1080"/>
              </w:tabs>
              <w:spacing w:line="40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基本达标</w:t>
            </w:r>
            <w:r>
              <w:rPr>
                <w:rFonts w:hint="eastAsia" w:ascii="Times New Roman Regular" w:hAnsi="Times New Roman Regular" w:eastAsia="方正仿宋_GBK" w:cs="Times New Roman Regular"/>
                <w:sz w:val="24"/>
                <w:lang w:val="en-US" w:eastAsia="zh-CN"/>
              </w:rPr>
              <w:t>18</w:t>
            </w:r>
            <w:r>
              <w:rPr>
                <w:rFonts w:hint="default" w:ascii="Times New Roman Regular" w:hAnsi="Times New Roman Regular" w:eastAsia="方正仿宋_GBK" w:cs="Times New Roman Regular"/>
                <w:sz w:val="24"/>
              </w:rPr>
              <w:t>分：提供近3年承办的1个同类活动合同</w:t>
            </w:r>
            <w:r>
              <w:rPr>
                <w:rFonts w:hint="eastAsia" w:ascii="Times New Roman Regular" w:hAnsi="Times New Roman Regular" w:eastAsia="方正仿宋_GBK" w:cs="Times New Roman Regular"/>
                <w:sz w:val="24"/>
                <w:lang w:val="en-US" w:eastAsia="zh-CN"/>
              </w:rPr>
              <w:t>及佐证材料</w:t>
            </w:r>
            <w:r>
              <w:rPr>
                <w:rFonts w:hint="default" w:ascii="Times New Roman Regular" w:hAnsi="Times New Roman Regular" w:eastAsia="方正仿宋_GBK" w:cs="Times New Roman Regular"/>
                <w:sz w:val="24"/>
              </w:rPr>
              <w:t>，</w:t>
            </w:r>
            <w:r>
              <w:rPr>
                <w:rFonts w:hint="eastAsia" w:ascii="Times New Roman Regular" w:hAnsi="Times New Roman Regular" w:eastAsia="方正仿宋_GBK" w:cs="Times New Roman Regular"/>
                <w:sz w:val="24"/>
                <w:lang w:val="en-US" w:eastAsia="zh-CN"/>
              </w:rPr>
              <w:t>或</w:t>
            </w:r>
            <w:r>
              <w:rPr>
                <w:rFonts w:hint="default" w:ascii="Times New Roman Regular" w:hAnsi="Times New Roman Regular" w:eastAsia="方正仿宋_GBK" w:cs="Times New Roman Regular"/>
                <w:sz w:val="24"/>
              </w:rPr>
              <w:t>仅附合同及现场照片，无媒体报道、活动成果报告等</w:t>
            </w:r>
            <w:r>
              <w:rPr>
                <w:rFonts w:hint="eastAsia" w:ascii="Times New Roman Regular" w:hAnsi="Times New Roman Regular" w:eastAsia="方正仿宋_GBK" w:cs="Times New Roman Regular"/>
                <w:sz w:val="24"/>
                <w:lang w:val="en-US" w:eastAsia="zh-CN"/>
              </w:rPr>
              <w:t>佐证材料</w:t>
            </w:r>
            <w:r>
              <w:rPr>
                <w:rFonts w:hint="default" w:ascii="Times New Roman Regular" w:hAnsi="Times New Roman Regular" w:eastAsia="方正仿宋_GBK" w:cs="Times New Roman Regular"/>
                <w:sz w:val="24"/>
              </w:rPr>
              <w:t>。</w:t>
            </w:r>
          </w:p>
          <w:p w14:paraId="05929ED4">
            <w:pPr>
              <w:tabs>
                <w:tab w:val="left" w:pos="0"/>
                <w:tab w:val="left" w:pos="720"/>
                <w:tab w:val="left" w:pos="1080"/>
              </w:tabs>
              <w:spacing w:line="400" w:lineRule="exact"/>
              <w:rPr>
                <w:rFonts w:hint="default" w:ascii="Times New Roman Regular" w:hAnsi="Times New Roman Regular" w:eastAsia="方正仿宋_GBK" w:cs="Times New Roman Regular"/>
                <w:sz w:val="24"/>
              </w:rPr>
            </w:pPr>
            <w:r>
              <w:rPr>
                <w:rFonts w:hint="eastAsia" w:ascii="Times New Roman Regular" w:hAnsi="Times New Roman Regular" w:eastAsia="方正仿宋_GBK" w:cs="Times New Roman Regular"/>
                <w:sz w:val="24"/>
                <w:lang w:val="en-US" w:eastAsia="zh-CN"/>
              </w:rPr>
              <w:t>不达标0分：未提供</w:t>
            </w:r>
            <w:r>
              <w:rPr>
                <w:rFonts w:hint="eastAsia" w:ascii="Times New Roman Regular" w:hAnsi="Times New Roman Regular" w:eastAsia="方正仿宋_GBK" w:cs="Times New Roman Regular"/>
                <w:sz w:val="24"/>
              </w:rPr>
              <w:t>近3年承办同类活动</w:t>
            </w:r>
            <w:r>
              <w:rPr>
                <w:rFonts w:hint="eastAsia" w:ascii="Times New Roman Regular" w:hAnsi="Times New Roman Regular" w:eastAsia="方正仿宋_GBK" w:cs="Times New Roman Regular"/>
                <w:sz w:val="24"/>
                <w:lang w:val="en-US" w:eastAsia="zh-CN"/>
              </w:rPr>
              <w:t>佐证材料</w:t>
            </w:r>
            <w:r>
              <w:rPr>
                <w:rFonts w:hint="eastAsia" w:ascii="Times New Roman Regular" w:hAnsi="Times New Roman Regular" w:eastAsia="方正仿宋_GBK" w:cs="Times New Roman Regular"/>
                <w:sz w:val="24"/>
                <w:lang w:eastAsia="zh-CN"/>
              </w:rPr>
              <w:t>。</w:t>
            </w:r>
          </w:p>
        </w:tc>
        <w:tc>
          <w:tcPr>
            <w:tcW w:w="1134" w:type="dxa"/>
            <w:vAlign w:val="center"/>
          </w:tcPr>
          <w:p w14:paraId="688B4C1E">
            <w:pPr>
              <w:spacing w:line="400" w:lineRule="exact"/>
              <w:rPr>
                <w:rFonts w:hint="default" w:ascii="Times New Roman Regular" w:hAnsi="Times New Roman Regular" w:eastAsia="方正仿宋_GBK" w:cs="Times New Roman Regular"/>
                <w:sz w:val="24"/>
              </w:rPr>
            </w:pPr>
          </w:p>
        </w:tc>
      </w:tr>
      <w:tr w14:paraId="32036C84">
        <w:trPr>
          <w:trHeight w:val="610" w:hRule="atLeast"/>
          <w:jc w:val="center"/>
        </w:trPr>
        <w:tc>
          <w:tcPr>
            <w:tcW w:w="1134" w:type="dxa"/>
            <w:vMerge w:val="continue"/>
            <w:vAlign w:val="center"/>
          </w:tcPr>
          <w:p w14:paraId="3433D0C9">
            <w:pPr>
              <w:spacing w:line="400" w:lineRule="exact"/>
              <w:rPr>
                <w:rFonts w:hint="default" w:ascii="Times New Roman Regular" w:hAnsi="Times New Roman Regular" w:eastAsia="方正仿宋_GBK" w:cs="Times New Roman Regular"/>
                <w:sz w:val="24"/>
              </w:rPr>
            </w:pPr>
          </w:p>
        </w:tc>
        <w:tc>
          <w:tcPr>
            <w:tcW w:w="2835" w:type="dxa"/>
            <w:shd w:val="clear" w:color="auto" w:fill="auto"/>
            <w:vAlign w:val="center"/>
          </w:tcPr>
          <w:p w14:paraId="5E5FAC34">
            <w:pPr>
              <w:spacing w:line="400" w:lineRule="exact"/>
              <w:rPr>
                <w:rFonts w:hint="eastAsia" w:ascii="Times New Roman Regular" w:hAnsi="Times New Roman Regular" w:eastAsia="方正仿宋_GBK" w:cs="Times New Roman Regular"/>
                <w:kern w:val="2"/>
                <w:sz w:val="24"/>
                <w:szCs w:val="21"/>
                <w:lang w:val="en-US" w:eastAsia="zh-CN" w:bidi="ar-SA"/>
              </w:rPr>
            </w:pPr>
            <w:r>
              <w:rPr>
                <w:rFonts w:hint="default" w:ascii="Times New Roman Regular" w:hAnsi="Times New Roman Regular" w:eastAsia="方正仿宋_GBK" w:cs="Times New Roman Regular"/>
                <w:sz w:val="24"/>
              </w:rPr>
              <w:t>总体思路和设计方案（</w:t>
            </w:r>
            <w:r>
              <w:rPr>
                <w:rFonts w:hint="eastAsia" w:ascii="Times New Roman Regular" w:hAnsi="Times New Roman Regular" w:eastAsia="方正仿宋_GBK" w:cs="Times New Roman Regular"/>
                <w:sz w:val="24"/>
                <w:lang w:val="en-US" w:eastAsia="zh-CN"/>
              </w:rPr>
              <w:t>30</w:t>
            </w:r>
            <w:r>
              <w:rPr>
                <w:rFonts w:hint="default" w:ascii="Times New Roman Regular" w:hAnsi="Times New Roman Regular" w:eastAsia="方正仿宋_GBK" w:cs="Times New Roman Regular"/>
                <w:sz w:val="24"/>
              </w:rPr>
              <w:t>分）</w:t>
            </w:r>
          </w:p>
        </w:tc>
        <w:tc>
          <w:tcPr>
            <w:tcW w:w="4253" w:type="dxa"/>
            <w:shd w:val="clear" w:color="auto" w:fill="auto"/>
            <w:vAlign w:val="center"/>
          </w:tcPr>
          <w:p w14:paraId="5E6BEA85">
            <w:pPr>
              <w:tabs>
                <w:tab w:val="left" w:pos="0"/>
                <w:tab w:val="left" w:pos="720"/>
                <w:tab w:val="left" w:pos="1080"/>
              </w:tabs>
              <w:spacing w:line="400" w:lineRule="exact"/>
              <w:jc w:val="lef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根据供应商的方案全面、具体、合理度进行综合评分。</w:t>
            </w:r>
          </w:p>
          <w:p w14:paraId="0C9083FB">
            <w:pPr>
              <w:tabs>
                <w:tab w:val="left" w:pos="0"/>
                <w:tab w:val="left" w:pos="720"/>
                <w:tab w:val="left" w:pos="1080"/>
              </w:tabs>
              <w:spacing w:line="400" w:lineRule="exact"/>
              <w:jc w:val="left"/>
              <w:rPr>
                <w:rFonts w:hint="default" w:ascii="Times New Roman Regular" w:hAnsi="Times New Roman Regular" w:eastAsia="方正仿宋_GBK" w:cs="Times New Roman Regular"/>
                <w:sz w:val="24"/>
              </w:rPr>
            </w:pPr>
          </w:p>
          <w:p w14:paraId="4C91AC84">
            <w:pPr>
              <w:tabs>
                <w:tab w:val="left" w:pos="0"/>
                <w:tab w:val="left" w:pos="720"/>
                <w:tab w:val="left" w:pos="1080"/>
              </w:tabs>
              <w:spacing w:line="400" w:lineRule="exact"/>
              <w:jc w:val="lef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完全达标</w:t>
            </w:r>
            <w:r>
              <w:rPr>
                <w:rFonts w:hint="eastAsia" w:ascii="Times New Roman Regular" w:hAnsi="Times New Roman Regular" w:eastAsia="方正仿宋_GBK" w:cs="Times New Roman Regular"/>
                <w:sz w:val="24"/>
                <w:lang w:eastAsia="zh-CN"/>
              </w:rPr>
              <w:t>3</w:t>
            </w:r>
            <w:r>
              <w:rPr>
                <w:rFonts w:hint="default" w:ascii="Times New Roman Regular" w:hAnsi="Times New Roman Regular" w:eastAsia="方正仿宋_GBK" w:cs="Times New Roman Regular"/>
                <w:sz w:val="24"/>
              </w:rPr>
              <w:t>0分：方案贴合项目需求，思路完整清晰，流程、人员、场地、物料、应急预案、明细预算全部齐全，内容针对性强、落地操作性高；</w:t>
            </w:r>
          </w:p>
          <w:p w14:paraId="4FD4C3D9">
            <w:pPr>
              <w:tabs>
                <w:tab w:val="left" w:pos="0"/>
                <w:tab w:val="left" w:pos="720"/>
                <w:tab w:val="left" w:pos="1080"/>
              </w:tabs>
              <w:spacing w:line="400" w:lineRule="exact"/>
              <w:jc w:val="lef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基本达标</w:t>
            </w:r>
            <w:r>
              <w:rPr>
                <w:rFonts w:hint="eastAsia" w:ascii="Times New Roman Regular" w:hAnsi="Times New Roman Regular" w:eastAsia="方正仿宋_GBK" w:cs="Times New Roman Regular"/>
                <w:sz w:val="24"/>
                <w:lang w:eastAsia="zh-CN"/>
              </w:rPr>
              <w:t>1</w:t>
            </w:r>
            <w:r>
              <w:rPr>
                <w:rFonts w:hint="eastAsia" w:ascii="Times New Roman Regular" w:hAnsi="Times New Roman Regular" w:eastAsia="方正仿宋_GBK" w:cs="Times New Roman Regular"/>
                <w:sz w:val="24"/>
                <w:lang w:val="en-US" w:eastAsia="zh-CN"/>
              </w:rPr>
              <w:t>8</w:t>
            </w:r>
            <w:r>
              <w:rPr>
                <w:rFonts w:hint="default" w:ascii="Times New Roman Regular" w:hAnsi="Times New Roman Regular" w:eastAsia="方正仿宋_GBK" w:cs="Times New Roman Regular"/>
                <w:sz w:val="24"/>
              </w:rPr>
              <w:t>分：具备基础活动框架，缺少应急预案、预算明细等关键内容，内容通用性强、定制化不足；</w:t>
            </w:r>
          </w:p>
          <w:p w14:paraId="51BE6683">
            <w:pPr>
              <w:tabs>
                <w:tab w:val="left" w:pos="0"/>
                <w:tab w:val="left" w:pos="720"/>
                <w:tab w:val="left" w:pos="1080"/>
              </w:tabs>
              <w:spacing w:line="400" w:lineRule="exact"/>
              <w:jc w:val="left"/>
              <w:rPr>
                <w:rFonts w:hint="default" w:ascii="Times New Roman Regular" w:hAnsi="Times New Roman Regular" w:eastAsia="方正仿宋_GBK" w:cs="Times New Roman Regular"/>
                <w:kern w:val="2"/>
                <w:sz w:val="21"/>
                <w:szCs w:val="21"/>
                <w:lang w:val="en-US" w:eastAsia="zh-CN" w:bidi="ar-SA"/>
              </w:rPr>
            </w:pPr>
            <w:r>
              <w:rPr>
                <w:rFonts w:hint="default" w:ascii="Times New Roman Regular" w:hAnsi="Times New Roman Regular" w:eastAsia="方正仿宋_GBK" w:cs="Times New Roman Regular"/>
                <w:sz w:val="24"/>
              </w:rPr>
              <w:t>不达标0分：方案内容空洞残缺，与本项目需求不匹配，无法落地实施。</w:t>
            </w:r>
          </w:p>
        </w:tc>
        <w:tc>
          <w:tcPr>
            <w:tcW w:w="1134" w:type="dxa"/>
            <w:vAlign w:val="center"/>
          </w:tcPr>
          <w:p w14:paraId="4C907A6A">
            <w:pPr>
              <w:spacing w:line="400" w:lineRule="exact"/>
              <w:rPr>
                <w:rFonts w:hint="default" w:ascii="Times New Roman Regular" w:hAnsi="Times New Roman Regular" w:eastAsia="方正仿宋_GBK" w:cs="Times New Roman Regular"/>
                <w:sz w:val="24"/>
              </w:rPr>
            </w:pPr>
          </w:p>
        </w:tc>
      </w:tr>
      <w:tr w14:paraId="77E0E150">
        <w:trPr>
          <w:trHeight w:val="610" w:hRule="atLeast"/>
          <w:jc w:val="center"/>
        </w:trPr>
        <w:tc>
          <w:tcPr>
            <w:tcW w:w="1134" w:type="dxa"/>
            <w:vMerge w:val="continue"/>
            <w:vAlign w:val="center"/>
          </w:tcPr>
          <w:p w14:paraId="54D62DF1">
            <w:pPr>
              <w:spacing w:line="400" w:lineRule="exact"/>
              <w:rPr>
                <w:rFonts w:hint="default" w:ascii="Times New Roman Regular" w:hAnsi="Times New Roman Regular" w:eastAsia="方正仿宋_GBK" w:cs="Times New Roman Regular"/>
                <w:sz w:val="24"/>
              </w:rPr>
            </w:pPr>
          </w:p>
        </w:tc>
        <w:tc>
          <w:tcPr>
            <w:tcW w:w="2835" w:type="dxa"/>
            <w:shd w:val="clear" w:color="auto" w:fill="auto"/>
            <w:vAlign w:val="center"/>
          </w:tcPr>
          <w:p w14:paraId="5D1858A3">
            <w:pPr>
              <w:tabs>
                <w:tab w:val="left" w:pos="0"/>
                <w:tab w:val="left" w:pos="720"/>
                <w:tab w:val="left" w:pos="1080"/>
              </w:tabs>
              <w:spacing w:line="400" w:lineRule="exact"/>
              <w:jc w:val="left"/>
              <w:rPr>
                <w:rFonts w:hint="eastAsia" w:ascii="Times New Roman Regular" w:hAnsi="Times New Roman Regular" w:eastAsia="方正仿宋_GBK" w:cs="Times New Roman Regular"/>
                <w:kern w:val="2"/>
                <w:sz w:val="24"/>
                <w:szCs w:val="21"/>
                <w:lang w:val="en-US" w:eastAsia="zh-CN" w:bidi="ar-SA"/>
              </w:rPr>
            </w:pPr>
            <w:r>
              <w:rPr>
                <w:rFonts w:hint="default" w:ascii="Times New Roman Regular" w:hAnsi="Times New Roman Regular" w:eastAsia="方正仿宋_GBK" w:cs="Times New Roman Regular"/>
                <w:sz w:val="24"/>
              </w:rPr>
              <w:t>后续服务（</w:t>
            </w:r>
            <w:r>
              <w:rPr>
                <w:rFonts w:hint="eastAsia" w:ascii="Times New Roman Regular" w:hAnsi="Times New Roman Regular" w:eastAsia="方正仿宋_GBK" w:cs="Times New Roman Regular"/>
                <w:sz w:val="24"/>
                <w:lang w:val="en-US" w:eastAsia="zh-CN"/>
              </w:rPr>
              <w:t>10</w:t>
            </w:r>
            <w:r>
              <w:rPr>
                <w:rFonts w:hint="default" w:ascii="Times New Roman Regular" w:hAnsi="Times New Roman Regular" w:eastAsia="方正仿宋_GBK" w:cs="Times New Roman Regular"/>
                <w:sz w:val="24"/>
              </w:rPr>
              <w:t>分）</w:t>
            </w:r>
          </w:p>
        </w:tc>
        <w:tc>
          <w:tcPr>
            <w:tcW w:w="4253" w:type="dxa"/>
            <w:shd w:val="clear" w:color="auto" w:fill="auto"/>
            <w:vAlign w:val="center"/>
          </w:tcPr>
          <w:p w14:paraId="15FCFEC9">
            <w:pPr>
              <w:tabs>
                <w:tab w:val="left" w:pos="0"/>
                <w:tab w:val="left" w:pos="720"/>
                <w:tab w:val="left" w:pos="1080"/>
              </w:tabs>
              <w:spacing w:line="400" w:lineRule="exact"/>
              <w:jc w:val="lef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根据供应商的服务措施承诺的是否全面、具体、合理可行进行综合评分。</w:t>
            </w:r>
          </w:p>
          <w:p w14:paraId="02A291B6">
            <w:pPr>
              <w:pStyle w:val="2"/>
              <w:rPr>
                <w:rFonts w:hint="default" w:ascii="Times New Roman Regular" w:hAnsi="Times New Roman Regular" w:eastAsia="方正仿宋_GBK" w:cs="Times New Roman Regular"/>
                <w:sz w:val="24"/>
              </w:rPr>
            </w:pPr>
          </w:p>
          <w:p w14:paraId="32B7C4BA">
            <w:pPr>
              <w:tabs>
                <w:tab w:val="left" w:pos="0"/>
                <w:tab w:val="left" w:pos="720"/>
                <w:tab w:val="left" w:pos="1080"/>
              </w:tabs>
              <w:spacing w:line="40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完全达标10分：完整承诺全流程跟进、专人对接、7×24小时应急响应、活动复盘归档、问题限时整改、配套增值服务，措施具体可落地；</w:t>
            </w:r>
          </w:p>
          <w:p w14:paraId="41830445">
            <w:pPr>
              <w:tabs>
                <w:tab w:val="left" w:pos="0"/>
                <w:tab w:val="left" w:pos="720"/>
                <w:tab w:val="left" w:pos="1080"/>
              </w:tabs>
              <w:spacing w:line="40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基本达标6分：仅简单承诺现场基础服务，无明确响应时效、整改细则、复盘等后续配套保障；</w:t>
            </w:r>
          </w:p>
          <w:p w14:paraId="591AFF4C">
            <w:pPr>
              <w:tabs>
                <w:tab w:val="left" w:pos="0"/>
                <w:tab w:val="left" w:pos="720"/>
                <w:tab w:val="left" w:pos="1080"/>
              </w:tabs>
              <w:spacing w:line="400" w:lineRule="exact"/>
              <w:rPr>
                <w:rFonts w:hint="default"/>
                <w:lang w:val="en-US" w:eastAsia="zh-CN"/>
              </w:rPr>
            </w:pPr>
            <w:r>
              <w:rPr>
                <w:rFonts w:hint="default" w:ascii="Times New Roman Regular" w:hAnsi="Times New Roman Regular" w:eastAsia="方正仿宋_GBK" w:cs="Times New Roman Regular"/>
                <w:sz w:val="24"/>
              </w:rPr>
              <w:t>不达标0分：未列明任何后续服务及保障承诺。</w:t>
            </w:r>
          </w:p>
        </w:tc>
        <w:tc>
          <w:tcPr>
            <w:tcW w:w="1134" w:type="dxa"/>
            <w:vAlign w:val="center"/>
          </w:tcPr>
          <w:p w14:paraId="2D3FE225">
            <w:pPr>
              <w:spacing w:line="400" w:lineRule="exact"/>
              <w:rPr>
                <w:rFonts w:hint="default" w:ascii="Times New Roman Regular" w:hAnsi="Times New Roman Regular" w:eastAsia="方正仿宋_GBK" w:cs="Times New Roman Regular"/>
                <w:sz w:val="24"/>
              </w:rPr>
            </w:pPr>
          </w:p>
        </w:tc>
      </w:tr>
      <w:tr w14:paraId="7DA91765">
        <w:trPr>
          <w:trHeight w:val="1755" w:hRule="atLeast"/>
          <w:jc w:val="center"/>
        </w:trPr>
        <w:tc>
          <w:tcPr>
            <w:tcW w:w="1134" w:type="dxa"/>
            <w:vAlign w:val="center"/>
          </w:tcPr>
          <w:p w14:paraId="724E30A7">
            <w:pPr>
              <w:spacing w:line="40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w:t>
            </w:r>
            <w:r>
              <w:rPr>
                <w:rFonts w:hint="eastAsia" w:ascii="Times New Roman Regular" w:hAnsi="Times New Roman Regular" w:eastAsia="方正仿宋_GBK" w:cs="Times New Roman Regular"/>
                <w:sz w:val="24"/>
                <w:lang w:val="en-US" w:eastAsia="zh-CN"/>
              </w:rPr>
              <w:t>二</w:t>
            </w:r>
            <w:r>
              <w:rPr>
                <w:rFonts w:hint="default" w:ascii="Times New Roman Regular" w:hAnsi="Times New Roman Regular" w:eastAsia="方正仿宋_GBK" w:cs="Times New Roman Regular"/>
                <w:sz w:val="24"/>
              </w:rPr>
              <w:t>）报价（30分）</w:t>
            </w:r>
          </w:p>
        </w:tc>
        <w:tc>
          <w:tcPr>
            <w:tcW w:w="2835" w:type="dxa"/>
            <w:vAlign w:val="center"/>
          </w:tcPr>
          <w:p w14:paraId="4E6706E9">
            <w:pPr>
              <w:spacing w:line="400" w:lineRule="exact"/>
              <w:rPr>
                <w:rFonts w:hint="default" w:ascii="Times New Roman Regular" w:hAnsi="Times New Roman Regular" w:eastAsia="方正仿宋_GBK" w:cs="Times New Roman Regular"/>
              </w:rPr>
            </w:pPr>
            <w:r>
              <w:rPr>
                <w:rFonts w:hint="default" w:ascii="Times New Roman Regular" w:hAnsi="Times New Roman Regular" w:eastAsia="方正仿宋_GBK" w:cs="Times New Roman Regular"/>
                <w:sz w:val="24"/>
              </w:rPr>
              <w:t>各有效供应商报价中，取最低价为评标基准价，基准价评分为满分，则其他报价的得分＝总分值×（基准价/报价）</w:t>
            </w:r>
          </w:p>
        </w:tc>
        <w:tc>
          <w:tcPr>
            <w:tcW w:w="4253" w:type="dxa"/>
            <w:vAlign w:val="center"/>
          </w:tcPr>
          <w:p w14:paraId="518F1E94">
            <w:pPr>
              <w:spacing w:line="400" w:lineRule="exact"/>
              <w:rPr>
                <w:rFonts w:hint="eastAsia" w:ascii="Times New Roman Regular" w:hAnsi="Times New Roman Regular" w:eastAsia="方正仿宋_GBK" w:cs="Times New Roman Regular"/>
                <w:sz w:val="24"/>
                <w:lang w:eastAsia="zh-CN"/>
              </w:rPr>
            </w:pPr>
            <w:r>
              <w:rPr>
                <w:rFonts w:hint="default" w:ascii="Times New Roman Regular" w:hAnsi="Times New Roman Regular" w:eastAsia="方正仿宋_GBK" w:cs="Times New Roman Regular"/>
                <w:sz w:val="24"/>
              </w:rPr>
              <w:t>基准价：</w:t>
            </w:r>
            <w:r>
              <w:rPr>
                <w:rFonts w:hint="eastAsia" w:ascii="Times New Roman Regular" w:hAnsi="Times New Roman Regular" w:eastAsia="方正仿宋_GBK" w:cs="Times New Roman Regular"/>
                <w:sz w:val="24"/>
                <w:lang w:val="en-US" w:eastAsia="zh-CN"/>
              </w:rPr>
              <w:t xml:space="preserve">       </w:t>
            </w:r>
            <w:r>
              <w:rPr>
                <w:rFonts w:hint="default" w:ascii="Times New Roman Regular" w:hAnsi="Times New Roman Regular" w:eastAsia="方正仿宋_GBK" w:cs="Times New Roman Regular"/>
                <w:sz w:val="24"/>
              </w:rPr>
              <w:t>报价：</w:t>
            </w:r>
          </w:p>
        </w:tc>
        <w:tc>
          <w:tcPr>
            <w:tcW w:w="1134" w:type="dxa"/>
            <w:vAlign w:val="center"/>
          </w:tcPr>
          <w:p w14:paraId="729CDEDE">
            <w:pPr>
              <w:spacing w:line="400" w:lineRule="exact"/>
              <w:rPr>
                <w:rFonts w:hint="default" w:ascii="Times New Roman Regular" w:hAnsi="Times New Roman Regular" w:eastAsia="方正仿宋_GBK" w:cs="Times New Roman Regular"/>
                <w:sz w:val="24"/>
              </w:rPr>
            </w:pPr>
          </w:p>
        </w:tc>
      </w:tr>
      <w:tr w14:paraId="3C5A0ED9">
        <w:trPr>
          <w:trHeight w:val="1078" w:hRule="atLeast"/>
          <w:jc w:val="center"/>
        </w:trPr>
        <w:tc>
          <w:tcPr>
            <w:tcW w:w="8222" w:type="dxa"/>
            <w:gridSpan w:val="3"/>
            <w:vAlign w:val="center"/>
          </w:tcPr>
          <w:p w14:paraId="0DCCDCE0">
            <w:pPr>
              <w:spacing w:line="400" w:lineRule="exact"/>
              <w:jc w:val="right"/>
              <w:rPr>
                <w:b/>
                <w:sz w:val="24"/>
              </w:rPr>
            </w:pPr>
            <w:r>
              <w:rPr>
                <w:rFonts w:hint="eastAsia" w:ascii="方正黑体_GBK" w:hAnsi="方正黑体_GBK" w:eastAsia="方正黑体_GBK" w:cs="方正黑体_GBK"/>
                <w:b w:val="0"/>
                <w:bCs/>
                <w:sz w:val="24"/>
              </w:rPr>
              <w:t>合计得分</w:t>
            </w:r>
          </w:p>
        </w:tc>
        <w:tc>
          <w:tcPr>
            <w:tcW w:w="1134" w:type="dxa"/>
            <w:vAlign w:val="center"/>
          </w:tcPr>
          <w:p w14:paraId="3519405C">
            <w:pPr>
              <w:spacing w:line="400" w:lineRule="exact"/>
              <w:rPr>
                <w:sz w:val="24"/>
              </w:rPr>
            </w:pPr>
          </w:p>
        </w:tc>
      </w:tr>
    </w:tbl>
    <w:p w14:paraId="3AA53808">
      <w:pPr>
        <w:wordWrap w:val="0"/>
        <w:spacing w:line="360" w:lineRule="auto"/>
        <w:rPr>
          <w:b/>
          <w:sz w:val="24"/>
        </w:rPr>
      </w:pPr>
    </w:p>
    <w:p w14:paraId="7F6A190E">
      <w:pPr>
        <w:wordWrap w:val="0"/>
        <w:spacing w:line="360" w:lineRule="auto"/>
        <w:rPr>
          <w:rFonts w:hint="eastAsia" w:ascii="方正黑体_GBK" w:hAnsi="方正黑体_GBK" w:eastAsia="方正黑体_GBK" w:cs="方正黑体_GBK"/>
          <w:lang w:eastAsia="zh-CN"/>
        </w:rPr>
      </w:pPr>
      <w:r>
        <w:rPr>
          <w:rFonts w:hint="eastAsia" w:ascii="方正黑体_GBK" w:hAnsi="方正黑体_GBK" w:eastAsia="方正黑体_GBK" w:cs="方正黑体_GBK"/>
          <w:b/>
          <w:sz w:val="24"/>
        </w:rPr>
        <w:t>评分人：</w:t>
      </w:r>
      <w:r>
        <w:rPr>
          <w:rFonts w:hint="default" w:ascii="方正黑体_GBK" w:hAnsi="方正黑体_GBK" w:eastAsia="方正黑体_GBK" w:cs="方正黑体_GBK"/>
          <w:b/>
          <w:sz w:val="24"/>
          <w:lang w:val="en-US"/>
        </w:rPr>
        <w:t xml:space="preserve">                        </w:t>
      </w:r>
      <w:bookmarkStart w:id="0" w:name="_GoBack"/>
      <w:bookmarkEnd w:id="0"/>
      <w:r>
        <w:rPr>
          <w:rFonts w:hint="eastAsia" w:ascii="方正黑体_GBK" w:hAnsi="方正黑体_GBK" w:eastAsia="方正黑体_GBK" w:cs="方正黑体_GBK"/>
          <w:b/>
          <w:sz w:val="24"/>
        </w:rPr>
        <w:t>日期</w:t>
      </w:r>
      <w:r>
        <w:rPr>
          <w:rFonts w:hint="eastAsia" w:ascii="方正黑体_GBK" w:hAnsi="方正黑体_GBK" w:eastAsia="方正黑体_GBK" w:cs="方正黑体_GBK"/>
          <w:sz w:val="24"/>
        </w:rPr>
        <w:t>：</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2010601030101010101"/>
    <w:charset w:val="86"/>
    <w:family w:val="script"/>
    <w:pitch w:val="default"/>
    <w:sig w:usb0="00000001" w:usb1="080E0000" w:usb2="00000000" w:usb3="00000000" w:csb0="00040000" w:csb1="00000000"/>
  </w:font>
  <w:font w:name="CESI黑体-GB2312">
    <w:altName w:val="汉仪中黑KW"/>
    <w:panose1 w:val="02000500000000000000"/>
    <w:charset w:val="86"/>
    <w:family w:val="auto"/>
    <w:pitch w:val="default"/>
    <w:sig w:usb0="00000000" w:usb1="00000000" w:usb2="00000012" w:usb3="00000000" w:csb0="0004000F" w:csb1="00000000"/>
  </w:font>
  <w:font w:name="方正大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Times New Roman Regular">
    <w:panose1 w:val="02020503050405090304"/>
    <w:charset w:val="00"/>
    <w:family w:val="auto"/>
    <w:pitch w:val="default"/>
    <w:sig w:usb0="E0000AFF" w:usb1="00007843" w:usb2="00000001" w:usb3="00000000" w:csb0="400001BF" w:csb1="DFF70000"/>
  </w:font>
  <w:font w:name="方正仿宋_GBK">
    <w:panose1 w:val="03000509000000000000"/>
    <w:charset w:val="86"/>
    <w:family w:val="auto"/>
    <w:pitch w:val="default"/>
    <w:sig w:usb0="00000001" w:usb1="080E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CA9A3">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14:paraId="1D81776B">
                          <w:pPr>
                            <w:pStyle w:val="5"/>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9sZGvRAAAAAgEAAA8AAAAAAAAAAQAgAAAAIgAAAGRycy9kb3ducmV2LnhtbFBLAQIUABQAAAAI&#10;AIdO4kAD09VxLQIAAFIEAAAOAAAAAAAAAAEAIAAAACABAABkcnMvZTJvRG9jLnhtbFBLBQYAAAAA&#10;BgAGAFkBAAC/BQAAAAA=&#10;">
              <v:fill on="f" focussize="0,0"/>
              <v:stroke on="f" weight="0.5pt"/>
              <v:imagedata o:title=""/>
              <o:lock v:ext="edit" aspectratio="f"/>
              <v:textbox inset="0mm,0mm,0mm,0mm" style="mso-fit-shape-to-text:t;">
                <w:txbxContent>
                  <w:p w14:paraId="1D81776B">
                    <w:pPr>
                      <w:pStyle w:val="5"/>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1060780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05223006"/>
    <w:rsid w:val="11758662"/>
    <w:rsid w:val="14D257D7"/>
    <w:rsid w:val="177648C9"/>
    <w:rsid w:val="19DE306E"/>
    <w:rsid w:val="1B723B6E"/>
    <w:rsid w:val="1F873298"/>
    <w:rsid w:val="1FFDA676"/>
    <w:rsid w:val="207D38FD"/>
    <w:rsid w:val="2D3B3037"/>
    <w:rsid w:val="362F3261"/>
    <w:rsid w:val="37985357"/>
    <w:rsid w:val="38F45B51"/>
    <w:rsid w:val="3C7FC92F"/>
    <w:rsid w:val="42913165"/>
    <w:rsid w:val="43C24EA7"/>
    <w:rsid w:val="507F3A61"/>
    <w:rsid w:val="529635F3"/>
    <w:rsid w:val="547824F2"/>
    <w:rsid w:val="57C54D3D"/>
    <w:rsid w:val="593E7E74"/>
    <w:rsid w:val="5E987A92"/>
    <w:rsid w:val="5F9D30E8"/>
    <w:rsid w:val="5F9EC934"/>
    <w:rsid w:val="64BD5BAE"/>
    <w:rsid w:val="678F6B79"/>
    <w:rsid w:val="67F7DA41"/>
    <w:rsid w:val="697F4F4D"/>
    <w:rsid w:val="6AA442B5"/>
    <w:rsid w:val="6DDFCF1C"/>
    <w:rsid w:val="6FB9B9C3"/>
    <w:rsid w:val="6FDF3B00"/>
    <w:rsid w:val="71CBC1FC"/>
    <w:rsid w:val="73630BAC"/>
    <w:rsid w:val="73BC5C51"/>
    <w:rsid w:val="74EF1B21"/>
    <w:rsid w:val="777F9269"/>
    <w:rsid w:val="77FFBC68"/>
    <w:rsid w:val="78332547"/>
    <w:rsid w:val="791314E0"/>
    <w:rsid w:val="7A7F59DD"/>
    <w:rsid w:val="7B5D8044"/>
    <w:rsid w:val="7B64BA4F"/>
    <w:rsid w:val="7B974D51"/>
    <w:rsid w:val="7BED0360"/>
    <w:rsid w:val="7BEE146F"/>
    <w:rsid w:val="7EF41059"/>
    <w:rsid w:val="7FEE1AFA"/>
    <w:rsid w:val="7FFCF0BD"/>
    <w:rsid w:val="ABF797A8"/>
    <w:rsid w:val="AF73021E"/>
    <w:rsid w:val="B7BCBC99"/>
    <w:rsid w:val="BA974FE1"/>
    <w:rsid w:val="BFC318E2"/>
    <w:rsid w:val="CDFB89D3"/>
    <w:rsid w:val="CEFEBBAD"/>
    <w:rsid w:val="D7FC9E3C"/>
    <w:rsid w:val="DFFFE643"/>
    <w:rsid w:val="E6767517"/>
    <w:rsid w:val="E6AB6CE7"/>
    <w:rsid w:val="E7FD2C9C"/>
    <w:rsid w:val="EEFBB070"/>
    <w:rsid w:val="EF2DA1E9"/>
    <w:rsid w:val="EFAF74AF"/>
    <w:rsid w:val="EFFE6368"/>
    <w:rsid w:val="F3DE884C"/>
    <w:rsid w:val="F6F1A925"/>
    <w:rsid w:val="F75F3D47"/>
    <w:rsid w:val="F79C64FB"/>
    <w:rsid w:val="F7F7BF67"/>
    <w:rsid w:val="F959FF20"/>
    <w:rsid w:val="FD6A249F"/>
    <w:rsid w:val="FD7DBBCE"/>
    <w:rsid w:val="FDAF1B5B"/>
    <w:rsid w:val="FDBBF2D0"/>
    <w:rsid w:val="FEBF0710"/>
    <w:rsid w:val="FEF645AC"/>
    <w:rsid w:val="FEFEC1A2"/>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pPr>
    <w:rPr>
      <w:rFonts w:ascii="方正小标宋简体" w:hAnsi="Times New Roman" w:eastAsia="方正小标宋简体" w:cs="Times New Roman"/>
      <w:sz w:val="44"/>
      <w:szCs w:val="44"/>
    </w:rPr>
  </w:style>
  <w:style w:type="paragraph" w:styleId="3">
    <w:name w:val="Body Text"/>
    <w:basedOn w:val="1"/>
    <w:qFormat/>
    <w:uiPriority w:val="0"/>
    <w:pPr>
      <w:spacing w:after="120"/>
    </w:pPr>
    <w:rPr>
      <w:rFonts w:cs="宋体"/>
    </w:rPr>
  </w:style>
  <w:style w:type="paragraph" w:styleId="4">
    <w:name w:val="Balloon Text"/>
    <w:basedOn w:val="1"/>
    <w:link w:val="10"/>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框文本 Char"/>
    <w:link w:val="4"/>
    <w:qFormat/>
    <w:uiPriority w:val="0"/>
    <w:rPr>
      <w:rFonts w:ascii="Calibri" w:hAnsi="Calibri"/>
      <w:kern w:val="2"/>
      <w:sz w:val="18"/>
      <w:szCs w:val="18"/>
    </w:rPr>
  </w:style>
  <w:style w:type="character" w:customStyle="1" w:styleId="11">
    <w:name w:val="页眉 Char"/>
    <w:link w:val="6"/>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3</Pages>
  <Words>1247</Words>
  <Characters>1328</Characters>
  <Lines>7</Lines>
  <Paragraphs>2</Paragraphs>
  <TotalTime>7</TotalTime>
  <ScaleCrop>false</ScaleCrop>
  <LinksUpToDate>false</LinksUpToDate>
  <CharactersWithSpaces>1392</CharactersWithSpaces>
  <Application>WPS Office_12.1.26015.26015_F1E327BC-269C-435d-A152-05C5408002CA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2024-09-29T06:27:00Z</dcterms:created>
  <dc:creator>HuaHua</dc:creator>
  <cp:lastModifiedBy>明生李</cp:lastModifiedBy>
  <cp:lastPrinted>2023-02-05T17:08:00Z</cp:lastPrinted>
  <dcterms:modified xsi:type="dcterms:W3CDTF">2026-07-10T09:13:12Z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2052-12.1.26015.26015</vt:lpwstr>
  </property>
  <property fmtid="{D5CDD505-2E9C-101B-9397-08002B2CF9AE}" pid="3" name="ICV">
    <vt:lpwstr>A29293AECD856CCA622EFF68A8E56CE4_43</vt:lpwstr>
  </property>
  <property fmtid="{D5CDD505-2E9C-101B-9397-08002B2CF9AE}" pid="4" name="KSOTemplateDocerSaveRecord">
    <vt:lpwstr>eyJoZGlkIjoiODlhMTliZTEwMjViMTViZWMzNWNkYjM4MjFjZTQ3OGIiLCJ1c2VySWQiOiIzOTI3MTA5NTIifQ==</vt:lpwstr>
  </property>
</Properties>
</file>