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3A207F">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附件1</w:t>
      </w:r>
    </w:p>
    <w:p w14:paraId="1D5DBB3F">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方正仿宋_GBK" w:hAnsi="方正仿宋_GBK" w:eastAsia="方正仿宋_GBK" w:cs="方正仿宋_GBK"/>
          <w:sz w:val="32"/>
          <w:szCs w:val="32"/>
          <w:lang w:val="en-US" w:eastAsia="zh-CN"/>
        </w:rPr>
      </w:pPr>
    </w:p>
    <w:p w14:paraId="0D6D2A20">
      <w:pPr>
        <w:jc w:val="center"/>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2026年江门市江海区特殊困难老年人能力评估</w:t>
      </w:r>
    </w:p>
    <w:p w14:paraId="38BFE753">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lang w:val="en-US" w:eastAsia="zh-CN"/>
        </w:rPr>
        <w:t>（第二次）</w:t>
      </w:r>
      <w:bookmarkStart w:id="0" w:name="_GoBack"/>
      <w:bookmarkEnd w:id="0"/>
      <w:r>
        <w:rPr>
          <w:rFonts w:hint="eastAsia" w:ascii="方正小标宋_GBK" w:hAnsi="方正小标宋_GBK" w:eastAsia="方正小标宋_GBK" w:cs="方正小标宋_GBK"/>
          <w:sz w:val="40"/>
          <w:szCs w:val="40"/>
          <w:lang w:val="en-US" w:eastAsia="zh-CN"/>
        </w:rPr>
        <w:t>采购项目</w:t>
      </w:r>
      <w:r>
        <w:rPr>
          <w:rFonts w:hint="eastAsia" w:ascii="方正小标宋_GBK" w:hAnsi="方正小标宋_GBK" w:eastAsia="方正小标宋_GBK" w:cs="方正小标宋_GBK"/>
          <w:sz w:val="40"/>
          <w:szCs w:val="40"/>
        </w:rPr>
        <w:t>评定原则和评审方法</w:t>
      </w:r>
    </w:p>
    <w:p w14:paraId="3A5E92F3">
      <w:pPr>
        <w:jc w:val="center"/>
        <w:rPr>
          <w:rFonts w:hint="eastAsia" w:ascii="方正小标宋_GBK" w:hAnsi="方正小标宋_GBK" w:eastAsia="方正小标宋_GBK" w:cs="方正小标宋_GBK"/>
          <w:sz w:val="40"/>
          <w:szCs w:val="40"/>
        </w:rPr>
      </w:pPr>
    </w:p>
    <w:p w14:paraId="65B13B3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一、评定原则</w:t>
      </w:r>
    </w:p>
    <w:p w14:paraId="13E6F414">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本次评标采用综合评估法，江门市江海区民政局将依据下列评审因素进行评标，本评审因素的总分为100分。按评审后得分由高到低顺序排列。以总得分最高的投标人作为中标候选人，中标候选人的报价为中标价。投标人总得分为投标报价和综合评价的总和。本次评标，投标报价满分20分，综合评价满分80分，总分值为100分。</w:t>
      </w:r>
    </w:p>
    <w:p w14:paraId="2ABA167F">
      <w:pPr>
        <w:pStyle w:val="8"/>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640" w:firstLineChars="200"/>
        <w:textAlignment w:val="auto"/>
        <w:rPr>
          <w:rFonts w:hint="eastAsia" w:ascii="方正黑体_GBK" w:hAnsi="方正黑体_GBK" w:eastAsia="方正黑体_GBK" w:cs="方正黑体_GBK"/>
          <w:kern w:val="2"/>
          <w:sz w:val="32"/>
          <w:szCs w:val="32"/>
          <w:lang w:val="en-US" w:eastAsia="zh-CN" w:bidi="ar-SA"/>
        </w:rPr>
      </w:pPr>
      <w:r>
        <w:rPr>
          <w:rFonts w:hint="eastAsia" w:ascii="方正黑体_GBK" w:hAnsi="方正黑体_GBK" w:eastAsia="方正黑体_GBK" w:cs="方正黑体_GBK"/>
          <w:kern w:val="2"/>
          <w:sz w:val="32"/>
          <w:szCs w:val="32"/>
          <w:lang w:val="en-US" w:eastAsia="zh-CN" w:bidi="ar-SA"/>
        </w:rPr>
        <w:t>评分及评审因素：</w:t>
      </w:r>
    </w:p>
    <w:tbl>
      <w:tblPr>
        <w:tblStyle w:val="11"/>
        <w:tblW w:w="958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2"/>
        <w:gridCol w:w="875"/>
        <w:gridCol w:w="1276"/>
        <w:gridCol w:w="851"/>
        <w:gridCol w:w="4252"/>
        <w:gridCol w:w="1543"/>
      </w:tblGrid>
      <w:tr w14:paraId="5642B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1" w:hRule="atLeast"/>
          <w:jc w:val="center"/>
        </w:trPr>
        <w:tc>
          <w:tcPr>
            <w:tcW w:w="792" w:type="dxa"/>
            <w:noWrap w:val="0"/>
            <w:vAlign w:val="center"/>
          </w:tcPr>
          <w:p w14:paraId="423B6431">
            <w:pPr>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序号</w:t>
            </w:r>
          </w:p>
        </w:tc>
        <w:tc>
          <w:tcPr>
            <w:tcW w:w="7254" w:type="dxa"/>
            <w:gridSpan w:val="4"/>
            <w:noWrap w:val="0"/>
            <w:vAlign w:val="center"/>
          </w:tcPr>
          <w:p w14:paraId="6DBF0979">
            <w:pPr>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评分项</w:t>
            </w:r>
          </w:p>
        </w:tc>
        <w:tc>
          <w:tcPr>
            <w:tcW w:w="1543" w:type="dxa"/>
            <w:noWrap w:val="0"/>
            <w:vAlign w:val="center"/>
          </w:tcPr>
          <w:p w14:paraId="5D505747">
            <w:pPr>
              <w:jc w:val="center"/>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color w:val="000000"/>
                <w:sz w:val="32"/>
                <w:szCs w:val="32"/>
              </w:rPr>
              <w:t>分值</w:t>
            </w:r>
          </w:p>
        </w:tc>
      </w:tr>
      <w:tr w14:paraId="369DB7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6" w:hRule="atLeast"/>
          <w:jc w:val="center"/>
        </w:trPr>
        <w:tc>
          <w:tcPr>
            <w:tcW w:w="792" w:type="dxa"/>
            <w:noWrap w:val="0"/>
            <w:vAlign w:val="center"/>
          </w:tcPr>
          <w:p w14:paraId="7C4FCFA5">
            <w:pPr>
              <w:jc w:val="center"/>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1</w:t>
            </w:r>
          </w:p>
        </w:tc>
        <w:tc>
          <w:tcPr>
            <w:tcW w:w="8797" w:type="dxa"/>
            <w:gridSpan w:val="5"/>
            <w:noWrap w:val="0"/>
            <w:vAlign w:val="center"/>
          </w:tcPr>
          <w:p w14:paraId="56C00CFF">
            <w:pPr>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投标报价（</w:t>
            </w:r>
            <w:r>
              <w:rPr>
                <w:rFonts w:hint="default" w:ascii="Times New Roman" w:hAnsi="Times New Roman" w:eastAsia="方正仿宋_GBK" w:cs="Times New Roman"/>
                <w:color w:val="000000"/>
                <w:sz w:val="32"/>
                <w:szCs w:val="32"/>
                <w:lang w:val="en-US" w:eastAsia="zh-CN"/>
              </w:rPr>
              <w:t>20</w:t>
            </w:r>
            <w:r>
              <w:rPr>
                <w:rFonts w:hint="default" w:ascii="Times New Roman" w:hAnsi="Times New Roman" w:eastAsia="方正仿宋_GBK" w:cs="Times New Roman"/>
                <w:color w:val="000000"/>
                <w:sz w:val="32"/>
                <w:szCs w:val="32"/>
              </w:rPr>
              <w:t>分）</w:t>
            </w:r>
          </w:p>
        </w:tc>
      </w:tr>
      <w:tr w14:paraId="2CF27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240" w:hRule="atLeast"/>
          <w:jc w:val="center"/>
        </w:trPr>
        <w:tc>
          <w:tcPr>
            <w:tcW w:w="792" w:type="dxa"/>
            <w:noWrap w:val="0"/>
            <w:vAlign w:val="center"/>
          </w:tcPr>
          <w:p w14:paraId="504A9020">
            <w:pPr>
              <w:jc w:val="center"/>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投标报价</w:t>
            </w:r>
          </w:p>
        </w:tc>
        <w:tc>
          <w:tcPr>
            <w:tcW w:w="7254" w:type="dxa"/>
            <w:gridSpan w:val="4"/>
            <w:noWrap w:val="0"/>
            <w:vAlign w:val="center"/>
          </w:tcPr>
          <w:p w14:paraId="45A60667">
            <w:pPr>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满足招标文件要求且投标价格最低的有效投标报价为评标基准价，其价格分为满分</w:t>
            </w:r>
            <w:r>
              <w:rPr>
                <w:rFonts w:hint="default" w:ascii="Times New Roman" w:hAnsi="Times New Roman" w:eastAsia="方正仿宋_GBK" w:cs="Times New Roman"/>
                <w:color w:val="000000"/>
                <w:sz w:val="32"/>
                <w:szCs w:val="32"/>
                <w:lang w:val="en-US" w:eastAsia="zh-CN"/>
              </w:rPr>
              <w:t>20</w:t>
            </w:r>
            <w:r>
              <w:rPr>
                <w:rFonts w:hint="default" w:ascii="Times New Roman" w:hAnsi="Times New Roman" w:eastAsia="方正仿宋_GBK" w:cs="Times New Roman"/>
                <w:color w:val="000000"/>
                <w:sz w:val="32"/>
                <w:szCs w:val="32"/>
              </w:rPr>
              <w:t>分。</w:t>
            </w:r>
          </w:p>
          <w:p w14:paraId="169B5817">
            <w:pPr>
              <w:rPr>
                <w:rFonts w:hint="default" w:ascii="Times New Roman" w:hAnsi="Times New Roman" w:eastAsia="方正仿宋_GBK" w:cs="Times New Roman"/>
                <w:b/>
                <w:color w:val="000000"/>
                <w:sz w:val="32"/>
                <w:szCs w:val="32"/>
              </w:rPr>
            </w:pPr>
            <w:r>
              <w:rPr>
                <w:rFonts w:hint="default" w:ascii="Times New Roman" w:hAnsi="Times New Roman" w:eastAsia="方正仿宋_GBK" w:cs="Times New Roman"/>
                <w:color w:val="000000"/>
                <w:sz w:val="32"/>
                <w:szCs w:val="32"/>
              </w:rPr>
              <w:t>其他投标人的价格分统一按照下列公式计算：</w:t>
            </w:r>
            <w:r>
              <w:rPr>
                <w:rFonts w:hint="default" w:ascii="Times New Roman" w:hAnsi="Times New Roman" w:eastAsia="方正仿宋_GBK" w:cs="Times New Roman"/>
                <w:b/>
                <w:color w:val="000000"/>
                <w:sz w:val="32"/>
                <w:szCs w:val="32"/>
              </w:rPr>
              <w:t>投标报价得分=（评标基准价/投标报价）×</w:t>
            </w:r>
            <w:r>
              <w:rPr>
                <w:rFonts w:hint="default" w:ascii="Times New Roman" w:hAnsi="Times New Roman" w:eastAsia="方正仿宋_GBK" w:cs="Times New Roman"/>
                <w:b/>
                <w:color w:val="000000"/>
                <w:sz w:val="32"/>
                <w:szCs w:val="32"/>
                <w:lang w:val="en-US" w:eastAsia="zh-CN"/>
              </w:rPr>
              <w:t>20</w:t>
            </w:r>
            <w:r>
              <w:rPr>
                <w:rFonts w:hint="default" w:ascii="Times New Roman" w:hAnsi="Times New Roman" w:eastAsia="方正仿宋_GBK" w:cs="Times New Roman"/>
                <w:color w:val="000000"/>
                <w:sz w:val="32"/>
                <w:szCs w:val="32"/>
              </w:rPr>
              <w:t>，结果保留两位小数</w:t>
            </w:r>
            <w:r>
              <w:rPr>
                <w:rFonts w:hint="default" w:ascii="Times New Roman" w:hAnsi="Times New Roman" w:eastAsia="方正仿宋_GBK" w:cs="Times New Roman"/>
                <w:b/>
                <w:color w:val="000000"/>
                <w:sz w:val="32"/>
                <w:szCs w:val="32"/>
              </w:rPr>
              <w:t>（</w:t>
            </w:r>
            <w:r>
              <w:rPr>
                <w:rFonts w:hint="default" w:ascii="Times New Roman" w:hAnsi="Times New Roman" w:eastAsia="方正仿宋_GBK" w:cs="Times New Roman"/>
                <w:b/>
                <w:bCs/>
                <w:color w:val="000000"/>
                <w:sz w:val="32"/>
                <w:szCs w:val="32"/>
              </w:rPr>
              <w:t>有效投标文件是指未被评标委员会判定为无效标的投标文件</w:t>
            </w:r>
            <w:r>
              <w:rPr>
                <w:rFonts w:hint="default" w:ascii="Times New Roman" w:hAnsi="Times New Roman" w:eastAsia="方正仿宋_GBK" w:cs="Times New Roman"/>
                <w:b/>
                <w:color w:val="000000"/>
                <w:sz w:val="32"/>
                <w:szCs w:val="32"/>
              </w:rPr>
              <w:t>）。</w:t>
            </w:r>
          </w:p>
          <w:p w14:paraId="75091A30">
            <w:pPr>
              <w:pStyle w:val="15"/>
              <w:spacing w:before="0" w:after="0"/>
              <w:rPr>
                <w:rFonts w:hint="default" w:ascii="Times New Roman" w:hAnsi="Times New Roman" w:eastAsia="方正仿宋_GBK" w:cs="Times New Roman"/>
                <w:color w:val="000000"/>
                <w:sz w:val="32"/>
                <w:szCs w:val="32"/>
              </w:rPr>
            </w:pPr>
          </w:p>
        </w:tc>
        <w:tc>
          <w:tcPr>
            <w:tcW w:w="1543" w:type="dxa"/>
            <w:noWrap w:val="0"/>
            <w:vAlign w:val="center"/>
          </w:tcPr>
          <w:p w14:paraId="63FED12B">
            <w:pPr>
              <w:jc w:val="center"/>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20</w:t>
            </w:r>
          </w:p>
        </w:tc>
      </w:tr>
      <w:tr w14:paraId="4A30A3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 w:hRule="atLeast"/>
          <w:jc w:val="center"/>
        </w:trPr>
        <w:tc>
          <w:tcPr>
            <w:tcW w:w="792" w:type="dxa"/>
            <w:noWrap w:val="0"/>
            <w:vAlign w:val="center"/>
          </w:tcPr>
          <w:p w14:paraId="30D67CA1">
            <w:pPr>
              <w:jc w:val="center"/>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w:t>
            </w:r>
          </w:p>
        </w:tc>
        <w:tc>
          <w:tcPr>
            <w:tcW w:w="8797" w:type="dxa"/>
            <w:gridSpan w:val="5"/>
            <w:noWrap w:val="0"/>
            <w:vAlign w:val="center"/>
          </w:tcPr>
          <w:p w14:paraId="10E8E8FA">
            <w:pPr>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综合实力部分（</w:t>
            </w:r>
            <w:r>
              <w:rPr>
                <w:rFonts w:hint="default" w:ascii="Times New Roman" w:hAnsi="Times New Roman" w:eastAsia="方正仿宋_GBK" w:cs="Times New Roman"/>
                <w:color w:val="000000"/>
                <w:sz w:val="32"/>
                <w:szCs w:val="32"/>
                <w:lang w:val="en-US" w:eastAsia="zh-CN"/>
              </w:rPr>
              <w:t>8</w:t>
            </w:r>
            <w:r>
              <w:rPr>
                <w:rFonts w:hint="default" w:ascii="Times New Roman" w:hAnsi="Times New Roman" w:eastAsia="方正仿宋_GBK" w:cs="Times New Roman"/>
                <w:color w:val="000000"/>
                <w:sz w:val="32"/>
                <w:szCs w:val="32"/>
              </w:rPr>
              <w:t>0分）</w:t>
            </w:r>
          </w:p>
        </w:tc>
      </w:tr>
      <w:tr w14:paraId="31E23B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36" w:hRule="atLeast"/>
          <w:jc w:val="center"/>
        </w:trPr>
        <w:tc>
          <w:tcPr>
            <w:tcW w:w="792" w:type="dxa"/>
            <w:vMerge w:val="restart"/>
            <w:noWrap w:val="0"/>
            <w:vAlign w:val="center"/>
          </w:tcPr>
          <w:p w14:paraId="61C857C0">
            <w:pPr>
              <w:jc w:val="center"/>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综</w:t>
            </w:r>
          </w:p>
          <w:p w14:paraId="1D5DBDF7">
            <w:pPr>
              <w:jc w:val="center"/>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合</w:t>
            </w:r>
          </w:p>
          <w:p w14:paraId="70C0FBF3">
            <w:pPr>
              <w:jc w:val="center"/>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评</w:t>
            </w:r>
          </w:p>
          <w:p w14:paraId="6A50A1F4">
            <w:pPr>
              <w:jc w:val="center"/>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价</w:t>
            </w:r>
          </w:p>
        </w:tc>
        <w:tc>
          <w:tcPr>
            <w:tcW w:w="875" w:type="dxa"/>
            <w:noWrap w:val="0"/>
            <w:vAlign w:val="center"/>
          </w:tcPr>
          <w:p w14:paraId="6FE18B5F">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序号</w:t>
            </w:r>
          </w:p>
        </w:tc>
        <w:tc>
          <w:tcPr>
            <w:tcW w:w="1276" w:type="dxa"/>
            <w:noWrap w:val="0"/>
            <w:vAlign w:val="center"/>
          </w:tcPr>
          <w:p w14:paraId="160F0D5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评分因素</w:t>
            </w:r>
          </w:p>
        </w:tc>
        <w:tc>
          <w:tcPr>
            <w:tcW w:w="851" w:type="dxa"/>
            <w:noWrap w:val="0"/>
            <w:vAlign w:val="center"/>
          </w:tcPr>
          <w:p w14:paraId="2425D8E5">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分值</w:t>
            </w:r>
          </w:p>
        </w:tc>
        <w:tc>
          <w:tcPr>
            <w:tcW w:w="5795" w:type="dxa"/>
            <w:gridSpan w:val="2"/>
            <w:noWrap w:val="0"/>
            <w:vAlign w:val="center"/>
          </w:tcPr>
          <w:p w14:paraId="6694CA17">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评分准则</w:t>
            </w:r>
          </w:p>
        </w:tc>
      </w:tr>
      <w:tr w14:paraId="60F31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625" w:hRule="atLeast"/>
          <w:jc w:val="center"/>
        </w:trPr>
        <w:tc>
          <w:tcPr>
            <w:tcW w:w="792" w:type="dxa"/>
            <w:vMerge w:val="continue"/>
            <w:noWrap w:val="0"/>
            <w:vAlign w:val="center"/>
          </w:tcPr>
          <w:p w14:paraId="46FF4BFC">
            <w:pPr>
              <w:jc w:val="center"/>
              <w:rPr>
                <w:rFonts w:hint="default" w:ascii="Times New Roman" w:hAnsi="Times New Roman" w:cs="Times New Roman"/>
                <w:color w:val="000000"/>
                <w:sz w:val="24"/>
              </w:rPr>
            </w:pPr>
          </w:p>
        </w:tc>
        <w:tc>
          <w:tcPr>
            <w:tcW w:w="875" w:type="dxa"/>
            <w:noWrap w:val="0"/>
            <w:vAlign w:val="center"/>
          </w:tcPr>
          <w:p w14:paraId="49029E1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fldChar w:fldCharType="begin"/>
            </w:r>
            <w:r>
              <w:rPr>
                <w:rFonts w:hint="default" w:ascii="Times New Roman" w:hAnsi="Times New Roman" w:eastAsia="方正仿宋_GBK" w:cs="Times New Roman"/>
                <w:color w:val="000000"/>
                <w:sz w:val="32"/>
                <w:szCs w:val="32"/>
              </w:rPr>
              <w:instrText xml:space="preserve"> = 1 \* GB3 </w:instrText>
            </w:r>
            <w:r>
              <w:rPr>
                <w:rFonts w:hint="default" w:ascii="Times New Roman" w:hAnsi="Times New Roman" w:eastAsia="方正仿宋_GBK" w:cs="Times New Roman"/>
                <w:color w:val="000000"/>
                <w:sz w:val="32"/>
                <w:szCs w:val="32"/>
              </w:rPr>
              <w:fldChar w:fldCharType="separate"/>
            </w:r>
            <w:r>
              <w:rPr>
                <w:rFonts w:hint="default" w:ascii="Times New Roman" w:hAnsi="Times New Roman" w:eastAsia="方正仿宋_GBK" w:cs="Times New Roman"/>
                <w:color w:val="000000"/>
                <w:sz w:val="32"/>
                <w:szCs w:val="32"/>
              </w:rPr>
              <w:t>①</w:t>
            </w:r>
            <w:r>
              <w:rPr>
                <w:rFonts w:hint="default" w:ascii="Times New Roman" w:hAnsi="Times New Roman" w:eastAsia="方正仿宋_GBK" w:cs="Times New Roman"/>
                <w:color w:val="000000"/>
                <w:sz w:val="32"/>
                <w:szCs w:val="32"/>
              </w:rPr>
              <w:fldChar w:fldCharType="end"/>
            </w:r>
          </w:p>
        </w:tc>
        <w:tc>
          <w:tcPr>
            <w:tcW w:w="1276" w:type="dxa"/>
            <w:noWrap w:val="0"/>
            <w:vAlign w:val="center"/>
          </w:tcPr>
          <w:p w14:paraId="65057EBB">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企业实力</w:t>
            </w:r>
          </w:p>
        </w:tc>
        <w:tc>
          <w:tcPr>
            <w:tcW w:w="851" w:type="dxa"/>
            <w:noWrap w:val="0"/>
            <w:vAlign w:val="center"/>
          </w:tcPr>
          <w:p w14:paraId="0F2A4A1F">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10</w:t>
            </w:r>
          </w:p>
        </w:tc>
        <w:tc>
          <w:tcPr>
            <w:tcW w:w="5795" w:type="dxa"/>
            <w:gridSpan w:val="2"/>
            <w:noWrap w:val="0"/>
            <w:vAlign w:val="center"/>
          </w:tcPr>
          <w:p w14:paraId="594C0E5A">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000000"/>
                <w:sz w:val="30"/>
                <w:szCs w:val="30"/>
              </w:rPr>
            </w:pPr>
            <w:r>
              <w:rPr>
                <w:rFonts w:hint="default" w:ascii="Times New Roman" w:hAnsi="Times New Roman" w:eastAsia="方正仿宋_GBK" w:cs="Times New Roman"/>
                <w:color w:val="000000"/>
                <w:sz w:val="30"/>
                <w:szCs w:val="30"/>
              </w:rPr>
              <w:t>投标人具有类似项目业绩合同（2023年1月1日以后所签合同），每提供一个业绩合同得</w:t>
            </w:r>
            <w:r>
              <w:rPr>
                <w:rFonts w:hint="default" w:ascii="Times New Roman" w:hAnsi="Times New Roman" w:eastAsia="方正仿宋_GBK" w:cs="Times New Roman"/>
                <w:color w:val="000000"/>
                <w:sz w:val="30"/>
                <w:szCs w:val="30"/>
                <w:lang w:val="en-US" w:eastAsia="zh-CN"/>
              </w:rPr>
              <w:t>5</w:t>
            </w:r>
            <w:r>
              <w:rPr>
                <w:rFonts w:hint="default" w:ascii="Times New Roman" w:hAnsi="Times New Roman" w:eastAsia="方正仿宋_GBK" w:cs="Times New Roman"/>
                <w:color w:val="000000"/>
                <w:sz w:val="30"/>
                <w:szCs w:val="30"/>
              </w:rPr>
              <w:t>分，此项最高得</w:t>
            </w:r>
            <w:r>
              <w:rPr>
                <w:rFonts w:hint="default" w:ascii="Times New Roman" w:hAnsi="Times New Roman" w:eastAsia="方正仿宋_GBK" w:cs="Times New Roman"/>
                <w:color w:val="000000"/>
                <w:sz w:val="30"/>
                <w:szCs w:val="30"/>
                <w:lang w:val="en-US" w:eastAsia="zh-CN"/>
              </w:rPr>
              <w:t>10</w:t>
            </w:r>
            <w:r>
              <w:rPr>
                <w:rFonts w:hint="default" w:ascii="Times New Roman" w:hAnsi="Times New Roman" w:eastAsia="方正仿宋_GBK" w:cs="Times New Roman"/>
                <w:color w:val="000000"/>
                <w:sz w:val="30"/>
                <w:szCs w:val="30"/>
              </w:rPr>
              <w:t>分（须提供业绩合同原件、委托方的优秀评价证明原件扫描件，未提供的或提供不全的不得分）。 注：上述类似项目业绩是指投标人所提供的业绩需与本项目采购内容类似的项目业绩。</w:t>
            </w:r>
          </w:p>
        </w:tc>
      </w:tr>
      <w:tr w14:paraId="48D39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556" w:hRule="atLeast"/>
          <w:jc w:val="center"/>
        </w:trPr>
        <w:tc>
          <w:tcPr>
            <w:tcW w:w="792" w:type="dxa"/>
            <w:vMerge w:val="continue"/>
            <w:noWrap w:val="0"/>
            <w:vAlign w:val="center"/>
          </w:tcPr>
          <w:p w14:paraId="2A6AB2BF">
            <w:pPr>
              <w:jc w:val="center"/>
              <w:rPr>
                <w:rFonts w:hint="default" w:ascii="Times New Roman" w:hAnsi="Times New Roman" w:cs="Times New Roman"/>
                <w:color w:val="000000"/>
                <w:sz w:val="24"/>
              </w:rPr>
            </w:pPr>
          </w:p>
        </w:tc>
        <w:tc>
          <w:tcPr>
            <w:tcW w:w="875" w:type="dxa"/>
            <w:noWrap w:val="0"/>
            <w:vAlign w:val="center"/>
          </w:tcPr>
          <w:p w14:paraId="1E850AF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fldChar w:fldCharType="begin"/>
            </w:r>
            <w:r>
              <w:rPr>
                <w:rFonts w:hint="default" w:ascii="Times New Roman" w:hAnsi="Times New Roman" w:eastAsia="方正仿宋_GBK" w:cs="Times New Roman"/>
                <w:color w:val="000000"/>
                <w:sz w:val="32"/>
                <w:szCs w:val="32"/>
              </w:rPr>
              <w:instrText xml:space="preserve"> = 2 \* GB3 </w:instrText>
            </w:r>
            <w:r>
              <w:rPr>
                <w:rFonts w:hint="default" w:ascii="Times New Roman" w:hAnsi="Times New Roman" w:eastAsia="方正仿宋_GBK" w:cs="Times New Roman"/>
                <w:color w:val="000000"/>
                <w:sz w:val="32"/>
                <w:szCs w:val="32"/>
              </w:rPr>
              <w:fldChar w:fldCharType="separate"/>
            </w:r>
            <w:r>
              <w:rPr>
                <w:rFonts w:hint="default" w:ascii="Times New Roman" w:hAnsi="Times New Roman" w:eastAsia="方正仿宋_GBK" w:cs="Times New Roman"/>
                <w:color w:val="000000"/>
                <w:sz w:val="32"/>
                <w:szCs w:val="32"/>
              </w:rPr>
              <w:t>②</w:t>
            </w:r>
            <w:r>
              <w:rPr>
                <w:rFonts w:hint="default" w:ascii="Times New Roman" w:hAnsi="Times New Roman" w:eastAsia="方正仿宋_GBK" w:cs="Times New Roman"/>
                <w:color w:val="000000"/>
                <w:sz w:val="32"/>
                <w:szCs w:val="32"/>
              </w:rPr>
              <w:fldChar w:fldCharType="end"/>
            </w:r>
          </w:p>
        </w:tc>
        <w:tc>
          <w:tcPr>
            <w:tcW w:w="1276" w:type="dxa"/>
            <w:noWrap w:val="0"/>
            <w:vAlign w:val="center"/>
          </w:tcPr>
          <w:p w14:paraId="5AB800BA">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项目团队</w:t>
            </w:r>
          </w:p>
        </w:tc>
        <w:tc>
          <w:tcPr>
            <w:tcW w:w="851" w:type="dxa"/>
            <w:noWrap w:val="0"/>
            <w:vAlign w:val="center"/>
          </w:tcPr>
          <w:p w14:paraId="062BB0F6">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000000"/>
                <w:sz w:val="32"/>
                <w:szCs w:val="32"/>
                <w:lang w:val="en-US" w:eastAsia="zh-CN"/>
              </w:rPr>
            </w:pPr>
            <w:r>
              <w:rPr>
                <w:rFonts w:hint="default" w:ascii="Times New Roman" w:hAnsi="Times New Roman" w:eastAsia="方正仿宋_GBK" w:cs="Times New Roman"/>
                <w:color w:val="000000"/>
                <w:sz w:val="32"/>
                <w:szCs w:val="32"/>
                <w:lang w:val="en-US" w:eastAsia="zh-CN"/>
              </w:rPr>
              <w:t>20</w:t>
            </w:r>
          </w:p>
        </w:tc>
        <w:tc>
          <w:tcPr>
            <w:tcW w:w="5795" w:type="dxa"/>
            <w:gridSpan w:val="2"/>
            <w:noWrap w:val="0"/>
            <w:vAlign w:val="center"/>
          </w:tcPr>
          <w:p w14:paraId="2AB100D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_GBK" w:cs="Times New Roman"/>
                <w:color w:val="000000"/>
                <w:sz w:val="30"/>
                <w:szCs w:val="30"/>
              </w:rPr>
            </w:pPr>
            <w:r>
              <w:rPr>
                <w:rFonts w:hint="default" w:ascii="Times New Roman" w:hAnsi="Times New Roman" w:eastAsia="方正仿宋_GBK" w:cs="Times New Roman"/>
                <w:color w:val="000000"/>
                <w:sz w:val="30"/>
                <w:szCs w:val="30"/>
              </w:rPr>
              <w:t>（1）投标人拟派的</w:t>
            </w:r>
            <w:r>
              <w:rPr>
                <w:rFonts w:hint="default" w:ascii="Times New Roman" w:hAnsi="Times New Roman" w:eastAsia="方正仿宋_GBK" w:cs="Times New Roman"/>
                <w:bCs/>
                <w:color w:val="000000"/>
                <w:sz w:val="30"/>
                <w:szCs w:val="30"/>
              </w:rPr>
              <w:t>项目负责人</w:t>
            </w:r>
            <w:r>
              <w:rPr>
                <w:rFonts w:hint="default" w:ascii="Times New Roman" w:hAnsi="Times New Roman" w:eastAsia="方正仿宋_GBK" w:cs="Times New Roman"/>
                <w:color w:val="000000"/>
                <w:sz w:val="30"/>
                <w:szCs w:val="30"/>
              </w:rPr>
              <w:t>自202</w:t>
            </w:r>
            <w:r>
              <w:rPr>
                <w:rFonts w:hint="default" w:ascii="Times New Roman" w:hAnsi="Times New Roman" w:eastAsia="方正仿宋_GBK" w:cs="Times New Roman"/>
                <w:color w:val="000000"/>
                <w:sz w:val="30"/>
                <w:szCs w:val="30"/>
                <w:lang w:val="en-US" w:eastAsia="zh-CN"/>
              </w:rPr>
              <w:t>3</w:t>
            </w:r>
            <w:r>
              <w:rPr>
                <w:rFonts w:hint="default" w:ascii="Times New Roman" w:hAnsi="Times New Roman" w:eastAsia="方正仿宋_GBK" w:cs="Times New Roman"/>
                <w:color w:val="000000"/>
                <w:sz w:val="30"/>
                <w:szCs w:val="30"/>
              </w:rPr>
              <w:t>年1月以来承接类似项目业绩的得</w:t>
            </w:r>
            <w:r>
              <w:rPr>
                <w:rFonts w:hint="default" w:ascii="Times New Roman" w:hAnsi="Times New Roman" w:eastAsia="方正仿宋_GBK" w:cs="Times New Roman"/>
                <w:color w:val="000000"/>
                <w:sz w:val="30"/>
                <w:szCs w:val="30"/>
                <w:lang w:val="en-US" w:eastAsia="zh-CN"/>
              </w:rPr>
              <w:t>5</w:t>
            </w:r>
            <w:r>
              <w:rPr>
                <w:rFonts w:hint="default" w:ascii="Times New Roman" w:hAnsi="Times New Roman" w:eastAsia="方正仿宋_GBK" w:cs="Times New Roman"/>
                <w:color w:val="000000"/>
                <w:sz w:val="30"/>
                <w:szCs w:val="30"/>
              </w:rPr>
              <w:t>分（须提供业绩合同原件、项目负责人在本单位缴纳养老保险证明扫描件，未提供的或提供不全的不得分。</w:t>
            </w:r>
            <w:r>
              <w:rPr>
                <w:rFonts w:hint="default" w:ascii="Times New Roman" w:hAnsi="Times New Roman" w:eastAsia="方正仿宋_GBK" w:cs="Times New Roman"/>
                <w:bCs/>
                <w:color w:val="000000"/>
                <w:sz w:val="30"/>
                <w:szCs w:val="30"/>
              </w:rPr>
              <w:t>项目经理</w:t>
            </w:r>
            <w:r>
              <w:rPr>
                <w:rFonts w:hint="default" w:ascii="Times New Roman" w:hAnsi="Times New Roman" w:eastAsia="方正仿宋_GBK" w:cs="Times New Roman"/>
                <w:color w:val="000000"/>
                <w:sz w:val="30"/>
                <w:szCs w:val="30"/>
              </w:rPr>
              <w:t>业绩证明中须体现</w:t>
            </w:r>
            <w:r>
              <w:rPr>
                <w:rFonts w:hint="default" w:ascii="Times New Roman" w:hAnsi="Times New Roman" w:eastAsia="方正仿宋_GBK" w:cs="Times New Roman"/>
                <w:bCs/>
                <w:color w:val="000000"/>
                <w:sz w:val="30"/>
                <w:szCs w:val="30"/>
              </w:rPr>
              <w:t>项目经理</w:t>
            </w:r>
            <w:r>
              <w:rPr>
                <w:rFonts w:hint="default" w:ascii="Times New Roman" w:hAnsi="Times New Roman" w:eastAsia="方正仿宋_GBK" w:cs="Times New Roman"/>
                <w:color w:val="000000"/>
                <w:sz w:val="30"/>
                <w:szCs w:val="30"/>
              </w:rPr>
              <w:t>姓名，未体现</w:t>
            </w:r>
            <w:r>
              <w:rPr>
                <w:rFonts w:hint="default" w:ascii="Times New Roman" w:hAnsi="Times New Roman" w:eastAsia="方正仿宋_GBK" w:cs="Times New Roman"/>
                <w:bCs/>
                <w:color w:val="000000"/>
                <w:sz w:val="30"/>
                <w:szCs w:val="30"/>
              </w:rPr>
              <w:t>项目经理</w:t>
            </w:r>
            <w:r>
              <w:rPr>
                <w:rFonts w:hint="default" w:ascii="Times New Roman" w:hAnsi="Times New Roman" w:eastAsia="方正仿宋_GBK" w:cs="Times New Roman"/>
                <w:color w:val="000000"/>
                <w:sz w:val="30"/>
                <w:szCs w:val="30"/>
              </w:rPr>
              <w:t>姓名的须提供加盖业主单位出具的证明材料原件，未提供的不得分；</w:t>
            </w:r>
            <w:r>
              <w:rPr>
                <w:rFonts w:hint="default" w:ascii="Times New Roman" w:hAnsi="Times New Roman" w:eastAsia="方正仿宋_GBK" w:cs="Times New Roman"/>
                <w:bCs/>
                <w:color w:val="000000"/>
                <w:sz w:val="30"/>
                <w:szCs w:val="30"/>
              </w:rPr>
              <w:t>项目负责人</w:t>
            </w:r>
            <w:r>
              <w:rPr>
                <w:rFonts w:hint="default" w:ascii="Times New Roman" w:hAnsi="Times New Roman" w:eastAsia="方正仿宋_GBK" w:cs="Times New Roman"/>
                <w:color w:val="000000"/>
                <w:sz w:val="30"/>
                <w:szCs w:val="30"/>
              </w:rPr>
              <w:t>业绩和投标人业绩不累积加分）。</w:t>
            </w:r>
          </w:p>
          <w:p w14:paraId="54AE57B4">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_GBK" w:cs="Times New Roman"/>
                <w:color w:val="000000"/>
                <w:sz w:val="30"/>
                <w:szCs w:val="30"/>
              </w:rPr>
            </w:pPr>
            <w:r>
              <w:rPr>
                <w:rFonts w:hint="default" w:ascii="Times New Roman" w:hAnsi="Times New Roman" w:eastAsia="方正仿宋_GBK" w:cs="Times New Roman"/>
                <w:color w:val="000000"/>
                <w:sz w:val="30"/>
                <w:szCs w:val="30"/>
              </w:rPr>
              <w:t>（2）投标人拟派项目负责人（须为在职员工）具有老年人能力评估评估员证书的得1分，中级评估师证书的得2分，高级评估师证书的得</w:t>
            </w:r>
            <w:r>
              <w:rPr>
                <w:rFonts w:hint="default" w:ascii="Times New Roman" w:hAnsi="Times New Roman" w:eastAsia="方正仿宋_GBK" w:cs="Times New Roman"/>
                <w:color w:val="000000"/>
                <w:sz w:val="30"/>
                <w:szCs w:val="30"/>
                <w:lang w:val="en-US" w:eastAsia="zh-CN"/>
              </w:rPr>
              <w:t>5</w:t>
            </w:r>
            <w:r>
              <w:rPr>
                <w:rFonts w:hint="default" w:ascii="Times New Roman" w:hAnsi="Times New Roman" w:eastAsia="方正仿宋_GBK" w:cs="Times New Roman"/>
                <w:color w:val="000000"/>
                <w:sz w:val="30"/>
                <w:szCs w:val="30"/>
              </w:rPr>
              <w:t>分，本项最多得</w:t>
            </w:r>
            <w:r>
              <w:rPr>
                <w:rFonts w:hint="default" w:ascii="Times New Roman" w:hAnsi="Times New Roman" w:eastAsia="方正仿宋_GBK" w:cs="Times New Roman"/>
                <w:color w:val="000000"/>
                <w:sz w:val="30"/>
                <w:szCs w:val="30"/>
                <w:lang w:val="en-US" w:eastAsia="zh-CN"/>
              </w:rPr>
              <w:t>5</w:t>
            </w:r>
            <w:r>
              <w:rPr>
                <w:rFonts w:hint="default" w:ascii="Times New Roman" w:hAnsi="Times New Roman" w:eastAsia="方正仿宋_GBK" w:cs="Times New Roman"/>
                <w:color w:val="000000"/>
                <w:sz w:val="30"/>
                <w:szCs w:val="30"/>
              </w:rPr>
              <w:t>分；</w:t>
            </w:r>
          </w:p>
          <w:p w14:paraId="36C8EFAB">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_GBK" w:cs="Times New Roman"/>
                <w:color w:val="000000"/>
                <w:sz w:val="30"/>
                <w:szCs w:val="30"/>
              </w:rPr>
            </w:pPr>
            <w:r>
              <w:rPr>
                <w:rFonts w:hint="default" w:ascii="Times New Roman" w:hAnsi="Times New Roman" w:eastAsia="方正仿宋_GBK" w:cs="Times New Roman"/>
                <w:color w:val="000000"/>
                <w:sz w:val="30"/>
                <w:szCs w:val="30"/>
              </w:rPr>
              <w:t>（3）</w:t>
            </w:r>
            <w:r>
              <w:rPr>
                <w:rFonts w:hint="default" w:ascii="Times New Roman" w:hAnsi="Times New Roman" w:eastAsia="方正仿宋_GBK" w:cs="Times New Roman"/>
                <w:color w:val="000000"/>
                <w:spacing w:val="-4"/>
                <w:sz w:val="30"/>
                <w:szCs w:val="30"/>
              </w:rPr>
              <w:t>投标人拟派项目组成员中（除项目负责人外）具有执业（助理）医师、护士、社会工作师证书的，在职的有1人得</w:t>
            </w:r>
            <w:r>
              <w:rPr>
                <w:rFonts w:hint="default" w:ascii="Times New Roman" w:hAnsi="Times New Roman" w:eastAsia="方正仿宋_GBK" w:cs="Times New Roman"/>
                <w:color w:val="000000"/>
                <w:spacing w:val="-4"/>
                <w:sz w:val="30"/>
                <w:szCs w:val="30"/>
                <w:lang w:val="en-US" w:eastAsia="zh-CN"/>
              </w:rPr>
              <w:t>3</w:t>
            </w:r>
            <w:r>
              <w:rPr>
                <w:rFonts w:hint="default" w:ascii="Times New Roman" w:hAnsi="Times New Roman" w:eastAsia="方正仿宋_GBK" w:cs="Times New Roman"/>
                <w:color w:val="000000"/>
                <w:spacing w:val="-4"/>
                <w:sz w:val="30"/>
                <w:szCs w:val="30"/>
              </w:rPr>
              <w:t>分，兼职的有1人得</w:t>
            </w:r>
            <w:r>
              <w:rPr>
                <w:rFonts w:hint="default" w:ascii="Times New Roman" w:hAnsi="Times New Roman" w:eastAsia="方正仿宋_GBK" w:cs="Times New Roman"/>
                <w:color w:val="000000"/>
                <w:spacing w:val="-4"/>
                <w:sz w:val="30"/>
                <w:szCs w:val="30"/>
                <w:lang w:val="en-US" w:eastAsia="zh-CN"/>
              </w:rPr>
              <w:t>2</w:t>
            </w:r>
            <w:r>
              <w:rPr>
                <w:rFonts w:hint="default" w:ascii="Times New Roman" w:hAnsi="Times New Roman" w:eastAsia="方正仿宋_GBK" w:cs="Times New Roman"/>
                <w:color w:val="000000"/>
                <w:spacing w:val="-4"/>
                <w:sz w:val="30"/>
                <w:szCs w:val="30"/>
              </w:rPr>
              <w:t>分，本项最多按2人计分最高得</w:t>
            </w:r>
            <w:r>
              <w:rPr>
                <w:rFonts w:hint="default" w:ascii="Times New Roman" w:hAnsi="Times New Roman" w:eastAsia="方正仿宋_GBK" w:cs="Times New Roman"/>
                <w:color w:val="000000"/>
                <w:spacing w:val="-4"/>
                <w:sz w:val="30"/>
                <w:szCs w:val="30"/>
                <w:lang w:val="en-US" w:eastAsia="zh-CN"/>
              </w:rPr>
              <w:t>5</w:t>
            </w:r>
            <w:r>
              <w:rPr>
                <w:rFonts w:hint="default" w:ascii="Times New Roman" w:hAnsi="Times New Roman" w:eastAsia="方正仿宋_GBK" w:cs="Times New Roman"/>
                <w:color w:val="000000"/>
                <w:spacing w:val="-4"/>
                <w:sz w:val="30"/>
                <w:szCs w:val="30"/>
              </w:rPr>
              <w:t>分</w:t>
            </w:r>
            <w:r>
              <w:rPr>
                <w:rFonts w:hint="default" w:ascii="Times New Roman" w:hAnsi="Times New Roman" w:eastAsia="方正仿宋_GBK" w:cs="Times New Roman"/>
                <w:color w:val="000000"/>
                <w:sz w:val="30"/>
                <w:szCs w:val="30"/>
              </w:rPr>
              <w:t>；</w:t>
            </w:r>
          </w:p>
          <w:p w14:paraId="416FD361">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_GBK" w:cs="Times New Roman"/>
                <w:color w:val="000000"/>
                <w:sz w:val="30"/>
                <w:szCs w:val="30"/>
              </w:rPr>
            </w:pPr>
            <w:r>
              <w:rPr>
                <w:rFonts w:hint="default" w:ascii="Times New Roman" w:hAnsi="Times New Roman" w:eastAsia="方正仿宋_GBK" w:cs="Times New Roman"/>
                <w:color w:val="000000"/>
                <w:sz w:val="30"/>
                <w:szCs w:val="30"/>
              </w:rPr>
              <w:t>（4）除上述人员以外的项目组其他成员中，具有高级养老护理员证书、老年人能力评估师（中级及以上）证书、（助理）社会工作师证书、执业（助理）医师或护士证书的，在职的有1人得</w:t>
            </w:r>
            <w:r>
              <w:rPr>
                <w:rFonts w:hint="default" w:ascii="Times New Roman" w:hAnsi="Times New Roman" w:eastAsia="方正仿宋_GBK" w:cs="Times New Roman"/>
                <w:color w:val="000000"/>
                <w:sz w:val="30"/>
                <w:szCs w:val="30"/>
                <w:lang w:val="en-US" w:eastAsia="zh-CN"/>
              </w:rPr>
              <w:t>2</w:t>
            </w:r>
            <w:r>
              <w:rPr>
                <w:rFonts w:hint="default" w:ascii="Times New Roman" w:hAnsi="Times New Roman" w:eastAsia="方正仿宋_GBK" w:cs="Times New Roman"/>
                <w:color w:val="000000"/>
                <w:sz w:val="30"/>
                <w:szCs w:val="30"/>
              </w:rPr>
              <w:t>分，兼职的有1人得</w:t>
            </w:r>
            <w:r>
              <w:rPr>
                <w:rFonts w:hint="default" w:ascii="Times New Roman" w:hAnsi="Times New Roman" w:eastAsia="方正仿宋_GBK" w:cs="Times New Roman"/>
                <w:color w:val="000000"/>
                <w:sz w:val="30"/>
                <w:szCs w:val="30"/>
                <w:lang w:val="en-US" w:eastAsia="zh-CN"/>
              </w:rPr>
              <w:t>1</w:t>
            </w:r>
            <w:r>
              <w:rPr>
                <w:rFonts w:hint="default" w:ascii="Times New Roman" w:hAnsi="Times New Roman" w:eastAsia="方正仿宋_GBK" w:cs="Times New Roman"/>
                <w:color w:val="000000"/>
                <w:sz w:val="30"/>
                <w:szCs w:val="30"/>
              </w:rPr>
              <w:t>分，本项最多按4人计分最高得</w:t>
            </w:r>
            <w:r>
              <w:rPr>
                <w:rFonts w:hint="default" w:ascii="Times New Roman" w:hAnsi="Times New Roman" w:eastAsia="方正仿宋_GBK" w:cs="Times New Roman"/>
                <w:color w:val="000000"/>
                <w:sz w:val="30"/>
                <w:szCs w:val="30"/>
                <w:lang w:val="en-US" w:eastAsia="zh-CN"/>
              </w:rPr>
              <w:t>5</w:t>
            </w:r>
            <w:r>
              <w:rPr>
                <w:rFonts w:hint="default" w:ascii="Times New Roman" w:hAnsi="Times New Roman" w:eastAsia="方正仿宋_GBK" w:cs="Times New Roman"/>
                <w:color w:val="000000"/>
                <w:sz w:val="30"/>
                <w:szCs w:val="30"/>
              </w:rPr>
              <w:t>分。</w:t>
            </w:r>
          </w:p>
          <w:p w14:paraId="0C5DC78F">
            <w:pPr>
              <w:keepNext w:val="0"/>
              <w:keepLines w:val="0"/>
              <w:pageBreakBefore w:val="0"/>
              <w:kinsoku/>
              <w:wordWrap/>
              <w:overflowPunct/>
              <w:topLinePunct w:val="0"/>
              <w:autoSpaceDE/>
              <w:autoSpaceDN/>
              <w:bidi w:val="0"/>
              <w:adjustRightInd/>
              <w:snapToGrid/>
              <w:spacing w:line="300" w:lineRule="exact"/>
              <w:textAlignment w:val="auto"/>
              <w:rPr>
                <w:rFonts w:hint="default" w:ascii="Times New Roman" w:hAnsi="Times New Roman" w:eastAsia="方正仿宋_GBK" w:cs="Times New Roman"/>
                <w:color w:val="000000"/>
                <w:sz w:val="30"/>
                <w:szCs w:val="30"/>
              </w:rPr>
            </w:pPr>
            <w:r>
              <w:rPr>
                <w:rFonts w:hint="default" w:ascii="Times New Roman" w:hAnsi="Times New Roman" w:eastAsia="方正仿宋_GBK" w:cs="Times New Roman"/>
                <w:color w:val="000000"/>
                <w:sz w:val="30"/>
                <w:szCs w:val="30"/>
              </w:rPr>
              <w:t>注：须提供相关人员证书原件扫描件、在职员工提供从投标截止之日当月向前1个月已在本单位缴纳养老保险证明原件扫描件或在本单位已缴纳养老保险承诺书（须承诺从投标截止之日当月向前1个月已在本单位缴纳养老保险，未提供的或提供不全的不得分），兼职员工无需提供本单位缴纳养老保险证明材料，在职或兼职需在“投入本项目人员配置表”注明，未提供或提供不全的不得分。上述人员一人多证不重复计分。</w:t>
            </w:r>
          </w:p>
        </w:tc>
      </w:tr>
      <w:tr w14:paraId="7C5446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4239" w:hRule="atLeast"/>
          <w:jc w:val="center"/>
        </w:trPr>
        <w:tc>
          <w:tcPr>
            <w:tcW w:w="792" w:type="dxa"/>
            <w:vMerge w:val="continue"/>
            <w:noWrap w:val="0"/>
            <w:vAlign w:val="center"/>
          </w:tcPr>
          <w:p w14:paraId="03D4BC89">
            <w:pPr>
              <w:jc w:val="center"/>
              <w:rPr>
                <w:rFonts w:hint="default" w:ascii="Times New Roman" w:hAnsi="Times New Roman" w:cs="Times New Roman"/>
                <w:color w:val="000000"/>
                <w:sz w:val="24"/>
              </w:rPr>
            </w:pPr>
          </w:p>
        </w:tc>
        <w:tc>
          <w:tcPr>
            <w:tcW w:w="875" w:type="dxa"/>
            <w:noWrap w:val="0"/>
            <w:vAlign w:val="center"/>
          </w:tcPr>
          <w:p w14:paraId="224B080C">
            <w:pPr>
              <w:keepNext w:val="0"/>
              <w:keepLines w:val="0"/>
              <w:pageBreakBefore w:val="0"/>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fldChar w:fldCharType="begin"/>
            </w:r>
            <w:r>
              <w:rPr>
                <w:rFonts w:hint="default" w:ascii="Times New Roman" w:hAnsi="Times New Roman" w:eastAsia="方正仿宋_GBK" w:cs="Times New Roman"/>
                <w:color w:val="000000"/>
                <w:sz w:val="32"/>
                <w:szCs w:val="32"/>
              </w:rPr>
              <w:instrText xml:space="preserve"> = 3 \* GB3 \* MERGEFORMAT </w:instrText>
            </w:r>
            <w:r>
              <w:rPr>
                <w:rFonts w:hint="default" w:ascii="Times New Roman" w:hAnsi="Times New Roman" w:eastAsia="方正仿宋_GBK" w:cs="Times New Roman"/>
                <w:color w:val="000000"/>
                <w:sz w:val="32"/>
                <w:szCs w:val="32"/>
              </w:rPr>
              <w:fldChar w:fldCharType="separate"/>
            </w:r>
            <w:r>
              <w:rPr>
                <w:rFonts w:hint="default" w:ascii="Times New Roman" w:hAnsi="Times New Roman" w:eastAsia="方正仿宋_GBK" w:cs="Times New Roman"/>
                <w:color w:val="000000"/>
                <w:sz w:val="32"/>
                <w:szCs w:val="32"/>
              </w:rPr>
              <w:t>③</w:t>
            </w:r>
            <w:r>
              <w:rPr>
                <w:rFonts w:hint="default" w:ascii="Times New Roman" w:hAnsi="Times New Roman" w:eastAsia="方正仿宋_GBK" w:cs="Times New Roman"/>
                <w:color w:val="000000"/>
                <w:sz w:val="32"/>
                <w:szCs w:val="32"/>
              </w:rPr>
              <w:fldChar w:fldCharType="end"/>
            </w:r>
          </w:p>
        </w:tc>
        <w:tc>
          <w:tcPr>
            <w:tcW w:w="1276" w:type="dxa"/>
            <w:noWrap w:val="0"/>
            <w:vAlign w:val="center"/>
          </w:tcPr>
          <w:p w14:paraId="6E63C9B0">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实施方案</w:t>
            </w:r>
          </w:p>
        </w:tc>
        <w:tc>
          <w:tcPr>
            <w:tcW w:w="851" w:type="dxa"/>
            <w:noWrap w:val="0"/>
            <w:vAlign w:val="center"/>
          </w:tcPr>
          <w:p w14:paraId="22CEE50F">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50</w:t>
            </w:r>
          </w:p>
        </w:tc>
        <w:tc>
          <w:tcPr>
            <w:tcW w:w="5795" w:type="dxa"/>
            <w:gridSpan w:val="2"/>
            <w:noWrap w:val="0"/>
            <w:vAlign w:val="center"/>
          </w:tcPr>
          <w:p w14:paraId="2EC07A4E">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_GBK" w:cs="Times New Roman"/>
                <w:bCs/>
                <w:color w:val="000000"/>
                <w:sz w:val="30"/>
                <w:szCs w:val="30"/>
              </w:rPr>
            </w:pPr>
            <w:r>
              <w:rPr>
                <w:rFonts w:hint="default" w:ascii="Times New Roman" w:hAnsi="Times New Roman" w:eastAsia="方正仿宋_GBK" w:cs="Times New Roman"/>
                <w:bCs/>
                <w:color w:val="000000"/>
                <w:sz w:val="30"/>
                <w:szCs w:val="30"/>
              </w:rPr>
              <w:t>（1）评标</w:t>
            </w:r>
            <w:r>
              <w:rPr>
                <w:rFonts w:hint="default" w:ascii="Times New Roman" w:hAnsi="Times New Roman" w:eastAsia="方正仿宋_GBK" w:cs="Times New Roman"/>
                <w:bCs/>
                <w:color w:val="000000"/>
                <w:sz w:val="30"/>
                <w:szCs w:val="30"/>
                <w:lang w:val="en-US" w:eastAsia="zh-CN"/>
              </w:rPr>
              <w:t>小组</w:t>
            </w:r>
            <w:r>
              <w:rPr>
                <w:rFonts w:hint="default" w:ascii="Times New Roman" w:hAnsi="Times New Roman" w:eastAsia="方正仿宋_GBK" w:cs="Times New Roman"/>
                <w:bCs/>
                <w:color w:val="000000"/>
                <w:sz w:val="30"/>
                <w:szCs w:val="30"/>
              </w:rPr>
              <w:t>根据各投标人项目</w:t>
            </w:r>
            <w:r>
              <w:rPr>
                <w:rFonts w:hint="default" w:ascii="Times New Roman" w:hAnsi="Times New Roman" w:eastAsia="方正仿宋_GBK" w:cs="Times New Roman"/>
                <w:color w:val="000000"/>
                <w:sz w:val="30"/>
                <w:szCs w:val="30"/>
              </w:rPr>
              <w:t>实施方案</w:t>
            </w:r>
            <w:r>
              <w:rPr>
                <w:rFonts w:hint="default" w:ascii="Times New Roman" w:hAnsi="Times New Roman" w:eastAsia="方正仿宋_GBK" w:cs="Times New Roman"/>
                <w:bCs/>
                <w:color w:val="000000"/>
                <w:sz w:val="30"/>
                <w:szCs w:val="30"/>
              </w:rPr>
              <w:t>中</w:t>
            </w:r>
            <w:r>
              <w:rPr>
                <w:rFonts w:hint="default" w:ascii="Times New Roman" w:hAnsi="Times New Roman" w:eastAsia="方正仿宋_GBK" w:cs="Times New Roman"/>
                <w:color w:val="000000"/>
                <w:sz w:val="30"/>
                <w:szCs w:val="30"/>
              </w:rPr>
              <w:t>项目总体评估思路</w:t>
            </w:r>
            <w:r>
              <w:rPr>
                <w:rFonts w:hint="default" w:ascii="Times New Roman" w:hAnsi="Times New Roman" w:eastAsia="方正仿宋_GBK" w:cs="Times New Roman"/>
                <w:bCs/>
                <w:color w:val="000000"/>
                <w:sz w:val="30"/>
                <w:szCs w:val="30"/>
              </w:rPr>
              <w:t>（</w:t>
            </w:r>
            <w:r>
              <w:rPr>
                <w:rFonts w:hint="default" w:ascii="Times New Roman" w:hAnsi="Times New Roman" w:eastAsia="方正仿宋_GBK" w:cs="Times New Roman"/>
                <w:color w:val="000000"/>
                <w:sz w:val="30"/>
                <w:szCs w:val="30"/>
              </w:rPr>
              <w:t>包括投标人对本项目的背景分析、评估认识、服务定位、管理理念及符合政策法规的整体设想等</w:t>
            </w:r>
            <w:r>
              <w:rPr>
                <w:rFonts w:hint="default" w:ascii="Times New Roman" w:hAnsi="Times New Roman" w:eastAsia="方正仿宋_GBK" w:cs="Times New Roman"/>
                <w:bCs/>
                <w:color w:val="000000"/>
                <w:sz w:val="30"/>
                <w:szCs w:val="30"/>
              </w:rPr>
              <w:t>）进行评定，方案科学合理性强、内容详尽细致、针对性和落地性强，满足项目要求性强的得10分；方案科学合理性较强、内容符合性较强、针对性和落地性较强，满足项目要求性较强的得9.5分；方案科学合理性一般、内容符合性一般、针对性和落地性一般，满足项目要求性一般的得9分（</w:t>
            </w:r>
            <w:r>
              <w:rPr>
                <w:rFonts w:hint="default" w:ascii="Times New Roman" w:hAnsi="Times New Roman" w:eastAsia="方正仿宋_GBK" w:cs="Times New Roman"/>
                <w:color w:val="000000"/>
                <w:sz w:val="30"/>
                <w:szCs w:val="30"/>
              </w:rPr>
              <w:t>未提供此实施方案的不得分</w:t>
            </w:r>
            <w:r>
              <w:rPr>
                <w:rFonts w:hint="default" w:ascii="Times New Roman" w:hAnsi="Times New Roman" w:eastAsia="方正仿宋_GBK" w:cs="Times New Roman"/>
                <w:bCs/>
                <w:color w:val="000000"/>
                <w:sz w:val="30"/>
                <w:szCs w:val="30"/>
              </w:rPr>
              <w:t>）。</w:t>
            </w:r>
          </w:p>
          <w:p w14:paraId="43FDAF0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_GBK" w:cs="Times New Roman"/>
                <w:color w:val="000000"/>
                <w:sz w:val="30"/>
                <w:szCs w:val="30"/>
              </w:rPr>
            </w:pPr>
            <w:r>
              <w:rPr>
                <w:rFonts w:hint="default" w:ascii="Times New Roman" w:hAnsi="Times New Roman" w:eastAsia="方正仿宋_GBK" w:cs="Times New Roman"/>
                <w:bCs/>
                <w:color w:val="000000"/>
                <w:sz w:val="30"/>
                <w:szCs w:val="30"/>
              </w:rPr>
              <w:t>（2）评标</w:t>
            </w:r>
            <w:r>
              <w:rPr>
                <w:rFonts w:hint="default" w:ascii="Times New Roman" w:hAnsi="Times New Roman" w:eastAsia="方正仿宋_GBK" w:cs="Times New Roman"/>
                <w:bCs/>
                <w:color w:val="000000"/>
                <w:sz w:val="30"/>
                <w:szCs w:val="30"/>
                <w:lang w:val="en-US" w:eastAsia="zh-CN"/>
              </w:rPr>
              <w:t>小组</w:t>
            </w:r>
            <w:r>
              <w:rPr>
                <w:rFonts w:hint="default" w:ascii="Times New Roman" w:hAnsi="Times New Roman" w:eastAsia="方正仿宋_GBK" w:cs="Times New Roman"/>
                <w:bCs/>
                <w:color w:val="000000"/>
                <w:sz w:val="30"/>
                <w:szCs w:val="30"/>
              </w:rPr>
              <w:t>根据各投标人项目实施方案中</w:t>
            </w:r>
            <w:r>
              <w:rPr>
                <w:rFonts w:hint="default" w:ascii="Times New Roman" w:hAnsi="Times New Roman" w:eastAsia="方正仿宋_GBK" w:cs="Times New Roman"/>
                <w:color w:val="000000"/>
                <w:sz w:val="30"/>
                <w:szCs w:val="30"/>
              </w:rPr>
              <w:t>组织架构方案</w:t>
            </w:r>
            <w:r>
              <w:rPr>
                <w:rFonts w:hint="default" w:ascii="Times New Roman" w:hAnsi="Times New Roman" w:eastAsia="方正仿宋_GBK" w:cs="Times New Roman"/>
                <w:bCs/>
                <w:color w:val="000000"/>
                <w:sz w:val="30"/>
                <w:szCs w:val="30"/>
              </w:rPr>
              <w:t>（</w:t>
            </w:r>
            <w:r>
              <w:rPr>
                <w:rFonts w:hint="default" w:ascii="Times New Roman" w:hAnsi="Times New Roman" w:eastAsia="方正仿宋_GBK" w:cs="Times New Roman"/>
                <w:color w:val="000000"/>
                <w:sz w:val="30"/>
                <w:szCs w:val="30"/>
              </w:rPr>
              <w:t>对本项目所投入的专业技术力量、服务团队、项目组织框架职责划分、管理方案等内容</w:t>
            </w:r>
            <w:r>
              <w:rPr>
                <w:rFonts w:hint="default" w:ascii="Times New Roman" w:hAnsi="Times New Roman" w:eastAsia="方正仿宋_GBK" w:cs="Times New Roman"/>
                <w:bCs/>
                <w:color w:val="000000"/>
                <w:sz w:val="30"/>
                <w:szCs w:val="30"/>
              </w:rPr>
              <w:t>）进行评定，</w:t>
            </w:r>
            <w:r>
              <w:rPr>
                <w:rFonts w:hint="default" w:ascii="Times New Roman" w:hAnsi="Times New Roman" w:eastAsia="方正仿宋_GBK" w:cs="Times New Roman"/>
                <w:color w:val="000000"/>
                <w:sz w:val="30"/>
                <w:szCs w:val="30"/>
              </w:rPr>
              <w:t>服务团队专业且经验丰富，内部管理制度方案科学合理，质量保证进度方案详细具体的得10分；服务团队较为专业，内部管理制度方案较为合理，质量保证进度方案基本完整的得9.5分；服务团队专业性一般，内部管理制度方案一般，质量保证进度方案一般的得9分（未提供此实施方案的不得分）。</w:t>
            </w:r>
            <w:r>
              <w:rPr>
                <w:rFonts w:hint="default" w:ascii="Times New Roman" w:hAnsi="Times New Roman" w:eastAsia="方正仿宋_GBK" w:cs="Times New Roman"/>
                <w:color w:val="000000"/>
                <w:sz w:val="30"/>
                <w:szCs w:val="30"/>
              </w:rPr>
              <w:br w:type="textWrapping" w:clear="all"/>
            </w:r>
            <w:r>
              <w:rPr>
                <w:rFonts w:hint="default" w:ascii="Times New Roman" w:hAnsi="Times New Roman" w:eastAsia="方正仿宋_GBK" w:cs="Times New Roman"/>
                <w:bCs/>
                <w:color w:val="000000"/>
                <w:sz w:val="30"/>
                <w:szCs w:val="30"/>
              </w:rPr>
              <w:t>（3）评标</w:t>
            </w:r>
            <w:r>
              <w:rPr>
                <w:rFonts w:hint="default" w:ascii="Times New Roman" w:hAnsi="Times New Roman" w:eastAsia="方正仿宋_GBK" w:cs="Times New Roman"/>
                <w:bCs/>
                <w:color w:val="000000"/>
                <w:sz w:val="30"/>
                <w:szCs w:val="30"/>
                <w:lang w:val="en-US" w:eastAsia="zh-CN"/>
              </w:rPr>
              <w:t>小组</w:t>
            </w:r>
            <w:r>
              <w:rPr>
                <w:rFonts w:hint="default" w:ascii="Times New Roman" w:hAnsi="Times New Roman" w:eastAsia="方正仿宋_GBK" w:cs="Times New Roman"/>
                <w:bCs/>
                <w:color w:val="000000"/>
                <w:sz w:val="30"/>
                <w:szCs w:val="30"/>
              </w:rPr>
              <w:t>根据各投标人项目实施方案中</w:t>
            </w:r>
            <w:r>
              <w:rPr>
                <w:rFonts w:hint="default" w:ascii="Times New Roman" w:hAnsi="Times New Roman" w:eastAsia="方正仿宋_GBK" w:cs="Times New Roman"/>
                <w:color w:val="000000"/>
                <w:sz w:val="30"/>
                <w:szCs w:val="30"/>
                <w:lang w:bidi="ar"/>
              </w:rPr>
              <w:t>评估服务质量保证措施</w:t>
            </w:r>
            <w:r>
              <w:rPr>
                <w:rFonts w:hint="default" w:ascii="Times New Roman" w:hAnsi="Times New Roman" w:eastAsia="方正仿宋_GBK" w:cs="Times New Roman"/>
                <w:bCs/>
                <w:color w:val="000000"/>
                <w:sz w:val="30"/>
                <w:szCs w:val="30"/>
              </w:rPr>
              <w:t>（包括</w:t>
            </w:r>
            <w:r>
              <w:rPr>
                <w:rFonts w:hint="default" w:ascii="Times New Roman" w:hAnsi="Times New Roman" w:eastAsia="方正仿宋_GBK" w:cs="Times New Roman"/>
                <w:color w:val="000000"/>
                <w:spacing w:val="2"/>
                <w:sz w:val="30"/>
                <w:szCs w:val="30"/>
              </w:rPr>
              <w:t>评估服务工作流程、进度安排、质量保证措施、安全保证措施、计划保障措施等</w:t>
            </w:r>
            <w:r>
              <w:rPr>
                <w:rFonts w:hint="default" w:ascii="Times New Roman" w:hAnsi="Times New Roman" w:eastAsia="方正仿宋_GBK" w:cs="Times New Roman"/>
                <w:bCs/>
                <w:color w:val="000000"/>
                <w:sz w:val="30"/>
                <w:szCs w:val="30"/>
              </w:rPr>
              <w:t>）进行评定，方案科学合理性强、落地性强，满足项目要求性强的得10分；方案科学合理性较强、落地性较强，满足项目要求性较强的得9.5分；方案科学合理性一般、落地性一般，满足项目要求性一般的得9分</w:t>
            </w:r>
            <w:r>
              <w:rPr>
                <w:rFonts w:hint="default" w:ascii="Times New Roman" w:hAnsi="Times New Roman" w:eastAsia="方正仿宋_GBK" w:cs="Times New Roman"/>
                <w:color w:val="000000"/>
                <w:sz w:val="30"/>
                <w:szCs w:val="30"/>
              </w:rPr>
              <w:t>（未提供此实施方案的不得分）。</w:t>
            </w:r>
          </w:p>
          <w:p w14:paraId="79AE9F43">
            <w:pPr>
              <w:pStyle w:val="2"/>
              <w:keepNext w:val="0"/>
              <w:keepLines w:val="0"/>
              <w:pageBreakBefore w:val="0"/>
              <w:kinsoku/>
              <w:wordWrap/>
              <w:overflowPunct/>
              <w:topLinePunct w:val="0"/>
              <w:autoSpaceDE/>
              <w:autoSpaceDN/>
              <w:bidi w:val="0"/>
              <w:adjustRightInd/>
              <w:snapToGrid/>
              <w:spacing w:line="300" w:lineRule="exact"/>
              <w:ind w:firstLine="0"/>
              <w:textAlignment w:val="auto"/>
              <w:rPr>
                <w:rFonts w:hint="default" w:ascii="Times New Roman" w:hAnsi="Times New Roman" w:eastAsia="方正仿宋_GBK" w:cs="Times New Roman"/>
                <w:bCs/>
                <w:color w:val="000000"/>
                <w:sz w:val="30"/>
                <w:szCs w:val="30"/>
              </w:rPr>
            </w:pPr>
            <w:r>
              <w:rPr>
                <w:rFonts w:hint="default" w:ascii="Times New Roman" w:hAnsi="Times New Roman" w:eastAsia="方正仿宋_GBK" w:cs="Times New Roman"/>
                <w:bCs/>
                <w:color w:val="000000"/>
                <w:sz w:val="30"/>
                <w:szCs w:val="30"/>
              </w:rPr>
              <w:t>（4）评标</w:t>
            </w:r>
            <w:r>
              <w:rPr>
                <w:rFonts w:hint="default" w:ascii="Times New Roman" w:hAnsi="Times New Roman" w:eastAsia="方正仿宋_GBK" w:cs="Times New Roman"/>
                <w:bCs/>
                <w:color w:val="000000"/>
                <w:sz w:val="30"/>
                <w:szCs w:val="30"/>
                <w:lang w:val="en-US" w:eastAsia="zh-CN"/>
              </w:rPr>
              <w:t>小组</w:t>
            </w:r>
            <w:r>
              <w:rPr>
                <w:rFonts w:hint="default" w:ascii="Times New Roman" w:hAnsi="Times New Roman" w:eastAsia="方正仿宋_GBK" w:cs="Times New Roman"/>
                <w:bCs/>
                <w:color w:val="000000"/>
                <w:sz w:val="30"/>
                <w:szCs w:val="30"/>
              </w:rPr>
              <w:t>根据各投标人项目实施方案中协调配合方案（投标人与相关部门、机构协调配合方案</w:t>
            </w:r>
            <w:r>
              <w:rPr>
                <w:rFonts w:hint="eastAsia" w:ascii="Times New Roman" w:hAnsi="Times New Roman" w:eastAsia="方正仿宋_GBK" w:cs="Times New Roman"/>
                <w:bCs/>
                <w:color w:val="000000"/>
                <w:sz w:val="30"/>
                <w:szCs w:val="30"/>
                <w:lang w:eastAsia="zh-CN"/>
              </w:rPr>
              <w:t>；在</w:t>
            </w:r>
            <w:r>
              <w:rPr>
                <w:rFonts w:hint="default" w:ascii="Times New Roman" w:hAnsi="Times New Roman" w:eastAsia="方正仿宋_GBK" w:cs="Times New Roman"/>
                <w:bCs/>
                <w:color w:val="000000"/>
                <w:sz w:val="30"/>
                <w:szCs w:val="30"/>
              </w:rPr>
              <w:t>评估过程中与老人及家属的沟通方案等）进行评定，方案完整合理、切实可行的得10分；方案具体、可行性较强的得9.5分；方案简单、可行性一般的得9分（未提供实施方案的此项不得分）。</w:t>
            </w:r>
          </w:p>
          <w:p w14:paraId="33B6EB19">
            <w:pPr>
              <w:pStyle w:val="2"/>
              <w:keepNext w:val="0"/>
              <w:keepLines w:val="0"/>
              <w:pageBreakBefore w:val="0"/>
              <w:kinsoku/>
              <w:wordWrap/>
              <w:overflowPunct/>
              <w:topLinePunct w:val="0"/>
              <w:autoSpaceDE/>
              <w:autoSpaceDN/>
              <w:bidi w:val="0"/>
              <w:adjustRightInd/>
              <w:snapToGrid/>
              <w:spacing w:line="300" w:lineRule="exact"/>
              <w:ind w:firstLine="0"/>
              <w:textAlignment w:val="auto"/>
              <w:rPr>
                <w:rFonts w:hint="default" w:ascii="Times New Roman" w:hAnsi="Times New Roman" w:eastAsia="方正仿宋_GBK" w:cs="Times New Roman"/>
                <w:bCs/>
                <w:color w:val="000000"/>
                <w:sz w:val="30"/>
                <w:szCs w:val="30"/>
              </w:rPr>
            </w:pPr>
            <w:r>
              <w:rPr>
                <w:rFonts w:hint="default" w:ascii="Times New Roman" w:hAnsi="Times New Roman" w:eastAsia="方正仿宋_GBK" w:cs="Times New Roman"/>
                <w:bCs/>
                <w:color w:val="000000"/>
                <w:sz w:val="30"/>
                <w:szCs w:val="30"/>
              </w:rPr>
              <w:t>（5）评标</w:t>
            </w:r>
            <w:r>
              <w:rPr>
                <w:rFonts w:hint="default" w:ascii="Times New Roman" w:hAnsi="Times New Roman" w:eastAsia="方正仿宋_GBK" w:cs="Times New Roman"/>
                <w:bCs/>
                <w:color w:val="000000"/>
                <w:sz w:val="30"/>
                <w:szCs w:val="30"/>
                <w:lang w:val="en-US" w:eastAsia="zh-CN"/>
              </w:rPr>
              <w:t>小组</w:t>
            </w:r>
            <w:r>
              <w:rPr>
                <w:rFonts w:hint="default" w:ascii="Times New Roman" w:hAnsi="Times New Roman" w:eastAsia="方正仿宋_GBK" w:cs="Times New Roman"/>
                <w:bCs/>
                <w:color w:val="000000"/>
                <w:sz w:val="30"/>
                <w:szCs w:val="30"/>
              </w:rPr>
              <w:t>根据各投标人项目实施方案中应急方案（包括项目可能出现的突发事件的应急处理方案及保障措施）进行评定，方案完整合理、切实可行的得10分；方案具体、可行性较强的得9.5分；方案简单、可行性一般的得9分（未提供实施方案的此项不得分）。</w:t>
            </w:r>
          </w:p>
          <w:p w14:paraId="0069E048">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default" w:ascii="Times New Roman" w:hAnsi="Times New Roman" w:eastAsia="方正仿宋_GBK" w:cs="Times New Roman"/>
                <w:color w:val="000000"/>
                <w:sz w:val="30"/>
                <w:szCs w:val="30"/>
              </w:rPr>
            </w:pPr>
            <w:r>
              <w:rPr>
                <w:rFonts w:hint="default" w:ascii="Times New Roman" w:hAnsi="Times New Roman" w:eastAsia="方正仿宋_GBK" w:cs="Times New Roman"/>
                <w:bCs/>
                <w:color w:val="000000"/>
                <w:sz w:val="30"/>
                <w:szCs w:val="30"/>
              </w:rPr>
              <w:t>注：评标</w:t>
            </w:r>
            <w:r>
              <w:rPr>
                <w:rFonts w:hint="default" w:ascii="Times New Roman" w:hAnsi="Times New Roman" w:eastAsia="方正仿宋_GBK" w:cs="Times New Roman"/>
                <w:bCs/>
                <w:color w:val="000000"/>
                <w:sz w:val="30"/>
                <w:szCs w:val="30"/>
                <w:lang w:val="en-US" w:eastAsia="zh-CN"/>
              </w:rPr>
              <w:t>小组</w:t>
            </w:r>
            <w:r>
              <w:rPr>
                <w:rFonts w:hint="default" w:ascii="Times New Roman" w:hAnsi="Times New Roman" w:eastAsia="方正仿宋_GBK" w:cs="Times New Roman"/>
                <w:bCs/>
                <w:color w:val="000000"/>
                <w:sz w:val="30"/>
                <w:szCs w:val="30"/>
              </w:rPr>
              <w:t>对各个评审因素进行量化时，应当将量化指标建立在同一基础或者同一标准上，使各投标文件具有可比性。</w:t>
            </w:r>
          </w:p>
        </w:tc>
      </w:tr>
    </w:tbl>
    <w:p w14:paraId="39F05590">
      <w:pPr>
        <w:numPr>
          <w:ilvl w:val="0"/>
          <w:numId w:val="0"/>
        </w:numPr>
        <w:rPr>
          <w:rFonts w:hint="eastAsia"/>
          <w:sz w:val="32"/>
          <w:szCs w:val="32"/>
        </w:rPr>
      </w:pPr>
    </w:p>
    <w:sectPr>
      <w:headerReference r:id="rId3" w:type="default"/>
      <w:footerReference r:id="rId4" w:type="default"/>
      <w:pgSz w:w="11906" w:h="16838"/>
      <w:pgMar w:top="1440" w:right="1800" w:bottom="1203"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88A0CE">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630325">
                          <w:pPr>
                            <w:pStyle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F630325">
                    <w:pPr>
                      <w:pStyle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  \* MERGEFORMAT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sz w:val="32"/>
                        <w:szCs w:val="32"/>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79B9E">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0CFA75"/>
    <w:multiLevelType w:val="singleLevel"/>
    <w:tmpl w:val="830CFA75"/>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9F2F4D"/>
    <w:rsid w:val="12663C29"/>
    <w:rsid w:val="152A3C75"/>
    <w:rsid w:val="15C26140"/>
    <w:rsid w:val="175704A3"/>
    <w:rsid w:val="1F8D3A41"/>
    <w:rsid w:val="489F2F4D"/>
    <w:rsid w:val="55C22DFE"/>
    <w:rsid w:val="68F92350"/>
    <w:rsid w:val="71515C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customStyle="1" w:styleId="2">
    <w:name w:val="正文首行缩进111"/>
    <w:basedOn w:val="3"/>
    <w:next w:val="1"/>
    <w:qFormat/>
    <w:uiPriority w:val="0"/>
    <w:pPr>
      <w:spacing w:line="360" w:lineRule="auto"/>
      <w:ind w:firstLine="200"/>
    </w:pPr>
    <w:rPr>
      <w:rFonts w:ascii="仿宋_GB2312" w:eastAsia="仿宋_GB2312"/>
      <w:sz w:val="30"/>
      <w:szCs w:val="30"/>
    </w:rPr>
  </w:style>
  <w:style w:type="paragraph" w:customStyle="1" w:styleId="3">
    <w:name w:val="正文文本112"/>
    <w:basedOn w:val="1"/>
    <w:next w:val="4"/>
    <w:qFormat/>
    <w:uiPriority w:val="0"/>
    <w:pPr>
      <w:spacing w:after="120"/>
    </w:pPr>
    <w:rPr>
      <w:sz w:val="28"/>
    </w:rPr>
  </w:style>
  <w:style w:type="paragraph" w:customStyle="1" w:styleId="4">
    <w:name w:val="一级条标题"/>
    <w:basedOn w:val="5"/>
    <w:next w:val="6"/>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5">
    <w:name w:val="章标题"/>
    <w:next w:val="1"/>
    <w:qFormat/>
    <w:uiPriority w:val="0"/>
    <w:pPr>
      <w:tabs>
        <w:tab w:val="left" w:pos="810"/>
        <w:tab w:val="left" w:pos="1265"/>
      </w:tabs>
      <w:spacing w:before="50" w:after="50"/>
      <w:ind w:left="810" w:hanging="810"/>
      <w:jc w:val="both"/>
      <w:outlineLvl w:val="1"/>
    </w:pPr>
    <w:rPr>
      <w:rFonts w:hint="default" w:ascii="黑体" w:hAnsi="Calibri" w:eastAsia="黑体" w:cs="Times New Roman"/>
      <w:sz w:val="21"/>
      <w:szCs w:val="22"/>
      <w:lang w:val="en-US" w:eastAsia="zh-CN" w:bidi="ar-SA"/>
    </w:rPr>
  </w:style>
  <w:style w:type="paragraph" w:customStyle="1" w:styleId="6">
    <w:name w:val="段"/>
    <w:next w:val="7"/>
    <w:qFormat/>
    <w:uiPriority w:val="0"/>
    <w:pPr>
      <w:widowControl w:val="0"/>
      <w:ind w:firstLine="200"/>
      <w:jc w:val="both"/>
    </w:pPr>
    <w:rPr>
      <w:rFonts w:hint="default" w:ascii="宋体" w:hAnsi="宋体" w:eastAsia="宋体" w:cs="宋体"/>
      <w:color w:val="000000"/>
      <w:sz w:val="21"/>
      <w:szCs w:val="21"/>
      <w:lang w:val="en-US" w:eastAsia="zh-CN" w:bidi="ar-SA"/>
    </w:rPr>
  </w:style>
  <w:style w:type="paragraph" w:customStyle="1" w:styleId="7">
    <w:name w:val="正文 A"/>
    <w:next w:val="6"/>
    <w:qFormat/>
    <w:uiPriority w:val="0"/>
    <w:pPr>
      <w:widowControl w:val="0"/>
      <w:jc w:val="both"/>
    </w:pPr>
    <w:rPr>
      <w:rFonts w:hint="default" w:ascii="Calibri" w:hAnsi="Calibri" w:eastAsia="Calibri" w:cs="Calibri"/>
      <w:color w:val="000000"/>
      <w:sz w:val="21"/>
      <w:szCs w:val="21"/>
      <w:lang w:val="en-US" w:eastAsia="zh-CN" w:bidi="ar-SA"/>
    </w:rPr>
  </w:style>
  <w:style w:type="paragraph" w:styleId="8">
    <w:name w:val="Plain Text"/>
    <w:basedOn w:val="1"/>
    <w:qFormat/>
    <w:uiPriority w:val="0"/>
    <w:rPr>
      <w:rFonts w:ascii="宋体" w:hAnsi="Courier New" w:eastAsia="宋体"/>
      <w:sz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3">
    <w:name w:val="表格样式"/>
    <w:basedOn w:val="14"/>
    <w:qFormat/>
    <w:uiPriority w:val="0"/>
    <w:rPr>
      <w:rFonts w:ascii="Calibri" w:hAnsi="Calibri"/>
      <w:sz w:val="24"/>
      <w:szCs w:val="22"/>
    </w:rPr>
  </w:style>
  <w:style w:type="paragraph" w:styleId="14">
    <w:name w:val="No Spacing"/>
    <w:qFormat/>
    <w:uiPriority w:val="1"/>
    <w:pPr>
      <w:widowControl w:val="0"/>
      <w:jc w:val="both"/>
    </w:pPr>
    <w:rPr>
      <w:rFonts w:ascii="Times New Roman" w:hAnsi="Times New Roman" w:eastAsia="仿宋_GB2312" w:cs="Times New Roman"/>
      <w:kern w:val="2"/>
      <w:sz w:val="30"/>
      <w:lang w:val="en-US" w:eastAsia="zh-CN" w:bidi="ar-SA"/>
    </w:rPr>
  </w:style>
  <w:style w:type="paragraph" w:customStyle="1" w:styleId="15">
    <w:name w:val="标题 31111"/>
    <w:basedOn w:val="1"/>
    <w:next w:val="1"/>
    <w:qFormat/>
    <w:uiPriority w:val="9"/>
    <w:pPr>
      <w:keepNext/>
      <w:keepLines/>
      <w:spacing w:before="320" w:after="200"/>
      <w:outlineLvl w:val="2"/>
    </w:pPr>
    <w:rPr>
      <w:rFonts w:ascii="Arial" w:hAnsi="Arial" w:eastAsia="Arial"/>
      <w:sz w:val="30"/>
      <w:szCs w:val="30"/>
    </w:rPr>
  </w:style>
  <w:style w:type="paragraph" w:customStyle="1" w:styleId="16">
    <w:name w:val="正文文本11"/>
    <w:basedOn w:val="1"/>
    <w:next w:val="1"/>
    <w:qFormat/>
    <w:uiPriority w:val="0"/>
    <w:pPr>
      <w:spacing w:after="120"/>
    </w:pPr>
    <w:rPr>
      <w:sz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16efb449-9b3b-4146-af1e-a3e1d44759de</errorID>
      <errorWord>；</errorWord>
      <group>L1_Word</group>
      <groupName>字词问题</groupName>
      <ability>L2_Typo</ability>
      <abilityName>字词错误</abilityName>
      <candidateList>
        <item>；在</item>
      </candidateList>
      <explain/>
      <paraID>79AE9F43</paraID>
      <start>44</start>
      <end>46</end>
      <status>modified</status>
      <modifiedWord>；在</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862fdcb-70a0-4f59-9032-172876fd6631}">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1999</Words>
  <Characters>2039</Characters>
  <Lines>0</Lines>
  <Paragraphs>0</Paragraphs>
  <TotalTime>17</TotalTime>
  <ScaleCrop>false</ScaleCrop>
  <LinksUpToDate>false</LinksUpToDate>
  <CharactersWithSpaces>2040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2026-02-25T01:16:00Z</dcterms:created>
  <dc:creator>༗࿆笨猪跳༗࿆</dc:creator>
  <cp:lastModifiedBy>༗࿆笨猪跳༗࿆</cp:lastModifiedBy>
  <cp:lastPrinted>2026-04-22T03:08:00Z</cp:lastPrinted>
  <dcterms:modified xsi:type="dcterms:W3CDTF">2026-05-18T00:47:08Z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20892A77D50F4AAF86AC6BDD546E4476_13</vt:lpwstr>
  </property>
  <property fmtid="{D5CDD505-2E9C-101B-9397-08002B2CF9AE}" pid="4" name="KSOTemplateDocerSaveRecord">
    <vt:lpwstr>eyJoZGlkIjoiYjk5ODM0YmMxOWJiYWQyNDU4MGIzYWRmYTA0ZmI5NDciLCJ1c2VySWQiOiIzMDAyNjUzMzgifQ==</vt:lpwstr>
  </property>
</Properties>
</file>