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6FCD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center"/>
        <w:textAlignment w:val="auto"/>
        <w:rPr>
          <w:rFonts w:hint="eastAsia" w:ascii="Times New Roman" w:hAnsi="Times New Roman" w:eastAsia="方正小标宋_GBK" w:cs="方正小标宋_GBK"/>
          <w:sz w:val="40"/>
          <w:szCs w:val="40"/>
        </w:rPr>
      </w:pPr>
      <w:r>
        <w:rPr>
          <w:rFonts w:hint="eastAsia" w:ascii="Times New Roman" w:hAnsi="Times New Roman" w:eastAsia="方正小标宋_GBK" w:cs="方正小标宋_GBK"/>
          <w:sz w:val="40"/>
          <w:szCs w:val="40"/>
          <w:lang w:eastAsia="zh-CN"/>
        </w:rPr>
        <w:t>关于《</w:t>
      </w:r>
      <w:r>
        <w:rPr>
          <w:rFonts w:hint="eastAsia" w:ascii="Times New Roman" w:hAnsi="Times New Roman" w:eastAsia="方正小标宋_GBK" w:cs="方正小标宋_GBK"/>
          <w:sz w:val="40"/>
          <w:szCs w:val="40"/>
        </w:rPr>
        <w:t>江门高新区・江海区文化旅游体育发展</w:t>
      </w:r>
    </w:p>
    <w:p w14:paraId="07476D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center"/>
        <w:textAlignment w:val="auto"/>
        <w:rPr>
          <w:rFonts w:hint="eastAsia" w:ascii="Times New Roman" w:hAnsi="Times New Roman" w:eastAsia="方正小标宋_GBK" w:cs="方正小标宋_GBK"/>
          <w:sz w:val="40"/>
          <w:szCs w:val="40"/>
        </w:rPr>
      </w:pPr>
      <w:r>
        <w:rPr>
          <w:rFonts w:hint="eastAsia" w:ascii="Times New Roman" w:hAnsi="Times New Roman" w:eastAsia="方正小标宋_GBK" w:cs="方正小标宋_GBK"/>
          <w:sz w:val="40"/>
          <w:szCs w:val="40"/>
        </w:rPr>
        <w:t>“十五五”规划（征求意见稿）</w:t>
      </w:r>
      <w:r>
        <w:rPr>
          <w:rFonts w:hint="eastAsia" w:ascii="Times New Roman" w:hAnsi="Times New Roman" w:eastAsia="方正小标宋_GBK" w:cs="方正小标宋_GBK"/>
          <w:sz w:val="40"/>
          <w:szCs w:val="40"/>
          <w:lang w:eastAsia="zh-CN"/>
        </w:rPr>
        <w:t>》的</w:t>
      </w:r>
      <w:r>
        <w:rPr>
          <w:rFonts w:hint="eastAsia" w:ascii="Times New Roman" w:hAnsi="Times New Roman" w:eastAsia="方正小标宋_GBK" w:cs="方正小标宋_GBK"/>
          <w:sz w:val="40"/>
          <w:szCs w:val="40"/>
        </w:rPr>
        <w:t>起草说明</w:t>
      </w:r>
    </w:p>
    <w:p w14:paraId="139F77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800" w:firstLineChars="200"/>
        <w:jc w:val="center"/>
        <w:textAlignment w:val="auto"/>
        <w:rPr>
          <w:rFonts w:hint="eastAsia" w:ascii="Times New Roman" w:hAnsi="Times New Roman" w:eastAsia="方正小标宋_GBK" w:cs="方正小标宋_GBK"/>
          <w:sz w:val="40"/>
          <w:szCs w:val="40"/>
        </w:rPr>
      </w:pPr>
    </w:p>
    <w:p w14:paraId="7D528C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Times New Roman" w:hAnsi="Times New Roman" w:eastAsia="方正仿宋_GBK" w:cs="方正仿宋_GBK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方正仿宋_GBK"/>
          <w:sz w:val="32"/>
          <w:szCs w:val="32"/>
        </w:rPr>
        <w:t>“十五五”时期是江门高新区（江海区）完善城市功能配套、增强区域文化软实力的关键阶段。</w:t>
      </w: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按照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市委、市政府和区委、区政府部署，紧扣国家、省、市文旅体发展政策，</w:t>
      </w: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我们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组织编制《江门高新区・江海区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none"/>
        </w:rPr>
        <w:t>文化旅游体育发展“十五五”规划》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none"/>
          <w:lang w:eastAsia="zh-CN"/>
        </w:rPr>
        <w:t>（以下简称《发展规划》）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none"/>
        </w:rPr>
        <w:t>，充分吸纳前期研究</w:t>
      </w:r>
      <w:r>
        <w:rPr>
          <w:rFonts w:hint="eastAsia" w:eastAsia="方正仿宋_GBK" w:cs="方正仿宋_GBK"/>
          <w:sz w:val="32"/>
          <w:szCs w:val="32"/>
          <w:highlight w:val="none"/>
          <w:lang w:eastAsia="zh-CN"/>
        </w:rPr>
        <w:t>的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none"/>
        </w:rPr>
        <w:t>各方面工作成果，形成《发展规划（征求意见稿）》，现将编制情况说明如下：</w:t>
      </w:r>
    </w:p>
    <w:p w14:paraId="14DC5D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Times New Roman" w:hAnsi="Times New Roman" w:eastAsia="方正黑体_GBK" w:cs="方正黑体_GBK"/>
          <w:sz w:val="32"/>
          <w:szCs w:val="32"/>
        </w:rPr>
      </w:pPr>
      <w:bookmarkStart w:id="0" w:name="heading_0"/>
      <w:r>
        <w:rPr>
          <w:rFonts w:hint="eastAsia" w:ascii="Times New Roman" w:hAnsi="Times New Roman" w:eastAsia="方正黑体_GBK" w:cs="方正黑体_GBK"/>
          <w:sz w:val="32"/>
          <w:szCs w:val="32"/>
        </w:rPr>
        <w:t>一、编制总体考虑</w:t>
      </w:r>
      <w:bookmarkEnd w:id="0"/>
    </w:p>
    <w:p w14:paraId="73BE15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</w:rPr>
        <w:t>本次编制严格对标高新区总体规划，立足江海区“国家高新、江海门户”定位，重点把握三方面：</w:t>
      </w:r>
    </w:p>
    <w:p w14:paraId="53C4DE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黑体_GBK" w:cs="方正黑体_GBK"/>
          <w:sz w:val="32"/>
          <w:szCs w:val="32"/>
        </w:rPr>
        <w:t>一是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坚持高位对标，确保同向贯通。全面贯彻习近平文化思想，深入学习把握国家、省、市关于“十五五”时期的</w:t>
      </w: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相关部署、要求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，</w:t>
      </w: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合理分析“十五五”时期的发展形势，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紧扣</w:t>
      </w: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我区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“十五五”总体规划目标、空间格局和重点任务，将文旅体工作作为城市功能完善、产业延伸、民生提升的重要支撑。</w:t>
      </w:r>
    </w:p>
    <w:p w14:paraId="336B71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黑体_GBK" w:cs="方正黑体_GBK"/>
          <w:sz w:val="32"/>
          <w:szCs w:val="32"/>
        </w:rPr>
        <w:t>二是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坚持问题导向，</w:t>
      </w: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聚焦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短板破解。直面“十四五</w:t>
      </w:r>
      <w:bookmarkStart w:id="2" w:name="_GoBack"/>
      <w:bookmarkEnd w:id="2"/>
      <w:r>
        <w:rPr>
          <w:rFonts w:hint="eastAsia" w:ascii="Times New Roman" w:hAnsi="Times New Roman" w:eastAsia="方正仿宋_GBK" w:cs="方正仿宋_GBK"/>
          <w:sz w:val="32"/>
          <w:szCs w:val="32"/>
        </w:rPr>
        <w:t>”期间精神文明建设系统性不强、公共文体设施滞后于人口增长、优质文旅产品供给不足、特色文化转化不够、湾区品牌影响力弱等问题，</w:t>
      </w: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提出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可量化、可落地、可考核的指标和项目，确保规划能解决实际问题。</w:t>
      </w:r>
    </w:p>
    <w:p w14:paraId="0AD428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黑体_GBK" w:cs="方正黑体_GBK"/>
          <w:sz w:val="32"/>
          <w:szCs w:val="32"/>
        </w:rPr>
        <w:t>三是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坚持立足实际，</w:t>
      </w: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彰显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江海特色。依托粤港澳大湾区西翼节点区位、工业基础与本土文化底蕴，深挖七大特质文化资源，合理设定</w:t>
      </w: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总体目标和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具体发展目标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，构建差异化发展路径，确保举措务实管用、能出实效。</w:t>
      </w:r>
    </w:p>
    <w:p w14:paraId="598B2E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</w:rPr>
      </w:pPr>
      <w:bookmarkStart w:id="1" w:name="heading_1"/>
      <w:r>
        <w:rPr>
          <w:rFonts w:hint="eastAsia" w:ascii="方正黑体_GBK" w:hAnsi="方正黑体_GBK" w:eastAsia="方正黑体_GBK" w:cs="方正黑体_GBK"/>
          <w:sz w:val="32"/>
          <w:szCs w:val="32"/>
        </w:rPr>
        <w:t>二、《</w:t>
      </w: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发展</w:t>
      </w:r>
      <w:r>
        <w:rPr>
          <w:rFonts w:hint="eastAsia" w:ascii="方正黑体_GBK" w:hAnsi="方正黑体_GBK" w:eastAsia="方正黑体_GBK" w:cs="方正黑体_GBK"/>
          <w:sz w:val="32"/>
          <w:szCs w:val="32"/>
        </w:rPr>
        <w:t>规划》基本框架和主要内容</w:t>
      </w:r>
      <w:bookmarkEnd w:id="1"/>
    </w:p>
    <w:p w14:paraId="41F623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</w:rPr>
        <w:t>本《发展规划》共五章，整体分为三部分，第一部分为形势和目标，第二部分为具体发展举措，第三部分为规划实施保障。</w:t>
      </w:r>
    </w:p>
    <w:p w14:paraId="430CAB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</w:rPr>
        <w:t>第一部分为形势和目标。</w:t>
      </w: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为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第一、二章节，主要包含四个方面内容，系统总结“十四五”发展成效、研判“十五五”发展形势，明确未来五年文旅体发展的总体要求和主要目标。</w:t>
      </w:r>
      <w:r>
        <w:rPr>
          <w:rFonts w:hint="eastAsia" w:ascii="方正黑体_GBK" w:hAnsi="方正黑体_GBK" w:eastAsia="方正黑体_GBK" w:cs="方正黑体_GBK"/>
          <w:sz w:val="32"/>
          <w:szCs w:val="32"/>
        </w:rPr>
        <w:t>一是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总结评估发展成就，全面梳理精神文明建设、公共文化服务、文艺精品创作、文旅融合发展、体育事业提升、城市形象传播等领域成效，“十四五”既定主要目标任务基本完成，文旅体服务民生、赋能发展的支撑作用持续凸显。</w:t>
      </w:r>
      <w:r>
        <w:rPr>
          <w:rFonts w:hint="eastAsia" w:ascii="方正黑体_GBK" w:hAnsi="方正黑体_GBK" w:eastAsia="方正黑体_GBK" w:cs="方正黑体_GBK"/>
          <w:sz w:val="32"/>
          <w:szCs w:val="32"/>
        </w:rPr>
        <w:t>二是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分析研判</w:t>
      </w: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当前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形势，从国家政策导向、湾区融合大势、省市部署要求、江海发展实际四个层面，研判文旅体发展面临的新机遇、新挑战，总体机遇大于挑战、优势大于压力，必须主动抢抓窗口期、找准发力点，以务实举措推动文旅体事业产业提质升级。</w:t>
      </w:r>
      <w:r>
        <w:rPr>
          <w:rFonts w:hint="eastAsia" w:ascii="方正黑体_GBK" w:hAnsi="方正黑体_GBK" w:eastAsia="方正黑体_GBK" w:cs="方正黑体_GBK"/>
          <w:sz w:val="32"/>
          <w:szCs w:val="32"/>
        </w:rPr>
        <w:t>三是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明确</w:t>
      </w: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上级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指导思想，严格对标市委、区委相关规划建议精神，</w:t>
      </w:r>
      <w:r>
        <w:rPr>
          <w:rFonts w:hint="eastAsia" w:eastAsia="方正仿宋_GBK" w:cs="方正仿宋_GBK"/>
          <w:sz w:val="32"/>
          <w:szCs w:val="32"/>
          <w:lang w:eastAsia="zh-CN"/>
        </w:rPr>
        <w:t>坚持以人民为中心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发展理念，深度融入大湾区建设和高新区全局发展布局。</w:t>
      </w:r>
      <w:r>
        <w:rPr>
          <w:rFonts w:hint="eastAsia" w:ascii="方正黑体_GBK" w:hAnsi="方正黑体_GBK" w:eastAsia="方正黑体_GBK" w:cs="方正黑体_GBK"/>
          <w:sz w:val="32"/>
          <w:szCs w:val="32"/>
        </w:rPr>
        <w:t>四是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设定未来</w:t>
      </w: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发展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目标，围绕文明素养提升、公共文体服务、文旅产业发展、全民健身普及、城市品牌塑造五大维度，量化设置约束性、预期性指标，形成可监测、可考核、可落地的目标体系。</w:t>
      </w:r>
    </w:p>
    <w:p w14:paraId="35A020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</w:rPr>
        <w:t>第二部分为具体发展举措。为第三章至第四章，紧扣事关全局和长远发展的重点领域，分系统部署“十五五”文旅体重点任务和工作举措，明确发展方向和工作抓手。</w:t>
      </w:r>
      <w:r>
        <w:rPr>
          <w:rFonts w:hint="eastAsia" w:ascii="方正黑体_GBK" w:hAnsi="方正黑体_GBK" w:eastAsia="方正黑体_GBK" w:cs="方正黑体_GBK"/>
          <w:sz w:val="32"/>
          <w:szCs w:val="32"/>
        </w:rPr>
        <w:t>一是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none"/>
        </w:rPr>
        <w:t>强化思想</w:t>
      </w:r>
      <w:r>
        <w:rPr>
          <w:rFonts w:hint="eastAsia" w:eastAsia="方正仿宋_GBK" w:cs="方正仿宋_GBK"/>
          <w:sz w:val="32"/>
          <w:szCs w:val="32"/>
          <w:highlight w:val="none"/>
          <w:lang w:eastAsia="zh-CN"/>
        </w:rPr>
        <w:t>道德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none"/>
        </w:rPr>
        <w:t>引领</w:t>
      </w:r>
      <w:r>
        <w:rPr>
          <w:rFonts w:hint="eastAsia" w:eastAsia="方正仿宋_GBK" w:cs="方正仿宋_GBK"/>
          <w:sz w:val="32"/>
          <w:szCs w:val="32"/>
          <w:highlight w:val="none"/>
          <w:lang w:eastAsia="zh-CN"/>
        </w:rPr>
        <w:t>，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none"/>
        </w:rPr>
        <w:t>涵养社会文明风尚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none"/>
          <w:lang w:eastAsia="zh-CN"/>
        </w:rPr>
        <w:t>，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none"/>
        </w:rPr>
        <w:t>建强用好新时代文明实践中心（所、站）阵地，深化理想信念教育和爱国主义教育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none"/>
          <w:lang w:eastAsia="zh-CN"/>
        </w:rPr>
        <w:t>，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深入实施公民道德建设工程，</w:t>
      </w:r>
      <w:r>
        <w:rPr>
          <w:rFonts w:hint="eastAsia" w:eastAsia="方正仿宋_GBK" w:cs="方正仿宋_GBK"/>
          <w:sz w:val="32"/>
          <w:szCs w:val="32"/>
          <w:lang w:eastAsia="zh-CN"/>
        </w:rPr>
        <w:t>深化网络安全体系和能力建设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。</w:t>
      </w: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二</w:t>
      </w:r>
      <w:r>
        <w:rPr>
          <w:rFonts w:hint="eastAsia" w:ascii="方正黑体_GBK" w:hAnsi="方正黑体_GBK" w:eastAsia="方正黑体_GBK" w:cs="方正黑体_GBK"/>
          <w:sz w:val="32"/>
          <w:szCs w:val="32"/>
        </w:rPr>
        <w:t>是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完善公共文化服务，健全区、街、村（社区）三级文体设施网络，推进重点文化场馆升级改造，深化非遗保护传承与文艺精品创作，持续丰富普惠性公共文体供给。</w:t>
      </w: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三是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构建全域文旅发展格局，</w:t>
      </w:r>
      <w:r>
        <w:rPr>
          <w:rFonts w:hint="eastAsia" w:eastAsia="方正仿宋_GBK" w:cs="方正仿宋_GBK"/>
          <w:sz w:val="32"/>
          <w:szCs w:val="32"/>
          <w:highlight w:val="none"/>
          <w:lang w:eastAsia="zh-CN"/>
        </w:rPr>
        <w:t>结合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none"/>
        </w:rPr>
        <w:t>江海</w:t>
      </w:r>
      <w:r>
        <w:rPr>
          <w:rFonts w:hint="eastAsia" w:eastAsia="方正仿宋_GBK" w:cs="方正仿宋_GBK"/>
          <w:sz w:val="32"/>
          <w:szCs w:val="32"/>
          <w:highlight w:val="none"/>
          <w:lang w:eastAsia="zh-CN"/>
        </w:rPr>
        <w:t>特色水岸资源、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none"/>
        </w:rPr>
        <w:t>工业</w:t>
      </w:r>
      <w:r>
        <w:rPr>
          <w:rFonts w:hint="eastAsia" w:eastAsia="方正仿宋_GBK" w:cs="方正仿宋_GBK"/>
          <w:sz w:val="32"/>
          <w:szCs w:val="32"/>
          <w:highlight w:val="none"/>
          <w:lang w:eastAsia="zh-CN"/>
        </w:rPr>
        <w:t>资源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none"/>
        </w:rPr>
        <w:t>、</w:t>
      </w:r>
      <w:r>
        <w:rPr>
          <w:rFonts w:hint="eastAsia" w:eastAsia="方正仿宋_GBK" w:cs="方正仿宋_GBK"/>
          <w:sz w:val="32"/>
          <w:szCs w:val="32"/>
          <w:highlight w:val="none"/>
          <w:lang w:eastAsia="zh-CN"/>
        </w:rPr>
        <w:t>生态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none"/>
        </w:rPr>
        <w:t>资源</w:t>
      </w:r>
      <w:r>
        <w:rPr>
          <w:rFonts w:hint="eastAsia" w:eastAsia="方正仿宋_GBK" w:cs="方正仿宋_GBK"/>
          <w:sz w:val="32"/>
          <w:szCs w:val="32"/>
          <w:highlight w:val="none"/>
          <w:lang w:eastAsia="zh-CN"/>
        </w:rPr>
        <w:t>、商业资源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none"/>
        </w:rPr>
        <w:t>，深耕工农文旅商融合业态，培育微度假、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none"/>
          <w:lang w:eastAsia="zh-CN"/>
        </w:rPr>
        <w:t>休闲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none"/>
        </w:rPr>
        <w:t>游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新产品、新场景。</w:t>
      </w: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四是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推进体育强区建设，优化城乡全民健身场地布局，完善10分钟健身圈，做强本土品牌赛事，推动群众体育、竞技体育</w:t>
      </w:r>
      <w:r>
        <w:rPr>
          <w:rFonts w:hint="eastAsia" w:eastAsia="方正仿宋_GBK" w:cs="方正仿宋_GBK"/>
          <w:sz w:val="32"/>
          <w:szCs w:val="32"/>
          <w:lang w:eastAsia="zh-CN"/>
        </w:rPr>
        <w:t>、人才培育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协同发展。</w:t>
      </w: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五是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提升城市品牌影响力，建强媒体传播矩阵，</w:t>
      </w:r>
      <w:r>
        <w:rPr>
          <w:rFonts w:hint="eastAsia" w:eastAsia="方正仿宋_GBK" w:cs="方正仿宋_GBK"/>
          <w:sz w:val="32"/>
          <w:szCs w:val="32"/>
          <w:lang w:eastAsia="zh-CN"/>
        </w:rPr>
        <w:t>构建江海城市形象体系，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常态化开展城市营销，持续扩大江海在粤港澳大湾区的知名度和美誉度。</w:t>
      </w:r>
    </w:p>
    <w:p w14:paraId="306903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方正仿宋_GBK"/>
          <w:sz w:val="32"/>
          <w:szCs w:val="32"/>
        </w:rPr>
        <w:t>第三部分是规划实施保障。为第五</w:t>
      </w: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章，从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强化组织保障</w:t>
      </w: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优化政策保障</w:t>
      </w: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激活社会力量</w:t>
      </w: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夯实空间保障、健全资金保障、筑牢安全底线六</w:t>
      </w: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个方面，压实工作责任、完善制度机制、统筹资源保障，推动规划各项目标任务落地落细、取得实效。</w:t>
      </w:r>
    </w:p>
    <w:sectPr>
      <w:footerReference r:id="rId3" w:type="default"/>
      <w:pgSz w:w="11905" w:h="16840"/>
      <w:pgMar w:top="2154" w:right="1587" w:bottom="1814" w:left="1587" w:header="850" w:footer="1134" w:gutter="0"/>
      <w:pgNumType w:fmt="decimal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2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23E17D">
    <w:r>
      <w:rPr>
        <w:sz w:val="21"/>
      </w:rPr>
      <w:pict>
        <v:shape id="_x0000_s2049" o:spid="_x0000_s2049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0E11EFB7">
                <w:pPr>
                  <w:pStyle w:val="2"/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>—</w:t>
                </w:r>
                <w:r>
                  <w:rPr>
                    <w:rFonts w:hint="eastAsia"/>
                    <w:sz w:val="28"/>
                    <w:szCs w:val="28"/>
                    <w:lang w:val="en-US" w:eastAsia="zh-CN"/>
                  </w:rPr>
                  <w:t xml:space="preserve">   </w:t>
                </w:r>
                <w:r>
                  <w:rPr>
                    <w:sz w:val="28"/>
                    <w:szCs w:val="28"/>
                  </w:rPr>
                  <w:t xml:space="preserve"> </w:t>
                </w:r>
                <w:r>
                  <w:rPr>
                    <w:sz w:val="28"/>
                    <w:szCs w:val="28"/>
                  </w:rPr>
                  <w:fldChar w:fldCharType="begin"/>
                </w:r>
                <w:r>
                  <w:rPr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sz w:val="28"/>
                    <w:szCs w:val="28"/>
                  </w:rPr>
                  <w:fldChar w:fldCharType="separate"/>
                </w:r>
                <w:r>
                  <w:rPr>
                    <w:sz w:val="28"/>
                    <w:szCs w:val="28"/>
                  </w:rPr>
                  <w:t>1</w:t>
                </w:r>
                <w:r>
                  <w:rPr>
                    <w:sz w:val="28"/>
                    <w:szCs w:val="28"/>
                  </w:rPr>
                  <w:fldChar w:fldCharType="end"/>
                </w:r>
                <w:r>
                  <w:rPr>
                    <w:sz w:val="28"/>
                    <w:szCs w:val="28"/>
                  </w:rPr>
                  <w:t xml:space="preserve"> </w:t>
                </w:r>
                <w:r>
                  <w:rPr>
                    <w:rFonts w:hint="eastAsia"/>
                    <w:sz w:val="28"/>
                    <w:szCs w:val="28"/>
                    <w:lang w:val="en-US" w:eastAsia="zh-CN"/>
                  </w:rPr>
                  <w:t xml:space="preserve">   </w:t>
                </w:r>
                <w:r>
                  <w:rPr>
                    <w:sz w:val="28"/>
                    <w:szCs w:val="28"/>
                  </w:rPr>
                  <w:t>—</w:t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isplayHorizontalDrawingGridEvery w:val="1"/>
  <w:displayVerticalDrawingGridEvery w:val="1"/>
  <w:noPunctuationKerning w:val="1"/>
  <w:hdrShapeDefaults>
    <o:shapelayout v:ext="edit">
      <o:idmap v:ext="edit" data="2"/>
    </o:shapelayout>
  </w:hdrShapeDefaults>
  <w:compat>
    <w:doNotExpandShiftReturn/>
    <w:doNotWrapTextWithPunct/>
    <w:doNotUseEastAsianBreakRules/>
    <w:useFELayout/>
    <w:splitPgBreakAndParaMark/>
    <w:compatSetting w:name="compatibilityMode" w:uri="http://schemas.microsoft.com/office/word" w:val="12"/>
  </w:compat>
  <w:rsids>
    <w:rsidRoot w:val="00000000"/>
    <w:rsid w:val="10A96352"/>
    <w:rsid w:val="2FF24A22"/>
    <w:rsid w:val="5BA46294"/>
    <w:rsid w:val="78D3498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 textRotate="1"/>
  </customShpExts>
</s:customData>
</file>

<file path=customXml/item2.xml><?xml version="1.0" encoding="utf-8"?>
<contractReview xmlns="http://schemas.wps.cn/vas-ai-hub/contract-review">
  <reviewItems>
    <reviewItem>
      <errorID>75cec35c-b7e0-4fb1-b8e8-ece6b3c8eaee</errorID>
      <errorWord>坚守以人民为中心</errorWord>
      <group>L1_Word</group>
      <groupName>字词问题</groupName>
      <ability>L2_Typo</ability>
      <abilityName>字词错误</abilityName>
      <candidateList>
        <item>坚持以人民为中心</item>
      </candidateList>
      <explain/>
      <paraID>430CABA4</paraID>
      <start>323</start>
      <end>331</end>
      <status>modified</status>
      <modifiedWord>坚持以人民为中心</modifiedWord>
      <trackRevisions>false</trackRevisions>
    </reviewItem>
    <reviewItem>
      <errorID>631cc1d5-2f6e-4480-9004-b49de5d5419e</errorID>
      <errorWord>10分钟健身圈</errorWord>
      <group>L1_Political</group>
      <groupName>政治性问题</groupName>
      <ability>L2_Keyword</ability>
      <abilityName>固定表述</abilityName>
      <candidateList>
        <item>15分钟健身圈</item>
      </candidateList>
      <explain>词汇“15分钟健身圈”在特定场景下为固定表述形式，请确认此处的“10分钟健身圈”是否存在不当。</explain>
      <paraID>35A020E0</paraID>
      <start>325</start>
      <end>332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ed64567-d5ec-403e-b78c-896b7c86a2c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1647</Words>
  <Characters>1648</Characters>
  <TotalTime>4</TotalTime>
  <ScaleCrop>false</ScaleCrop>
  <LinksUpToDate>false</LinksUpToDate>
  <CharactersWithSpaces>1649</CharactersWithSpaces>
  <Application>WPS Office_12.1.0.25865_F1E327BC-269C-435d-A152-05C5408002CA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2026-05-07T14:01:00Z</dcterms:created>
  <dc:creator>Apache POI</dc:creator>
  <cp:lastModifiedBy>舒颖</cp:lastModifiedBy>
  <cp:lastPrinted>2026-05-08T08:12:32Z</cp:lastPrinted>
  <dcterms:modified xsi:type="dcterms:W3CDTF">2026-05-08T08:13:26Z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eyJoZGlkIjoiNTNjYjk5ZTNjM2I1ZTM1OGQ4OThiZTExNTUxZDI5MzEiLCJ1c2VySWQiOiIzMzA0MTg3NTcifQ==</vt:lpwstr>
  </property>
  <property fmtid="{D5CDD505-2E9C-101B-9397-08002B2CF9AE}" pid="3" name="KSOProductBuildVer">
    <vt:lpwstr>2052-12.1.0.25865</vt:lpwstr>
  </property>
  <property fmtid="{D5CDD505-2E9C-101B-9397-08002B2CF9AE}" pid="4" name="ICV">
    <vt:lpwstr>FC95D8E662CF4D5CAE64CC782B96D354_12</vt:lpwstr>
  </property>
</Properties>
</file>