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207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14:paraId="1D5DBB3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方正仿宋_GBK" w:hAnsi="方正仿宋_GBK" w:eastAsia="方正仿宋_GBK" w:cs="方正仿宋_GBK"/>
          <w:sz w:val="32"/>
          <w:szCs w:val="32"/>
          <w:lang w:val="en-US" w:eastAsia="zh-CN"/>
        </w:rPr>
      </w:pPr>
    </w:p>
    <w:p w14:paraId="0D6D2A20">
      <w:pPr>
        <w:jc w:val="center"/>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2026年江门市江海区特殊困难老年人能力评估</w:t>
      </w:r>
    </w:p>
    <w:p w14:paraId="38BFE753">
      <w:pPr>
        <w:jc w:val="center"/>
        <w:rPr>
          <w:rFonts w:hint="eastAsia" w:ascii="方正小标宋_GBK" w:hAnsi="方正小标宋_GBK" w:eastAsia="方正小标宋_GBK" w:cs="方正小标宋_GBK"/>
          <w:sz w:val="40"/>
          <w:szCs w:val="40"/>
        </w:rPr>
      </w:pPr>
      <w:r>
        <w:rPr>
          <w:rFonts w:hint="default" w:ascii="Times New Roman" w:hAnsi="Times New Roman" w:eastAsia="方正小标宋_GBK" w:cs="Times New Roman"/>
          <w:sz w:val="40"/>
          <w:szCs w:val="40"/>
          <w:lang w:val="en-US" w:eastAsia="zh-CN"/>
        </w:rPr>
        <w:t>采购项目</w:t>
      </w:r>
      <w:r>
        <w:rPr>
          <w:rFonts w:hint="default" w:ascii="Times New Roman" w:hAnsi="Times New Roman" w:eastAsia="方正小标宋_GBK" w:cs="Times New Roman"/>
          <w:sz w:val="40"/>
          <w:szCs w:val="40"/>
        </w:rPr>
        <w:t>评定原则和评审方法</w:t>
      </w:r>
    </w:p>
    <w:p w14:paraId="3A5E92F3">
      <w:pPr>
        <w:jc w:val="center"/>
        <w:rPr>
          <w:rFonts w:hint="eastAsia" w:ascii="方正小标宋_GBK" w:hAnsi="方正小标宋_GBK" w:eastAsia="方正小标宋_GBK" w:cs="方正小标宋_GBK"/>
          <w:sz w:val="40"/>
          <w:szCs w:val="40"/>
        </w:rPr>
      </w:pPr>
      <w:bookmarkStart w:id="0" w:name="_GoBack"/>
      <w:bookmarkEnd w:id="0"/>
    </w:p>
    <w:p w14:paraId="65B13B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一、评定原则</w:t>
      </w:r>
    </w:p>
    <w:p w14:paraId="13E6F4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评标采用综合评估法，江门市江海区民政局将依据下列评审因素进行评标，本评审因素的总分为100分。按评审后得分由高到低顺序排列。以总得分最高的投标人作为中标候选人，中标候选人的报价为中标价。投标人总得分为投标报价和综合评价的总和。本次评标，投标报价满分20分，综合评价满分80分，总分值为100分。</w:t>
      </w:r>
    </w:p>
    <w:p w14:paraId="2ABA167F">
      <w:pPr>
        <w:pStyle w:val="8"/>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评分及评审因素：</w:t>
      </w:r>
    </w:p>
    <w:tbl>
      <w:tblPr>
        <w:tblStyle w:val="11"/>
        <w:tblW w:w="9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875"/>
        <w:gridCol w:w="1276"/>
        <w:gridCol w:w="851"/>
        <w:gridCol w:w="4252"/>
        <w:gridCol w:w="1543"/>
      </w:tblGrid>
      <w:tr w14:paraId="5642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92" w:type="dxa"/>
            <w:noWrap w:val="0"/>
            <w:vAlign w:val="center"/>
          </w:tcPr>
          <w:p w14:paraId="423B6431">
            <w:pPr>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序号</w:t>
            </w:r>
          </w:p>
        </w:tc>
        <w:tc>
          <w:tcPr>
            <w:tcW w:w="7254" w:type="dxa"/>
            <w:gridSpan w:val="4"/>
            <w:noWrap w:val="0"/>
            <w:vAlign w:val="center"/>
          </w:tcPr>
          <w:p w14:paraId="6DBF0979">
            <w:pPr>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评分项</w:t>
            </w:r>
          </w:p>
        </w:tc>
        <w:tc>
          <w:tcPr>
            <w:tcW w:w="1543" w:type="dxa"/>
            <w:noWrap w:val="0"/>
            <w:vAlign w:val="center"/>
          </w:tcPr>
          <w:p w14:paraId="5D505747">
            <w:pPr>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分值</w:t>
            </w:r>
          </w:p>
        </w:tc>
      </w:tr>
      <w:tr w14:paraId="369D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92" w:type="dxa"/>
            <w:noWrap w:val="0"/>
            <w:vAlign w:val="center"/>
          </w:tcPr>
          <w:p w14:paraId="7C4FCFA5">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p>
        </w:tc>
        <w:tc>
          <w:tcPr>
            <w:tcW w:w="8797" w:type="dxa"/>
            <w:gridSpan w:val="5"/>
            <w:noWrap w:val="0"/>
            <w:vAlign w:val="center"/>
          </w:tcPr>
          <w:p w14:paraId="56C00CFF">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投标报价（</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分）</w:t>
            </w:r>
          </w:p>
        </w:tc>
      </w:tr>
      <w:tr w14:paraId="2CF27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0" w:hRule="atLeast"/>
          <w:jc w:val="center"/>
        </w:trPr>
        <w:tc>
          <w:tcPr>
            <w:tcW w:w="792" w:type="dxa"/>
            <w:noWrap w:val="0"/>
            <w:vAlign w:val="center"/>
          </w:tcPr>
          <w:p w14:paraId="504A9020">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投标报价</w:t>
            </w:r>
          </w:p>
        </w:tc>
        <w:tc>
          <w:tcPr>
            <w:tcW w:w="7254" w:type="dxa"/>
            <w:gridSpan w:val="4"/>
            <w:noWrap w:val="0"/>
            <w:vAlign w:val="center"/>
          </w:tcPr>
          <w:p w14:paraId="45A60667">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满足招标文件要求且投标价格最低的有效投标报价为评标基准价，其价格分为满分</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分。</w:t>
            </w:r>
          </w:p>
          <w:p w14:paraId="169B5817">
            <w:pPr>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其他投标人的价格分统一按照下列公式计算：</w:t>
            </w:r>
            <w:r>
              <w:rPr>
                <w:rFonts w:hint="default" w:ascii="Times New Roman" w:hAnsi="Times New Roman" w:eastAsia="方正仿宋_GBK" w:cs="Times New Roman"/>
                <w:b/>
                <w:color w:val="000000"/>
                <w:sz w:val="32"/>
                <w:szCs w:val="32"/>
              </w:rPr>
              <w:t>投标报价得分=（评标基准价/投标报价）×</w:t>
            </w:r>
            <w:r>
              <w:rPr>
                <w:rFonts w:hint="default" w:ascii="Times New Roman" w:hAnsi="Times New Roman" w:eastAsia="方正仿宋_GBK" w:cs="Times New Roman"/>
                <w:b/>
                <w:color w:val="000000"/>
                <w:sz w:val="32"/>
                <w:szCs w:val="32"/>
                <w:lang w:val="en-US" w:eastAsia="zh-CN"/>
              </w:rPr>
              <w:t>20</w:t>
            </w:r>
            <w:r>
              <w:rPr>
                <w:rFonts w:hint="default" w:ascii="Times New Roman" w:hAnsi="Times New Roman" w:eastAsia="方正仿宋_GBK" w:cs="Times New Roman"/>
                <w:color w:val="000000"/>
                <w:sz w:val="32"/>
                <w:szCs w:val="32"/>
              </w:rPr>
              <w:t>，结果保留两位小数</w:t>
            </w:r>
            <w:r>
              <w:rPr>
                <w:rFonts w:hint="default" w:ascii="Times New Roman" w:hAnsi="Times New Roman" w:eastAsia="方正仿宋_GBK" w:cs="Times New Roman"/>
                <w:b/>
                <w:color w:val="000000"/>
                <w:sz w:val="32"/>
                <w:szCs w:val="32"/>
              </w:rPr>
              <w:t>（</w:t>
            </w:r>
            <w:r>
              <w:rPr>
                <w:rFonts w:hint="default" w:ascii="Times New Roman" w:hAnsi="Times New Roman" w:eastAsia="方正仿宋_GBK" w:cs="Times New Roman"/>
                <w:b/>
                <w:bCs/>
                <w:color w:val="000000"/>
                <w:sz w:val="32"/>
                <w:szCs w:val="32"/>
              </w:rPr>
              <w:t>有效投标文件是指未被评标委员会判定为无效标的投标文件</w:t>
            </w:r>
            <w:r>
              <w:rPr>
                <w:rFonts w:hint="default" w:ascii="Times New Roman" w:hAnsi="Times New Roman" w:eastAsia="方正仿宋_GBK" w:cs="Times New Roman"/>
                <w:b/>
                <w:color w:val="000000"/>
                <w:sz w:val="32"/>
                <w:szCs w:val="32"/>
              </w:rPr>
              <w:t>）。</w:t>
            </w:r>
          </w:p>
          <w:p w14:paraId="75091A30">
            <w:pPr>
              <w:pStyle w:val="15"/>
              <w:spacing w:before="0" w:after="0"/>
              <w:rPr>
                <w:rFonts w:hint="default" w:ascii="Times New Roman" w:hAnsi="Times New Roman" w:eastAsia="方正仿宋_GBK" w:cs="Times New Roman"/>
                <w:color w:val="000000"/>
                <w:sz w:val="32"/>
                <w:szCs w:val="32"/>
              </w:rPr>
            </w:pPr>
          </w:p>
        </w:tc>
        <w:tc>
          <w:tcPr>
            <w:tcW w:w="1543" w:type="dxa"/>
            <w:noWrap w:val="0"/>
            <w:vAlign w:val="center"/>
          </w:tcPr>
          <w:p w14:paraId="63FED12B">
            <w:pPr>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w:t>
            </w:r>
          </w:p>
        </w:tc>
      </w:tr>
      <w:tr w14:paraId="4A30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792" w:type="dxa"/>
            <w:noWrap w:val="0"/>
            <w:vAlign w:val="center"/>
          </w:tcPr>
          <w:p w14:paraId="30D67CA1">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p>
        </w:tc>
        <w:tc>
          <w:tcPr>
            <w:tcW w:w="8797" w:type="dxa"/>
            <w:gridSpan w:val="5"/>
            <w:noWrap w:val="0"/>
            <w:vAlign w:val="center"/>
          </w:tcPr>
          <w:p w14:paraId="10E8E8FA">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综合实力部分（</w:t>
            </w: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0分）</w:t>
            </w:r>
          </w:p>
        </w:tc>
      </w:tr>
      <w:tr w14:paraId="31E23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6" w:hRule="atLeast"/>
          <w:jc w:val="center"/>
        </w:trPr>
        <w:tc>
          <w:tcPr>
            <w:tcW w:w="792" w:type="dxa"/>
            <w:vMerge w:val="restart"/>
            <w:noWrap w:val="0"/>
            <w:vAlign w:val="center"/>
          </w:tcPr>
          <w:p w14:paraId="61C857C0">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综</w:t>
            </w:r>
          </w:p>
          <w:p w14:paraId="1D5DBDF7">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合</w:t>
            </w:r>
          </w:p>
          <w:p w14:paraId="70C0FBF3">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w:t>
            </w:r>
          </w:p>
          <w:p w14:paraId="6A50A1F4">
            <w:pPr>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价</w:t>
            </w:r>
          </w:p>
        </w:tc>
        <w:tc>
          <w:tcPr>
            <w:tcW w:w="875" w:type="dxa"/>
            <w:noWrap w:val="0"/>
            <w:vAlign w:val="center"/>
          </w:tcPr>
          <w:p w14:paraId="6FE18B5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序号</w:t>
            </w:r>
          </w:p>
        </w:tc>
        <w:tc>
          <w:tcPr>
            <w:tcW w:w="1276" w:type="dxa"/>
            <w:noWrap w:val="0"/>
            <w:vAlign w:val="center"/>
          </w:tcPr>
          <w:p w14:paraId="160F0D5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评分因素</w:t>
            </w:r>
          </w:p>
        </w:tc>
        <w:tc>
          <w:tcPr>
            <w:tcW w:w="851" w:type="dxa"/>
            <w:noWrap w:val="0"/>
            <w:vAlign w:val="center"/>
          </w:tcPr>
          <w:p w14:paraId="2425D8E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分值</w:t>
            </w:r>
          </w:p>
        </w:tc>
        <w:tc>
          <w:tcPr>
            <w:tcW w:w="5795" w:type="dxa"/>
            <w:gridSpan w:val="2"/>
            <w:noWrap w:val="0"/>
            <w:vAlign w:val="center"/>
          </w:tcPr>
          <w:p w14:paraId="6694CA1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评分准则</w:t>
            </w:r>
          </w:p>
        </w:tc>
      </w:tr>
      <w:tr w14:paraId="60F3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25" w:hRule="atLeast"/>
          <w:jc w:val="center"/>
        </w:trPr>
        <w:tc>
          <w:tcPr>
            <w:tcW w:w="792" w:type="dxa"/>
            <w:vMerge w:val="continue"/>
            <w:noWrap w:val="0"/>
            <w:vAlign w:val="center"/>
          </w:tcPr>
          <w:p w14:paraId="46FF4BFC">
            <w:pPr>
              <w:jc w:val="center"/>
              <w:rPr>
                <w:rFonts w:hint="default" w:ascii="Times New Roman" w:hAnsi="Times New Roman" w:cs="Times New Roman"/>
                <w:color w:val="000000"/>
                <w:sz w:val="24"/>
              </w:rPr>
            </w:pPr>
          </w:p>
        </w:tc>
        <w:tc>
          <w:tcPr>
            <w:tcW w:w="875" w:type="dxa"/>
            <w:noWrap w:val="0"/>
            <w:vAlign w:val="center"/>
          </w:tcPr>
          <w:p w14:paraId="49029E1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1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rPr>
              <w:fldChar w:fldCharType="end"/>
            </w:r>
          </w:p>
        </w:tc>
        <w:tc>
          <w:tcPr>
            <w:tcW w:w="1276" w:type="dxa"/>
            <w:noWrap w:val="0"/>
            <w:vAlign w:val="center"/>
          </w:tcPr>
          <w:p w14:paraId="65057EB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企业实力</w:t>
            </w:r>
          </w:p>
        </w:tc>
        <w:tc>
          <w:tcPr>
            <w:tcW w:w="851" w:type="dxa"/>
            <w:noWrap w:val="0"/>
            <w:vAlign w:val="center"/>
          </w:tcPr>
          <w:p w14:paraId="0F2A4A1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p>
        </w:tc>
        <w:tc>
          <w:tcPr>
            <w:tcW w:w="5795" w:type="dxa"/>
            <w:gridSpan w:val="2"/>
            <w:noWrap w:val="0"/>
            <w:vAlign w:val="center"/>
          </w:tcPr>
          <w:p w14:paraId="594C0E5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投标人具有类似项目业绩合同（2023年1月1日以后所签合同），每提供一个业绩合同得</w:t>
            </w:r>
            <w:r>
              <w:rPr>
                <w:rFonts w:hint="default" w:ascii="Times New Roman" w:hAnsi="Times New Roman" w:eastAsia="方正仿宋_GBK" w:cs="Times New Roman"/>
                <w:color w:val="000000"/>
                <w:sz w:val="30"/>
                <w:szCs w:val="30"/>
                <w:lang w:val="en-US" w:eastAsia="zh-CN"/>
              </w:rPr>
              <w:t>5</w:t>
            </w:r>
            <w:r>
              <w:rPr>
                <w:rFonts w:hint="default" w:ascii="Times New Roman" w:hAnsi="Times New Roman" w:eastAsia="方正仿宋_GBK" w:cs="Times New Roman"/>
                <w:color w:val="000000"/>
                <w:sz w:val="30"/>
                <w:szCs w:val="30"/>
              </w:rPr>
              <w:t>分，此项最高得</w:t>
            </w:r>
            <w:r>
              <w:rPr>
                <w:rFonts w:hint="default" w:ascii="Times New Roman" w:hAnsi="Times New Roman" w:eastAsia="方正仿宋_GBK" w:cs="Times New Roman"/>
                <w:color w:val="000000"/>
                <w:sz w:val="30"/>
                <w:szCs w:val="30"/>
                <w:lang w:val="en-US" w:eastAsia="zh-CN"/>
              </w:rPr>
              <w:t>10</w:t>
            </w:r>
            <w:r>
              <w:rPr>
                <w:rFonts w:hint="default" w:ascii="Times New Roman" w:hAnsi="Times New Roman" w:eastAsia="方正仿宋_GBK" w:cs="Times New Roman"/>
                <w:color w:val="000000"/>
                <w:sz w:val="30"/>
                <w:szCs w:val="30"/>
              </w:rPr>
              <w:t>分（须提供业绩合同原件、委托方的优秀评价证明原件扫描件，未提供的或提供不全的不得分）。 注：上述类似项目业绩是指投标人所提供的业绩需与本项目采购内容类似的项目业绩。</w:t>
            </w:r>
          </w:p>
        </w:tc>
      </w:tr>
      <w:tr w14:paraId="48D3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6" w:hRule="atLeast"/>
          <w:jc w:val="center"/>
        </w:trPr>
        <w:tc>
          <w:tcPr>
            <w:tcW w:w="792" w:type="dxa"/>
            <w:vMerge w:val="continue"/>
            <w:noWrap w:val="0"/>
            <w:vAlign w:val="center"/>
          </w:tcPr>
          <w:p w14:paraId="2A6AB2BF">
            <w:pPr>
              <w:jc w:val="center"/>
              <w:rPr>
                <w:rFonts w:hint="default" w:ascii="Times New Roman" w:hAnsi="Times New Roman" w:cs="Times New Roman"/>
                <w:color w:val="000000"/>
                <w:sz w:val="24"/>
              </w:rPr>
            </w:pPr>
          </w:p>
        </w:tc>
        <w:tc>
          <w:tcPr>
            <w:tcW w:w="875" w:type="dxa"/>
            <w:noWrap w:val="0"/>
            <w:vAlign w:val="center"/>
          </w:tcPr>
          <w:p w14:paraId="1E850AF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2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②</w:t>
            </w:r>
            <w:r>
              <w:rPr>
                <w:rFonts w:hint="default" w:ascii="Times New Roman" w:hAnsi="Times New Roman" w:eastAsia="方正仿宋_GBK" w:cs="Times New Roman"/>
                <w:color w:val="000000"/>
                <w:sz w:val="32"/>
                <w:szCs w:val="32"/>
              </w:rPr>
              <w:fldChar w:fldCharType="end"/>
            </w:r>
          </w:p>
        </w:tc>
        <w:tc>
          <w:tcPr>
            <w:tcW w:w="1276" w:type="dxa"/>
            <w:noWrap w:val="0"/>
            <w:vAlign w:val="center"/>
          </w:tcPr>
          <w:p w14:paraId="5AB800B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项目团队</w:t>
            </w:r>
          </w:p>
        </w:tc>
        <w:tc>
          <w:tcPr>
            <w:tcW w:w="851" w:type="dxa"/>
            <w:noWrap w:val="0"/>
            <w:vAlign w:val="center"/>
          </w:tcPr>
          <w:p w14:paraId="062BB0F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w:t>
            </w:r>
          </w:p>
        </w:tc>
        <w:tc>
          <w:tcPr>
            <w:tcW w:w="5795" w:type="dxa"/>
            <w:gridSpan w:val="2"/>
            <w:noWrap w:val="0"/>
            <w:vAlign w:val="center"/>
          </w:tcPr>
          <w:p w14:paraId="2AB100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（1）投标人拟派的</w:t>
            </w:r>
            <w:r>
              <w:rPr>
                <w:rFonts w:hint="default" w:ascii="Times New Roman" w:hAnsi="Times New Roman" w:eastAsia="方正仿宋_GBK" w:cs="Times New Roman"/>
                <w:bCs/>
                <w:color w:val="000000"/>
                <w:sz w:val="30"/>
                <w:szCs w:val="30"/>
              </w:rPr>
              <w:t>项目负责人</w:t>
            </w:r>
            <w:r>
              <w:rPr>
                <w:rFonts w:hint="default" w:ascii="Times New Roman" w:hAnsi="Times New Roman" w:eastAsia="方正仿宋_GBK" w:cs="Times New Roman"/>
                <w:color w:val="000000"/>
                <w:sz w:val="30"/>
                <w:szCs w:val="30"/>
              </w:rPr>
              <w:t>自202</w:t>
            </w:r>
            <w:r>
              <w:rPr>
                <w:rFonts w:hint="default" w:ascii="Times New Roman" w:hAnsi="Times New Roman" w:eastAsia="方正仿宋_GBK" w:cs="Times New Roman"/>
                <w:color w:val="000000"/>
                <w:sz w:val="30"/>
                <w:szCs w:val="30"/>
                <w:lang w:val="en-US" w:eastAsia="zh-CN"/>
              </w:rPr>
              <w:t>3</w:t>
            </w:r>
            <w:r>
              <w:rPr>
                <w:rFonts w:hint="default" w:ascii="Times New Roman" w:hAnsi="Times New Roman" w:eastAsia="方正仿宋_GBK" w:cs="Times New Roman"/>
                <w:color w:val="000000"/>
                <w:sz w:val="30"/>
                <w:szCs w:val="30"/>
              </w:rPr>
              <w:t>年1月以来承接类似项目业绩的得</w:t>
            </w:r>
            <w:r>
              <w:rPr>
                <w:rFonts w:hint="default" w:ascii="Times New Roman" w:hAnsi="Times New Roman" w:eastAsia="方正仿宋_GBK" w:cs="Times New Roman"/>
                <w:color w:val="000000"/>
                <w:sz w:val="30"/>
                <w:szCs w:val="30"/>
                <w:lang w:val="en-US" w:eastAsia="zh-CN"/>
              </w:rPr>
              <w:t>5</w:t>
            </w:r>
            <w:r>
              <w:rPr>
                <w:rFonts w:hint="default" w:ascii="Times New Roman" w:hAnsi="Times New Roman" w:eastAsia="方正仿宋_GBK" w:cs="Times New Roman"/>
                <w:color w:val="000000"/>
                <w:sz w:val="30"/>
                <w:szCs w:val="30"/>
              </w:rPr>
              <w:t>分（须提供业绩合同原件、项目负责人在本单位缴纳养老保险证明扫描件，未提供的或提供不全的不得分。</w:t>
            </w:r>
            <w:r>
              <w:rPr>
                <w:rFonts w:hint="default" w:ascii="Times New Roman" w:hAnsi="Times New Roman" w:eastAsia="方正仿宋_GBK" w:cs="Times New Roman"/>
                <w:bCs/>
                <w:color w:val="000000"/>
                <w:sz w:val="30"/>
                <w:szCs w:val="30"/>
              </w:rPr>
              <w:t>项目经理</w:t>
            </w:r>
            <w:r>
              <w:rPr>
                <w:rFonts w:hint="default" w:ascii="Times New Roman" w:hAnsi="Times New Roman" w:eastAsia="方正仿宋_GBK" w:cs="Times New Roman"/>
                <w:color w:val="000000"/>
                <w:sz w:val="30"/>
                <w:szCs w:val="30"/>
              </w:rPr>
              <w:t>业绩证明中须体现</w:t>
            </w:r>
            <w:r>
              <w:rPr>
                <w:rFonts w:hint="default" w:ascii="Times New Roman" w:hAnsi="Times New Roman" w:eastAsia="方正仿宋_GBK" w:cs="Times New Roman"/>
                <w:bCs/>
                <w:color w:val="000000"/>
                <w:sz w:val="30"/>
                <w:szCs w:val="30"/>
              </w:rPr>
              <w:t>项目经理</w:t>
            </w:r>
            <w:r>
              <w:rPr>
                <w:rFonts w:hint="default" w:ascii="Times New Roman" w:hAnsi="Times New Roman" w:eastAsia="方正仿宋_GBK" w:cs="Times New Roman"/>
                <w:color w:val="000000"/>
                <w:sz w:val="30"/>
                <w:szCs w:val="30"/>
              </w:rPr>
              <w:t>姓名，未体现</w:t>
            </w:r>
            <w:r>
              <w:rPr>
                <w:rFonts w:hint="default" w:ascii="Times New Roman" w:hAnsi="Times New Roman" w:eastAsia="方正仿宋_GBK" w:cs="Times New Roman"/>
                <w:bCs/>
                <w:color w:val="000000"/>
                <w:sz w:val="30"/>
                <w:szCs w:val="30"/>
              </w:rPr>
              <w:t>项目经理</w:t>
            </w:r>
            <w:r>
              <w:rPr>
                <w:rFonts w:hint="default" w:ascii="Times New Roman" w:hAnsi="Times New Roman" w:eastAsia="方正仿宋_GBK" w:cs="Times New Roman"/>
                <w:color w:val="000000"/>
                <w:sz w:val="30"/>
                <w:szCs w:val="30"/>
              </w:rPr>
              <w:t>姓名的须提供加盖业主单位出具的证明材料原件，未提供的不得分；</w:t>
            </w:r>
            <w:r>
              <w:rPr>
                <w:rFonts w:hint="default" w:ascii="Times New Roman" w:hAnsi="Times New Roman" w:eastAsia="方正仿宋_GBK" w:cs="Times New Roman"/>
                <w:bCs/>
                <w:color w:val="000000"/>
                <w:sz w:val="30"/>
                <w:szCs w:val="30"/>
              </w:rPr>
              <w:t>项目负责人</w:t>
            </w:r>
            <w:r>
              <w:rPr>
                <w:rFonts w:hint="default" w:ascii="Times New Roman" w:hAnsi="Times New Roman" w:eastAsia="方正仿宋_GBK" w:cs="Times New Roman"/>
                <w:color w:val="000000"/>
                <w:sz w:val="30"/>
                <w:szCs w:val="30"/>
              </w:rPr>
              <w:t>业绩和投标人业绩不累积加分）。</w:t>
            </w:r>
          </w:p>
          <w:p w14:paraId="54AE57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（2）投标人拟派项目负责人（须为在职员工）具有老年人能力评估评估员证书的得1分，中级评估师证书的得2分，高级评估师证书的得</w:t>
            </w:r>
            <w:r>
              <w:rPr>
                <w:rFonts w:hint="default" w:ascii="Times New Roman" w:hAnsi="Times New Roman" w:eastAsia="方正仿宋_GBK" w:cs="Times New Roman"/>
                <w:color w:val="000000"/>
                <w:sz w:val="30"/>
                <w:szCs w:val="30"/>
                <w:lang w:val="en-US" w:eastAsia="zh-CN"/>
              </w:rPr>
              <w:t>5</w:t>
            </w:r>
            <w:r>
              <w:rPr>
                <w:rFonts w:hint="default" w:ascii="Times New Roman" w:hAnsi="Times New Roman" w:eastAsia="方正仿宋_GBK" w:cs="Times New Roman"/>
                <w:color w:val="000000"/>
                <w:sz w:val="30"/>
                <w:szCs w:val="30"/>
              </w:rPr>
              <w:t>分，本项最多得</w:t>
            </w:r>
            <w:r>
              <w:rPr>
                <w:rFonts w:hint="default" w:ascii="Times New Roman" w:hAnsi="Times New Roman" w:eastAsia="方正仿宋_GBK" w:cs="Times New Roman"/>
                <w:color w:val="000000"/>
                <w:sz w:val="30"/>
                <w:szCs w:val="30"/>
                <w:lang w:val="en-US" w:eastAsia="zh-CN"/>
              </w:rPr>
              <w:t>5</w:t>
            </w:r>
            <w:r>
              <w:rPr>
                <w:rFonts w:hint="default" w:ascii="Times New Roman" w:hAnsi="Times New Roman" w:eastAsia="方正仿宋_GBK" w:cs="Times New Roman"/>
                <w:color w:val="000000"/>
                <w:sz w:val="30"/>
                <w:szCs w:val="30"/>
              </w:rPr>
              <w:t>分；</w:t>
            </w:r>
          </w:p>
          <w:p w14:paraId="36C8EFA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（3）</w:t>
            </w:r>
            <w:r>
              <w:rPr>
                <w:rFonts w:hint="default" w:ascii="Times New Roman" w:hAnsi="Times New Roman" w:eastAsia="方正仿宋_GBK" w:cs="Times New Roman"/>
                <w:color w:val="000000"/>
                <w:spacing w:val="-4"/>
                <w:sz w:val="30"/>
                <w:szCs w:val="30"/>
              </w:rPr>
              <w:t>投标人拟派项目组成员中（除项目负责人外）具有执业（助理）医师、护士、社会工作师证书的，在职的有1人得</w:t>
            </w:r>
            <w:r>
              <w:rPr>
                <w:rFonts w:hint="default" w:ascii="Times New Roman" w:hAnsi="Times New Roman" w:eastAsia="方正仿宋_GBK" w:cs="Times New Roman"/>
                <w:color w:val="000000"/>
                <w:spacing w:val="-4"/>
                <w:sz w:val="30"/>
                <w:szCs w:val="30"/>
                <w:lang w:val="en-US" w:eastAsia="zh-CN"/>
              </w:rPr>
              <w:t>3</w:t>
            </w:r>
            <w:r>
              <w:rPr>
                <w:rFonts w:hint="default" w:ascii="Times New Roman" w:hAnsi="Times New Roman" w:eastAsia="方正仿宋_GBK" w:cs="Times New Roman"/>
                <w:color w:val="000000"/>
                <w:spacing w:val="-4"/>
                <w:sz w:val="30"/>
                <w:szCs w:val="30"/>
              </w:rPr>
              <w:t>分，兼职的有1人得</w:t>
            </w:r>
            <w:r>
              <w:rPr>
                <w:rFonts w:hint="default" w:ascii="Times New Roman" w:hAnsi="Times New Roman" w:eastAsia="方正仿宋_GBK" w:cs="Times New Roman"/>
                <w:color w:val="000000"/>
                <w:spacing w:val="-4"/>
                <w:sz w:val="30"/>
                <w:szCs w:val="30"/>
                <w:lang w:val="en-US" w:eastAsia="zh-CN"/>
              </w:rPr>
              <w:t>2</w:t>
            </w:r>
            <w:r>
              <w:rPr>
                <w:rFonts w:hint="default" w:ascii="Times New Roman" w:hAnsi="Times New Roman" w:eastAsia="方正仿宋_GBK" w:cs="Times New Roman"/>
                <w:color w:val="000000"/>
                <w:spacing w:val="-4"/>
                <w:sz w:val="30"/>
                <w:szCs w:val="30"/>
              </w:rPr>
              <w:t>分，本项最多按2人计分最高得</w:t>
            </w:r>
            <w:r>
              <w:rPr>
                <w:rFonts w:hint="default" w:ascii="Times New Roman" w:hAnsi="Times New Roman" w:eastAsia="方正仿宋_GBK" w:cs="Times New Roman"/>
                <w:color w:val="000000"/>
                <w:spacing w:val="-4"/>
                <w:sz w:val="30"/>
                <w:szCs w:val="30"/>
                <w:lang w:val="en-US" w:eastAsia="zh-CN"/>
              </w:rPr>
              <w:t>5</w:t>
            </w:r>
            <w:r>
              <w:rPr>
                <w:rFonts w:hint="default" w:ascii="Times New Roman" w:hAnsi="Times New Roman" w:eastAsia="方正仿宋_GBK" w:cs="Times New Roman"/>
                <w:color w:val="000000"/>
                <w:spacing w:val="-4"/>
                <w:sz w:val="30"/>
                <w:szCs w:val="30"/>
              </w:rPr>
              <w:t>分</w:t>
            </w:r>
            <w:r>
              <w:rPr>
                <w:rFonts w:hint="default" w:ascii="Times New Roman" w:hAnsi="Times New Roman" w:eastAsia="方正仿宋_GBK" w:cs="Times New Roman"/>
                <w:color w:val="000000"/>
                <w:sz w:val="30"/>
                <w:szCs w:val="30"/>
              </w:rPr>
              <w:t>；</w:t>
            </w:r>
          </w:p>
          <w:p w14:paraId="416FD36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（4）除上述人员以外的项目组其他成员中，具有高级养老护理员证书、老年人能力评估师（中级及以上）证书、（助理）社会工作师证书、执业（助理）医师或护士证书的，在职的有1人得</w:t>
            </w:r>
            <w:r>
              <w:rPr>
                <w:rFonts w:hint="default" w:ascii="Times New Roman" w:hAnsi="Times New Roman" w:eastAsia="方正仿宋_GBK" w:cs="Times New Roman"/>
                <w:color w:val="000000"/>
                <w:sz w:val="30"/>
                <w:szCs w:val="30"/>
                <w:lang w:val="en-US" w:eastAsia="zh-CN"/>
              </w:rPr>
              <w:t>2</w:t>
            </w:r>
            <w:r>
              <w:rPr>
                <w:rFonts w:hint="default" w:ascii="Times New Roman" w:hAnsi="Times New Roman" w:eastAsia="方正仿宋_GBK" w:cs="Times New Roman"/>
                <w:color w:val="000000"/>
                <w:sz w:val="30"/>
                <w:szCs w:val="30"/>
              </w:rPr>
              <w:t>分，兼职的有1人得</w:t>
            </w:r>
            <w:r>
              <w:rPr>
                <w:rFonts w:hint="default" w:ascii="Times New Roman" w:hAnsi="Times New Roman" w:eastAsia="方正仿宋_GBK" w:cs="Times New Roman"/>
                <w:color w:val="000000"/>
                <w:sz w:val="30"/>
                <w:szCs w:val="30"/>
                <w:lang w:val="en-US" w:eastAsia="zh-CN"/>
              </w:rPr>
              <w:t>1</w:t>
            </w:r>
            <w:r>
              <w:rPr>
                <w:rFonts w:hint="default" w:ascii="Times New Roman" w:hAnsi="Times New Roman" w:eastAsia="方正仿宋_GBK" w:cs="Times New Roman"/>
                <w:color w:val="000000"/>
                <w:sz w:val="30"/>
                <w:szCs w:val="30"/>
              </w:rPr>
              <w:t>分，本项最多按4人计分最高得</w:t>
            </w:r>
            <w:r>
              <w:rPr>
                <w:rFonts w:hint="default" w:ascii="Times New Roman" w:hAnsi="Times New Roman" w:eastAsia="方正仿宋_GBK" w:cs="Times New Roman"/>
                <w:color w:val="000000"/>
                <w:sz w:val="30"/>
                <w:szCs w:val="30"/>
                <w:lang w:val="en-US" w:eastAsia="zh-CN"/>
              </w:rPr>
              <w:t>5</w:t>
            </w:r>
            <w:r>
              <w:rPr>
                <w:rFonts w:hint="default" w:ascii="Times New Roman" w:hAnsi="Times New Roman" w:eastAsia="方正仿宋_GBK" w:cs="Times New Roman"/>
                <w:color w:val="000000"/>
                <w:sz w:val="30"/>
                <w:szCs w:val="30"/>
              </w:rPr>
              <w:t>分。</w:t>
            </w:r>
          </w:p>
          <w:p w14:paraId="0C5DC78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注：须提供相关人员证书原件扫描件、在职员工提供从投标截止之日当月向前1个月已在本单位缴纳养老保险证明原件扫描件或在本单位已缴纳养老保险承诺书（须承诺从投标截止之日当月向前1个月已在本单位缴纳养老保险，未提供的或提供不全的不得分），兼职员工无需提供本单位缴纳养老保险证明材料，在职或兼职需在“投入本项目人员配置表”注明，未提供或提供不全的不得分。上述人员一人多证不重复计分。</w:t>
            </w:r>
          </w:p>
        </w:tc>
      </w:tr>
      <w:tr w14:paraId="7C544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39" w:hRule="atLeast"/>
          <w:jc w:val="center"/>
        </w:trPr>
        <w:tc>
          <w:tcPr>
            <w:tcW w:w="792" w:type="dxa"/>
            <w:vMerge w:val="continue"/>
            <w:noWrap w:val="0"/>
            <w:vAlign w:val="center"/>
          </w:tcPr>
          <w:p w14:paraId="03D4BC89">
            <w:pPr>
              <w:jc w:val="center"/>
              <w:rPr>
                <w:rFonts w:hint="default" w:ascii="Times New Roman" w:hAnsi="Times New Roman" w:cs="Times New Roman"/>
                <w:color w:val="000000"/>
                <w:sz w:val="24"/>
              </w:rPr>
            </w:pPr>
          </w:p>
        </w:tc>
        <w:tc>
          <w:tcPr>
            <w:tcW w:w="875" w:type="dxa"/>
            <w:noWrap w:val="0"/>
            <w:vAlign w:val="center"/>
          </w:tcPr>
          <w:p w14:paraId="224B080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3 \* GB3 \* MERGEFORMAT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③</w:t>
            </w:r>
            <w:r>
              <w:rPr>
                <w:rFonts w:hint="default" w:ascii="Times New Roman" w:hAnsi="Times New Roman" w:eastAsia="方正仿宋_GBK" w:cs="Times New Roman"/>
                <w:color w:val="000000"/>
                <w:sz w:val="32"/>
                <w:szCs w:val="32"/>
              </w:rPr>
              <w:fldChar w:fldCharType="end"/>
            </w:r>
          </w:p>
        </w:tc>
        <w:tc>
          <w:tcPr>
            <w:tcW w:w="1276" w:type="dxa"/>
            <w:noWrap w:val="0"/>
            <w:vAlign w:val="center"/>
          </w:tcPr>
          <w:p w14:paraId="6E63C9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实施方案</w:t>
            </w:r>
          </w:p>
        </w:tc>
        <w:tc>
          <w:tcPr>
            <w:tcW w:w="851" w:type="dxa"/>
            <w:noWrap w:val="0"/>
            <w:vAlign w:val="center"/>
          </w:tcPr>
          <w:p w14:paraId="22CEE5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50</w:t>
            </w:r>
          </w:p>
        </w:tc>
        <w:tc>
          <w:tcPr>
            <w:tcW w:w="5795" w:type="dxa"/>
            <w:gridSpan w:val="2"/>
            <w:noWrap w:val="0"/>
            <w:vAlign w:val="center"/>
          </w:tcPr>
          <w:p w14:paraId="2EC07A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Cs/>
                <w:color w:val="000000"/>
                <w:sz w:val="30"/>
                <w:szCs w:val="30"/>
              </w:rPr>
            </w:pPr>
            <w:r>
              <w:rPr>
                <w:rFonts w:hint="default" w:ascii="Times New Roman" w:hAnsi="Times New Roman" w:eastAsia="方正仿宋_GBK" w:cs="Times New Roman"/>
                <w:bCs/>
                <w:color w:val="000000"/>
                <w:sz w:val="30"/>
                <w:szCs w:val="30"/>
              </w:rPr>
              <w:t>（1）评标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根据各投标人项目</w:t>
            </w:r>
            <w:r>
              <w:rPr>
                <w:rFonts w:hint="default" w:ascii="Times New Roman" w:hAnsi="Times New Roman" w:eastAsia="方正仿宋_GBK" w:cs="Times New Roman"/>
                <w:color w:val="000000"/>
                <w:sz w:val="30"/>
                <w:szCs w:val="30"/>
              </w:rPr>
              <w:t>实施方案</w:t>
            </w:r>
            <w:r>
              <w:rPr>
                <w:rFonts w:hint="default" w:ascii="Times New Roman" w:hAnsi="Times New Roman" w:eastAsia="方正仿宋_GBK" w:cs="Times New Roman"/>
                <w:bCs/>
                <w:color w:val="000000"/>
                <w:sz w:val="30"/>
                <w:szCs w:val="30"/>
              </w:rPr>
              <w:t>中</w:t>
            </w:r>
            <w:r>
              <w:rPr>
                <w:rFonts w:hint="default" w:ascii="Times New Roman" w:hAnsi="Times New Roman" w:eastAsia="方正仿宋_GBK" w:cs="Times New Roman"/>
                <w:color w:val="000000"/>
                <w:sz w:val="30"/>
                <w:szCs w:val="30"/>
              </w:rPr>
              <w:t>项目总体评估思路</w:t>
            </w:r>
            <w:r>
              <w:rPr>
                <w:rFonts w:hint="default" w:ascii="Times New Roman" w:hAnsi="Times New Roman" w:eastAsia="方正仿宋_GBK" w:cs="Times New Roman"/>
                <w:bCs/>
                <w:color w:val="000000"/>
                <w:sz w:val="30"/>
                <w:szCs w:val="30"/>
              </w:rPr>
              <w:t>（</w:t>
            </w:r>
            <w:r>
              <w:rPr>
                <w:rFonts w:hint="default" w:ascii="Times New Roman" w:hAnsi="Times New Roman" w:eastAsia="方正仿宋_GBK" w:cs="Times New Roman"/>
                <w:color w:val="000000"/>
                <w:sz w:val="30"/>
                <w:szCs w:val="30"/>
              </w:rPr>
              <w:t>包括投标人对本项目的背景分析、评估认识、服务定位、管理理念及符合政策法规的整体设想等</w:t>
            </w:r>
            <w:r>
              <w:rPr>
                <w:rFonts w:hint="default" w:ascii="Times New Roman" w:hAnsi="Times New Roman" w:eastAsia="方正仿宋_GBK" w:cs="Times New Roman"/>
                <w:bCs/>
                <w:color w:val="000000"/>
                <w:sz w:val="30"/>
                <w:szCs w:val="30"/>
              </w:rPr>
              <w:t>）进行评定，方案科学合理性强、内容详尽细致、针对性和落地性强，满足项目要求性强的得10分；方案科学合理性较强、内容符合性较强、针对性和落地性较强，满足项目要求性较强的得9.5分；方案科学合理性一般、内容符合性一般、针对性和落地性一般，满足项目要求性一般的得9分（</w:t>
            </w:r>
            <w:r>
              <w:rPr>
                <w:rFonts w:hint="default" w:ascii="Times New Roman" w:hAnsi="Times New Roman" w:eastAsia="方正仿宋_GBK" w:cs="Times New Roman"/>
                <w:color w:val="000000"/>
                <w:sz w:val="30"/>
                <w:szCs w:val="30"/>
              </w:rPr>
              <w:t>未提供此实施方案的不得分</w:t>
            </w:r>
            <w:r>
              <w:rPr>
                <w:rFonts w:hint="default" w:ascii="Times New Roman" w:hAnsi="Times New Roman" w:eastAsia="方正仿宋_GBK" w:cs="Times New Roman"/>
                <w:bCs/>
                <w:color w:val="000000"/>
                <w:sz w:val="30"/>
                <w:szCs w:val="30"/>
              </w:rPr>
              <w:t>）。</w:t>
            </w:r>
          </w:p>
          <w:p w14:paraId="43FDAF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bCs/>
                <w:color w:val="000000"/>
                <w:sz w:val="30"/>
                <w:szCs w:val="30"/>
              </w:rPr>
              <w:t>（2）评标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根据各投标人项目实施方案中</w:t>
            </w:r>
            <w:r>
              <w:rPr>
                <w:rFonts w:hint="default" w:ascii="Times New Roman" w:hAnsi="Times New Roman" w:eastAsia="方正仿宋_GBK" w:cs="Times New Roman"/>
                <w:color w:val="000000"/>
                <w:sz w:val="30"/>
                <w:szCs w:val="30"/>
              </w:rPr>
              <w:t>组织架构方案</w:t>
            </w:r>
            <w:r>
              <w:rPr>
                <w:rFonts w:hint="default" w:ascii="Times New Roman" w:hAnsi="Times New Roman" w:eastAsia="方正仿宋_GBK" w:cs="Times New Roman"/>
                <w:bCs/>
                <w:color w:val="000000"/>
                <w:sz w:val="30"/>
                <w:szCs w:val="30"/>
              </w:rPr>
              <w:t>（</w:t>
            </w:r>
            <w:r>
              <w:rPr>
                <w:rFonts w:hint="default" w:ascii="Times New Roman" w:hAnsi="Times New Roman" w:eastAsia="方正仿宋_GBK" w:cs="Times New Roman"/>
                <w:color w:val="000000"/>
                <w:sz w:val="30"/>
                <w:szCs w:val="30"/>
              </w:rPr>
              <w:t>对本项目所投入的专业技术力量、服务团队、项目组织框架职责划分、管理方案等内容</w:t>
            </w:r>
            <w:r>
              <w:rPr>
                <w:rFonts w:hint="default" w:ascii="Times New Roman" w:hAnsi="Times New Roman" w:eastAsia="方正仿宋_GBK" w:cs="Times New Roman"/>
                <w:bCs/>
                <w:color w:val="000000"/>
                <w:sz w:val="30"/>
                <w:szCs w:val="30"/>
              </w:rPr>
              <w:t>）进行评定，</w:t>
            </w:r>
            <w:r>
              <w:rPr>
                <w:rFonts w:hint="default" w:ascii="Times New Roman" w:hAnsi="Times New Roman" w:eastAsia="方正仿宋_GBK" w:cs="Times New Roman"/>
                <w:color w:val="000000"/>
                <w:sz w:val="30"/>
                <w:szCs w:val="30"/>
              </w:rPr>
              <w:t>服务团队专业且经验丰富，内部管理制度方案科学合理，质量保证进度方案详细具体的得10分；服务团队较为专业，内部管理制度方案较为合理，质量保证进度方案基本完整的得9.5分；服务团队专业性一般，内部管理制度方案一般，质量保证进度方案一般的得9分（未提供此实施方案的不得分）。</w:t>
            </w:r>
            <w:r>
              <w:rPr>
                <w:rFonts w:hint="default" w:ascii="Times New Roman" w:hAnsi="Times New Roman" w:eastAsia="方正仿宋_GBK" w:cs="Times New Roman"/>
                <w:color w:val="000000"/>
                <w:sz w:val="30"/>
                <w:szCs w:val="30"/>
              </w:rPr>
              <w:br w:type="textWrapping" w:clear="all"/>
            </w:r>
            <w:r>
              <w:rPr>
                <w:rFonts w:hint="default" w:ascii="Times New Roman" w:hAnsi="Times New Roman" w:eastAsia="方正仿宋_GBK" w:cs="Times New Roman"/>
                <w:bCs/>
                <w:color w:val="000000"/>
                <w:sz w:val="30"/>
                <w:szCs w:val="30"/>
              </w:rPr>
              <w:t>（3）评标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根据各投标人项目实施方案中</w:t>
            </w:r>
            <w:r>
              <w:rPr>
                <w:rFonts w:hint="default" w:ascii="Times New Roman" w:hAnsi="Times New Roman" w:eastAsia="方正仿宋_GBK" w:cs="Times New Roman"/>
                <w:color w:val="000000"/>
                <w:sz w:val="30"/>
                <w:szCs w:val="30"/>
                <w:lang w:bidi="ar"/>
              </w:rPr>
              <w:t>评估服务质量保证措施</w:t>
            </w:r>
            <w:r>
              <w:rPr>
                <w:rFonts w:hint="default" w:ascii="Times New Roman" w:hAnsi="Times New Roman" w:eastAsia="方正仿宋_GBK" w:cs="Times New Roman"/>
                <w:bCs/>
                <w:color w:val="000000"/>
                <w:sz w:val="30"/>
                <w:szCs w:val="30"/>
              </w:rPr>
              <w:t>（包括</w:t>
            </w:r>
            <w:r>
              <w:rPr>
                <w:rFonts w:hint="default" w:ascii="Times New Roman" w:hAnsi="Times New Roman" w:eastAsia="方正仿宋_GBK" w:cs="Times New Roman"/>
                <w:color w:val="000000"/>
                <w:spacing w:val="2"/>
                <w:sz w:val="30"/>
                <w:szCs w:val="30"/>
              </w:rPr>
              <w:t>评估服务工作流程、进度安排、质量保证措施、安全保证措施、计划保障措施等</w:t>
            </w:r>
            <w:r>
              <w:rPr>
                <w:rFonts w:hint="default" w:ascii="Times New Roman" w:hAnsi="Times New Roman" w:eastAsia="方正仿宋_GBK" w:cs="Times New Roman"/>
                <w:bCs/>
                <w:color w:val="000000"/>
                <w:sz w:val="30"/>
                <w:szCs w:val="30"/>
              </w:rPr>
              <w:t>）进行评定，方案科学合理性强、落地性强，满足项目要求性强的得10分；方案科学合理性较强、落地性较强，满足项目要求性较强的得9.5分；方案科学合理性一般、落地性一般，满足项目要求性一般的得9分</w:t>
            </w:r>
            <w:r>
              <w:rPr>
                <w:rFonts w:hint="default" w:ascii="Times New Roman" w:hAnsi="Times New Roman" w:eastAsia="方正仿宋_GBK" w:cs="Times New Roman"/>
                <w:color w:val="000000"/>
                <w:sz w:val="30"/>
                <w:szCs w:val="30"/>
              </w:rPr>
              <w:t>（未提供此实施方案的不得分）。</w:t>
            </w:r>
          </w:p>
          <w:p w14:paraId="79AE9F43">
            <w:pPr>
              <w:pStyle w:val="2"/>
              <w:keepNext w:val="0"/>
              <w:keepLines w:val="0"/>
              <w:pageBreakBefore w:val="0"/>
              <w:kinsoku/>
              <w:wordWrap/>
              <w:overflowPunct/>
              <w:topLinePunct w:val="0"/>
              <w:autoSpaceDE/>
              <w:autoSpaceDN/>
              <w:bidi w:val="0"/>
              <w:adjustRightInd/>
              <w:snapToGrid/>
              <w:spacing w:line="300" w:lineRule="exact"/>
              <w:ind w:firstLine="0"/>
              <w:textAlignment w:val="auto"/>
              <w:rPr>
                <w:rFonts w:hint="default" w:ascii="Times New Roman" w:hAnsi="Times New Roman" w:eastAsia="方正仿宋_GBK" w:cs="Times New Roman"/>
                <w:bCs/>
                <w:color w:val="000000"/>
                <w:sz w:val="30"/>
                <w:szCs w:val="30"/>
              </w:rPr>
            </w:pPr>
            <w:r>
              <w:rPr>
                <w:rFonts w:hint="default" w:ascii="Times New Roman" w:hAnsi="Times New Roman" w:eastAsia="方正仿宋_GBK" w:cs="Times New Roman"/>
                <w:bCs/>
                <w:color w:val="000000"/>
                <w:sz w:val="30"/>
                <w:szCs w:val="30"/>
              </w:rPr>
              <w:t>（4）评标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根据各投标人项目实施方案中协调配合方案（投标人与相关部门、机构协调配合方案</w:t>
            </w:r>
            <w:r>
              <w:rPr>
                <w:rFonts w:hint="eastAsia" w:ascii="Times New Roman" w:hAnsi="Times New Roman" w:eastAsia="方正仿宋_GBK" w:cs="Times New Roman"/>
                <w:bCs/>
                <w:color w:val="000000"/>
                <w:sz w:val="30"/>
                <w:szCs w:val="30"/>
                <w:lang w:eastAsia="zh-CN"/>
              </w:rPr>
              <w:t>；在</w:t>
            </w:r>
            <w:r>
              <w:rPr>
                <w:rFonts w:hint="default" w:ascii="Times New Roman" w:hAnsi="Times New Roman" w:eastAsia="方正仿宋_GBK" w:cs="Times New Roman"/>
                <w:bCs/>
                <w:color w:val="000000"/>
                <w:sz w:val="30"/>
                <w:szCs w:val="30"/>
              </w:rPr>
              <w:t>评估过程中与老人及家属的沟通方案等）进行评定，方案完整合理、切实可行的得10分；方案具体、可行性较强的得9.5分；方案简单、可行性一般的得9分（未提供实施方案的此项不得分）。</w:t>
            </w:r>
          </w:p>
          <w:p w14:paraId="33B6EB19">
            <w:pPr>
              <w:pStyle w:val="2"/>
              <w:keepNext w:val="0"/>
              <w:keepLines w:val="0"/>
              <w:pageBreakBefore w:val="0"/>
              <w:kinsoku/>
              <w:wordWrap/>
              <w:overflowPunct/>
              <w:topLinePunct w:val="0"/>
              <w:autoSpaceDE/>
              <w:autoSpaceDN/>
              <w:bidi w:val="0"/>
              <w:adjustRightInd/>
              <w:snapToGrid/>
              <w:spacing w:line="300" w:lineRule="exact"/>
              <w:ind w:firstLine="0"/>
              <w:textAlignment w:val="auto"/>
              <w:rPr>
                <w:rFonts w:hint="default" w:ascii="Times New Roman" w:hAnsi="Times New Roman" w:eastAsia="方正仿宋_GBK" w:cs="Times New Roman"/>
                <w:bCs/>
                <w:color w:val="000000"/>
                <w:sz w:val="30"/>
                <w:szCs w:val="30"/>
              </w:rPr>
            </w:pPr>
            <w:r>
              <w:rPr>
                <w:rFonts w:hint="default" w:ascii="Times New Roman" w:hAnsi="Times New Roman" w:eastAsia="方正仿宋_GBK" w:cs="Times New Roman"/>
                <w:bCs/>
                <w:color w:val="000000"/>
                <w:sz w:val="30"/>
                <w:szCs w:val="30"/>
              </w:rPr>
              <w:t>（5）评标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根据各投标人项目实施方案中应急方案（包括项目可能出现的突发事件的应急处理方案及保障措施）进行评定，方案完整合理、切实可行的得10分；方案具体、可行性较强的得9.5分；方案简单、可行性一般的得9分（未提供实施方案的此项不得分）。</w:t>
            </w:r>
          </w:p>
          <w:p w14:paraId="0069E04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bCs/>
                <w:color w:val="000000"/>
                <w:sz w:val="30"/>
                <w:szCs w:val="30"/>
              </w:rPr>
              <w:t>注：评标</w:t>
            </w:r>
            <w:r>
              <w:rPr>
                <w:rFonts w:hint="default" w:ascii="Times New Roman" w:hAnsi="Times New Roman" w:eastAsia="方正仿宋_GBK" w:cs="Times New Roman"/>
                <w:bCs/>
                <w:color w:val="000000"/>
                <w:sz w:val="30"/>
                <w:szCs w:val="30"/>
                <w:lang w:val="en-US" w:eastAsia="zh-CN"/>
              </w:rPr>
              <w:t>小组</w:t>
            </w:r>
            <w:r>
              <w:rPr>
                <w:rFonts w:hint="default" w:ascii="Times New Roman" w:hAnsi="Times New Roman" w:eastAsia="方正仿宋_GBK" w:cs="Times New Roman"/>
                <w:bCs/>
                <w:color w:val="000000"/>
                <w:sz w:val="30"/>
                <w:szCs w:val="30"/>
              </w:rPr>
              <w:t>对各个评审因素进行量化时，应当将量化指标建立在同一基础或者同一标准上，使各投标文件具有可比性。</w:t>
            </w:r>
          </w:p>
        </w:tc>
      </w:tr>
    </w:tbl>
    <w:p w14:paraId="39F05590">
      <w:pPr>
        <w:numPr>
          <w:ilvl w:val="0"/>
          <w:numId w:val="0"/>
        </w:numPr>
        <w:rPr>
          <w:rFonts w:hint="eastAsia"/>
          <w:sz w:val="32"/>
          <w:szCs w:val="32"/>
        </w:rPr>
      </w:pPr>
    </w:p>
    <w:sectPr>
      <w:headerReference r:id="rId3" w:type="default"/>
      <w:footerReference r:id="rId4" w:type="default"/>
      <w:pgSz w:w="11906" w:h="16838"/>
      <w:pgMar w:top="1440" w:right="1800" w:bottom="120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C36B2114-2219-4C22-942C-D9608FEDF8C5}"/>
  </w:font>
  <w:font w:name="方正小标宋_GBK">
    <w:panose1 w:val="03000509000000000000"/>
    <w:charset w:val="86"/>
    <w:family w:val="auto"/>
    <w:pitch w:val="default"/>
    <w:sig w:usb0="00000001" w:usb1="080E0000" w:usb2="00000000" w:usb3="00000000" w:csb0="00040000" w:csb1="00000000"/>
    <w:embedRegular r:id="rId2" w:fontKey="{A8297C51-0C92-4DED-9E48-5DD3ABB8BBA3}"/>
  </w:font>
  <w:font w:name="方正黑体_GBK">
    <w:panose1 w:val="03000509000000000000"/>
    <w:charset w:val="86"/>
    <w:family w:val="auto"/>
    <w:pitch w:val="default"/>
    <w:sig w:usb0="00000001" w:usb1="080E0000" w:usb2="00000000" w:usb3="00000000" w:csb0="00040000" w:csb1="00000000"/>
    <w:embedRegular r:id="rId3" w:fontKey="{2420E924-A3B3-4304-B50D-92139F4481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A0C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0325">
                          <w:pPr>
                            <w:pStyle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30325">
                    <w:pPr>
                      <w:pStyle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9B9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FA75"/>
    <w:multiLevelType w:val="singleLevel"/>
    <w:tmpl w:val="830CFA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F2F4D"/>
    <w:rsid w:val="12663C29"/>
    <w:rsid w:val="152A3C75"/>
    <w:rsid w:val="15C26140"/>
    <w:rsid w:val="175704A3"/>
    <w:rsid w:val="1F8D3A41"/>
    <w:rsid w:val="489F2F4D"/>
    <w:rsid w:val="68F92350"/>
    <w:rsid w:val="71515C81"/>
    <w:rsid w:val="7F66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111"/>
    <w:basedOn w:val="3"/>
    <w:next w:val="1"/>
    <w:qFormat/>
    <w:uiPriority w:val="0"/>
    <w:pPr>
      <w:spacing w:line="360" w:lineRule="auto"/>
      <w:ind w:firstLine="200"/>
    </w:pPr>
    <w:rPr>
      <w:rFonts w:ascii="仿宋_GB2312" w:eastAsia="仿宋_GB2312"/>
      <w:sz w:val="30"/>
      <w:szCs w:val="30"/>
    </w:rPr>
  </w:style>
  <w:style w:type="paragraph" w:customStyle="1" w:styleId="3">
    <w:name w:val="正文文本112"/>
    <w:basedOn w:val="1"/>
    <w:next w:val="4"/>
    <w:qFormat/>
    <w:uiPriority w:val="0"/>
    <w:pPr>
      <w:spacing w:after="120"/>
    </w:pPr>
    <w:rPr>
      <w:sz w:val="28"/>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
    <w:name w:val="段"/>
    <w:next w:val="7"/>
    <w:qFormat/>
    <w:uiPriority w:val="0"/>
    <w:pPr>
      <w:widowControl w:val="0"/>
      <w:ind w:firstLine="200"/>
      <w:jc w:val="both"/>
    </w:pPr>
    <w:rPr>
      <w:rFonts w:hint="default" w:ascii="宋体" w:hAnsi="宋体" w:eastAsia="宋体" w:cs="宋体"/>
      <w:color w:val="000000"/>
      <w:sz w:val="21"/>
      <w:szCs w:val="21"/>
      <w:lang w:val="en-US" w:eastAsia="zh-CN" w:bidi="ar-SA"/>
    </w:rPr>
  </w:style>
  <w:style w:type="paragraph" w:customStyle="1" w:styleId="7">
    <w:name w:val="正文 A"/>
    <w:next w:val="6"/>
    <w:qFormat/>
    <w:uiPriority w:val="0"/>
    <w:pPr>
      <w:widowControl w:val="0"/>
      <w:jc w:val="both"/>
    </w:pPr>
    <w:rPr>
      <w:rFonts w:hint="default" w:ascii="Calibri" w:hAnsi="Calibri" w:eastAsia="Calibri" w:cs="Calibri"/>
      <w:color w:val="000000"/>
      <w:sz w:val="21"/>
      <w:szCs w:val="21"/>
      <w:lang w:val="en-US" w:eastAsia="zh-CN" w:bidi="ar-SA"/>
    </w:rPr>
  </w:style>
  <w:style w:type="paragraph" w:styleId="8">
    <w:name w:val="Plain Text"/>
    <w:basedOn w:val="1"/>
    <w:qFormat/>
    <w:uiPriority w:val="0"/>
    <w:rPr>
      <w:rFonts w:ascii="宋体" w:hAnsi="Courier New" w:eastAsia="宋体"/>
      <w:sz w:val="21"/>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表格样式"/>
    <w:basedOn w:val="14"/>
    <w:qFormat/>
    <w:uiPriority w:val="0"/>
    <w:rPr>
      <w:rFonts w:ascii="Calibri" w:hAnsi="Calibri"/>
      <w:sz w:val="24"/>
      <w:szCs w:val="22"/>
    </w:rPr>
  </w:style>
  <w:style w:type="paragraph" w:styleId="14">
    <w:name w:val="No Spacing"/>
    <w:qFormat/>
    <w:uiPriority w:val="1"/>
    <w:pPr>
      <w:widowControl w:val="0"/>
      <w:jc w:val="both"/>
    </w:pPr>
    <w:rPr>
      <w:rFonts w:ascii="Times New Roman" w:hAnsi="Times New Roman" w:eastAsia="仿宋_GB2312" w:cs="Times New Roman"/>
      <w:kern w:val="2"/>
      <w:sz w:val="30"/>
      <w:lang w:val="en-US" w:eastAsia="zh-CN" w:bidi="ar-SA"/>
    </w:rPr>
  </w:style>
  <w:style w:type="paragraph" w:customStyle="1" w:styleId="15">
    <w:name w:val="标题 31111"/>
    <w:basedOn w:val="1"/>
    <w:next w:val="1"/>
    <w:qFormat/>
    <w:uiPriority w:val="9"/>
    <w:pPr>
      <w:keepNext/>
      <w:keepLines/>
      <w:spacing w:before="320" w:after="200"/>
      <w:outlineLvl w:val="2"/>
    </w:pPr>
    <w:rPr>
      <w:rFonts w:ascii="Arial" w:hAnsi="Arial" w:eastAsia="Arial"/>
      <w:sz w:val="30"/>
      <w:szCs w:val="30"/>
    </w:rPr>
  </w:style>
  <w:style w:type="paragraph" w:customStyle="1" w:styleId="16">
    <w:name w:val="正文文本11"/>
    <w:basedOn w:val="1"/>
    <w:next w:val="1"/>
    <w:qFormat/>
    <w:uiPriority w:val="0"/>
    <w:pPr>
      <w:spacing w:after="12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16efb449-9b3b-4146-af1e-a3e1d44759de</errorID>
      <errorWord>；</errorWord>
      <group>L1_Word</group>
      <groupName>字词问题</groupName>
      <ability>L2_Typo</ability>
      <abilityName>字词错误</abilityName>
      <candidateList>
        <item>；在</item>
      </candidateList>
      <explain/>
      <paraID>79AE9F43</paraID>
      <start>44</start>
      <end>46</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2fdcb-70a0-4f59-9032-172876fd663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1999</Words>
  <Characters>2039</Characters>
  <Lines>0</Lines>
  <Paragraphs>0</Paragraphs>
  <TotalTime>17</TotalTime>
  <ScaleCrop>false</ScaleCrop>
  <LinksUpToDate>false</LinksUpToDate>
  <CharactersWithSpaces>2040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2026-02-25T01:16:00Z</dcterms:created>
  <dc:creator>༗࿆笨猪跳༗࿆</dc:creator>
  <cp:lastModifiedBy>Gandalf©</cp:lastModifiedBy>
  <cp:lastPrinted>2026-04-22T03:08:00Z</cp:lastPrinted>
  <dcterms:modified xsi:type="dcterms:W3CDTF">2026-04-23T09:00:55Z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20892A77D50F4AAF86AC6BDD546E4476_13</vt:lpwstr>
  </property>
  <property fmtid="{D5CDD505-2E9C-101B-9397-08002B2CF9AE}" pid="4" name="KSOTemplateDocerSaveRecord">
    <vt:lpwstr>eyJoZGlkIjoiM2Y1NzljOTZjNzJjYzk5NTUzZjE4ZTJlMDgxYWM3ZWMiLCJ1c2VySWQiOiI0NDY4MDg0MjgifQ==</vt:lpwstr>
  </property>
</Properties>
</file>