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8.6 -->
  <w:body>
    <w:p w14:paraId="3FC61B2B">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540" w:lineRule="atLeast"/>
        <w:ind w:left="0" w:right="0" w:firstLine="0"/>
        <w:jc w:val="center"/>
        <w:rPr>
          <w:rFonts w:ascii="微软雅黑" w:eastAsia="微软雅黑" w:hAnsi="微软雅黑" w:cs="微软雅黑"/>
          <w:b w:val="0"/>
          <w:bCs w:val="0"/>
          <w:i w:val="0"/>
          <w:iCs w:val="0"/>
          <w:caps w:val="0"/>
          <w:color w:val="333333"/>
          <w:spacing w:val="0"/>
          <w:sz w:val="36"/>
          <w:szCs w:val="36"/>
        </w:rPr>
      </w:pPr>
      <w:bookmarkStart w:id="0" w:name="_GoBack"/>
      <w:r>
        <w:rPr>
          <w:rFonts w:ascii="微软雅黑" w:eastAsia="微软雅黑" w:hAnsi="微软雅黑" w:cs="微软雅黑" w:hint="eastAsia"/>
          <w:b w:val="0"/>
          <w:bCs w:val="0"/>
          <w:i w:val="0"/>
          <w:iCs w:val="0"/>
          <w:caps w:val="0"/>
          <w:color w:val="333333"/>
          <w:spacing w:val="0"/>
          <w:sz w:val="36"/>
          <w:szCs w:val="36"/>
          <w:bdr w:val="none" w:sz="0" w:space="0" w:color="auto"/>
          <w:shd w:val="clear" w:color="auto" w:fill="FFFFFF"/>
        </w:rPr>
        <w:t>关于推动解决政府采购异常低价问题的通知</w:t>
      </w:r>
    </w:p>
    <w:p w14:paraId="647017D5">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center"/>
        <w:rPr>
          <w:rFonts w:ascii="宋体" w:eastAsia="宋体" w:hAnsi="宋体" w:cs="宋体" w:hint="eastAsia"/>
          <w:sz w:val="24"/>
          <w:szCs w:val="24"/>
        </w:rPr>
      </w:pPr>
      <w:bookmarkEnd w:id="0"/>
      <w:r>
        <w:rPr>
          <w:rFonts w:ascii="宋体" w:eastAsia="宋体" w:hAnsi="宋体" w:cs="宋体" w:hint="eastAsia"/>
          <w:i w:val="0"/>
          <w:iCs w:val="0"/>
          <w:caps w:val="0"/>
          <w:color w:val="333333"/>
          <w:spacing w:val="0"/>
          <w:sz w:val="24"/>
          <w:szCs w:val="24"/>
          <w:bdr w:val="none" w:sz="0" w:space="0" w:color="auto"/>
          <w:shd w:val="clear" w:color="auto" w:fill="FFFFFF"/>
        </w:rPr>
        <w:t>财库〔2026〕2号</w:t>
      </w:r>
    </w:p>
    <w:p w14:paraId="174F45F3">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各中央预算单位，各省、自治区、直辖市、计划单列市财政厅（局），新疆生产建设兵团财政局： </w:t>
      </w:r>
    </w:p>
    <w:p w14:paraId="3484FCE3">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为整治政府采购领域“内卷式”竞争，形成优质优价、良性竞争的市场秩序，现就推动解决政府采购异常低价问题有关事项通知如下： </w:t>
      </w:r>
    </w:p>
    <w:p w14:paraId="2663B17C">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w:t>
      </w:r>
      <w:r>
        <w:rPr>
          <w:rFonts w:ascii="宋体" w:eastAsia="宋体" w:hAnsi="宋体" w:cs="宋体" w:hint="eastAsia"/>
          <w:b/>
          <w:bCs/>
          <w:i w:val="0"/>
          <w:iCs w:val="0"/>
          <w:caps w:val="0"/>
          <w:color w:val="333333"/>
          <w:spacing w:val="0"/>
          <w:sz w:val="24"/>
          <w:szCs w:val="24"/>
          <w:bdr w:val="none" w:sz="0" w:space="0" w:color="auto"/>
          <w:shd w:val="clear" w:color="auto" w:fill="FFFFFF"/>
        </w:rPr>
        <w:t>一、加强政府采购需求管理 </w:t>
      </w:r>
    </w:p>
    <w:p w14:paraId="78F9025C">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采购人应当根据实际工作需要，综合考虑同类项目中标（成交）信息，以及市场供给和产业发展状况，材料、人工等市场价格，行业费用标准等市场调查情况，形成科学、完整、清晰的采购需求，合理设定最高限价，为供应商竞争报价提供基础。未设定最高限价的采购项目，以采购项目预算金额作为最高限价。 </w:t>
      </w:r>
    </w:p>
    <w:p w14:paraId="1DB18C2D">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采购人要综合考虑技术、成本效益、促进竞争等因素，按照专业类型和专业领域，合理设置采购包。采购人可以引入全生命周期成本理念，在采购文件中要求供应商对约定期限内的运营、维护、升级，专用耗材，处置报废等费用进行报价，作为评审因素，并在采购合同中明确，供应商应当在约定期限内以不高于其报价的价格向采购人提供专用耗材或者相关服务。采购项目采用综合评分法的，应当按照相关规定科学合理确定价格、技术、商务等因素的分值和权重。 </w:t>
      </w:r>
    </w:p>
    <w:p w14:paraId="53EF8476">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采购人应当重点加强对信息化建设项目和耗材使用量大的复印、打印、实验、医疗等仪器设备采购项目的管理。对于信息化建设项目，采购人应当要求供应商严格落实相关开放性、兼容性标准和规范要求，按合同约定提供服务；在系统运行过程中，供应商不得在国家规定和合同约定之外以任何名义向相关服务对象收取费用。 </w:t>
      </w:r>
    </w:p>
    <w:p w14:paraId="0272A939">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w:t>
      </w:r>
      <w:r>
        <w:rPr>
          <w:rFonts w:ascii="宋体" w:eastAsia="宋体" w:hAnsi="宋体" w:cs="宋体" w:hint="eastAsia"/>
          <w:b/>
          <w:bCs/>
          <w:i w:val="0"/>
          <w:iCs w:val="0"/>
          <w:caps w:val="0"/>
          <w:color w:val="333333"/>
          <w:spacing w:val="0"/>
          <w:sz w:val="24"/>
          <w:szCs w:val="24"/>
          <w:bdr w:val="none" w:sz="0" w:space="0" w:color="auto"/>
          <w:shd w:val="clear" w:color="auto" w:fill="FFFFFF"/>
        </w:rPr>
        <w:t>二、强化政府采购异常低价审查 </w:t>
      </w:r>
    </w:p>
    <w:p w14:paraId="7F430CAB">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（一）采购人应当在采购文件中明确，政府采购评审中出现下列情形之一的，评审委员会应当启动异常低价投标（响应）审查程序： </w:t>
      </w:r>
    </w:p>
    <w:p w14:paraId="44D666C5">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1.投标（响应）报价低于全部通过符合性审查供应商投标（响应）报价平均值50%的，即投标（响应）报价&lt;全部通过符合性审查供应商投标（响应）报价平均值×50%； </w:t>
      </w:r>
    </w:p>
    <w:p w14:paraId="0E86FAD2">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2.投标（响应）报价低于通过符合性审查的次低报价供应商投标（响应）报价50%的，即投标（响应）报价&lt;通过符合性审查的次低报价供应商投标（响应）报价×50%； </w:t>
      </w:r>
    </w:p>
    <w:p w14:paraId="06766567">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3.投标（响应）报价低于采购项目最高限价45%的，即投标（响应）报价&lt;采购项目最高限价×45%； </w:t>
      </w:r>
    </w:p>
    <w:p w14:paraId="6E882E51">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4.评审委员会基于专业判断，认为供应商报价过低，有可能影响产品质量或者不能诚信履约的其他情形。 </w:t>
      </w:r>
    </w:p>
    <w:p w14:paraId="00D40483">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采购人可以结合具体项目实际情况，提高上述第1项至第3项中启动异常低价投标（响应）审查的数值标准，但是最高不得超过65%。 </w:t>
      </w:r>
    </w:p>
    <w:p w14:paraId="6B0D67A3">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相关法律法规对供应商报价有规定的，从其规定。 </w:t>
      </w:r>
    </w:p>
    <w:p w14:paraId="337FB3C1">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w:t>
      </w:r>
    </w:p>
    <w:p w14:paraId="10B3FA60">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w:t>
      </w:r>
    </w:p>
    <w:p w14:paraId="3325418E">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w:t>
      </w:r>
    </w:p>
    <w:p w14:paraId="7C06A972">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异常低价投标（响应）审查的启动原因、审查意见和审查结果应当在评审报告中记录，并随供应商提供的相关书面说明及证明材料，以及评审委员会有关互联网浏览、查询历史一并归档。 </w:t>
      </w:r>
    </w:p>
    <w:p w14:paraId="52A2E576">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三）各级财政部门应当加强对评审专家的指导和监管，进一步压实评审专家的责任。财政部门在投诉处理、监督检查中发现评审委员会未按规定对异常低价开展审查的，依法予以纠正并追究评审专家的法律责任。 </w:t>
      </w:r>
    </w:p>
    <w:p w14:paraId="3BCC8177">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w:t>
      </w:r>
      <w:r>
        <w:rPr>
          <w:rFonts w:ascii="宋体" w:eastAsia="宋体" w:hAnsi="宋体" w:cs="宋体" w:hint="eastAsia"/>
          <w:b/>
          <w:bCs/>
          <w:i w:val="0"/>
          <w:iCs w:val="0"/>
          <w:caps w:val="0"/>
          <w:color w:val="333333"/>
          <w:spacing w:val="0"/>
          <w:sz w:val="24"/>
          <w:szCs w:val="24"/>
          <w:bdr w:val="none" w:sz="0" w:space="0" w:color="auto"/>
          <w:shd w:val="clear" w:color="auto" w:fill="FFFFFF"/>
        </w:rPr>
        <w:t>三、加强政府采购履约验收管理 </w:t>
      </w:r>
    </w:p>
    <w:p w14:paraId="35CB1C6C">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采购人应当落实履约验收责任，依法组织履约验收工作，验收内容要包括每一项技术和商务要求的履约情况。对报价触发异常低价投标（响应）审查程序后仍中标（成交）的供应商，采购人要重点关注其履约承诺、实际履约情况等。对可以分期实施的采购项目，实行分期考核、分期验收、分期支付，及时掌握供应商履约进展。如供应商中标（成交）后无正当理由拒不签订政府采购合同的，依法予以处理；如供应商不履行合同或者未按合同约定履行合同导致验收不合格的，采购人应当依法追究其违约责任。 </w:t>
      </w:r>
    </w:p>
    <w:p w14:paraId="636024AA">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各部门、各地区要充分认识解决政府采购异常低价问题的重要意义，加强组织领导，周密安排部署，强化监督指导，结合工作实际，通过完善采购文件标准文本、增设交易系统功能、加强履约担保、加大违约责任追究力度等措施，进一步细化工作举措，确保各项要求落实到位。 </w:t>
      </w:r>
    </w:p>
    <w:p w14:paraId="1A564038">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both"/>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　　本通知自2026年2月1日起施行。 </w:t>
      </w:r>
    </w:p>
    <w:p w14:paraId="74EA8ADF">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right"/>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财政部</w:t>
      </w:r>
    </w:p>
    <w:p w14:paraId="1D223EF7">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210" w:afterAutospacing="0" w:line="22" w:lineRule="atLeast"/>
        <w:ind w:left="0" w:right="0"/>
        <w:jc w:val="right"/>
        <w:rPr>
          <w:rFonts w:ascii="宋体" w:eastAsia="宋体" w:hAnsi="宋体" w:cs="宋体" w:hint="eastAsia"/>
          <w:sz w:val="24"/>
          <w:szCs w:val="24"/>
        </w:rPr>
      </w:pPr>
      <w:r>
        <w:rPr>
          <w:rFonts w:ascii="宋体" w:eastAsia="宋体" w:hAnsi="宋体" w:cs="宋体" w:hint="eastAsia"/>
          <w:i w:val="0"/>
          <w:iCs w:val="0"/>
          <w:caps w:val="0"/>
          <w:color w:val="333333"/>
          <w:spacing w:val="0"/>
          <w:sz w:val="24"/>
          <w:szCs w:val="24"/>
          <w:bdr w:val="none" w:sz="0" w:space="0" w:color="auto"/>
          <w:shd w:val="clear" w:color="auto" w:fill="FFFFFF"/>
        </w:rPr>
        <w:t>2026年1月14日</w:t>
      </w:r>
    </w:p>
    <w:p w14:paraId="6BE08146"/>
    <w:sectPr>
      <w:pgSz w:w="11906" w:h="16838"/>
      <w:pgMar w:top="2154" w:right="1587" w:bottom="1814" w:left="1587"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46E410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2">
    <w:name w:val="heading 2"/>
    <w:basedOn w:val="Normal"/>
    <w:next w:val="Normal"/>
    <w:semiHidden/>
    <w:unhideWhenUsed/>
    <w:qFormat/>
    <w:pPr>
      <w:spacing w:before="0" w:beforeAutospacing="1" w:after="0" w:afterAutospacing="1"/>
      <w:jc w:val="left"/>
      <w:outlineLvl w:val="1"/>
    </w:pPr>
    <w:rPr>
      <w:rFonts w:ascii="宋体" w:eastAsia="宋体" w:hAnsi="宋体" w:cs="宋体" w:hint="eastAsia"/>
      <w:b/>
      <w:bCs/>
      <w:kern w:val="0"/>
      <w:sz w:val="36"/>
      <w:szCs w:val="36"/>
      <w:lang w:val="en-US" w:eastAsia="zh-CN" w:bidi="ar"/>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pPr>
      <w:spacing w:before="0" w:beforeAutospacing="1" w:after="0" w:afterAutospacing="1"/>
      <w:ind w:left="0" w:right="0"/>
      <w:jc w:val="left"/>
    </w:pPr>
    <w:rPr>
      <w:kern w:val="0"/>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3</Pages>
  <Words>2073</Words>
  <Characters>2102</Characters>
  <Application>Microsoft Office Word</Application>
  <DocSecurity>0</DocSecurity>
  <Lines>0</Lines>
  <Paragraphs>0</Paragraphs>
  <ScaleCrop>false</ScaleCrop>
  <Company/>
  <LinksUpToDate>false</LinksUpToDate>
  <CharactersWithSpaces>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锦少</cp:lastModifiedBy>
  <cp:revision>0</cp:revision>
  <dcterms:created xsi:type="dcterms:W3CDTF">2026-02-24T03:04:55Z</dcterms:created>
  <dcterms:modified xsi:type="dcterms:W3CDTF">2026-02-24T03:05:41Z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769FBA176BE14B0FACBDAEA22E6203E7_12</vt:lpwstr>
  </property>
  <property fmtid="{D5CDD505-2E9C-101B-9397-08002B2CF9AE}" pid="3" name="KSOProductBuildVer">
    <vt:lpwstr>2052-12.1.0.24657</vt:lpwstr>
  </property>
  <property fmtid="{D5CDD505-2E9C-101B-9397-08002B2CF9AE}" pid="4" name="KSOTemplateDocerSaveRecord">
    <vt:lpwstr>eyJoZGlkIjoiZWZmNmIyYmQyMTcyM2Y5MzQ5NzBkM2QyMGY4MzkzM2EiLCJ1c2VySWQiOiIxMzIwOTUxMjg2In0=</vt:lpwstr>
  </property>
</Properties>
</file>