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207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14:paraId="1D5DBB3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方正仿宋_GBK" w:hAnsi="方正仿宋_GBK" w:eastAsia="方正仿宋_GBK" w:cs="方正仿宋_GBK"/>
          <w:sz w:val="32"/>
          <w:szCs w:val="32"/>
          <w:lang w:val="en-US" w:eastAsia="zh-CN"/>
        </w:rPr>
      </w:pPr>
    </w:p>
    <w:p w14:paraId="38BFE753">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2026年江门市江海区“银龄安康行动”老年人意外伤害综合保险项目评定原则和评审方法</w:t>
      </w:r>
    </w:p>
    <w:p w14:paraId="3A5E92F3">
      <w:pPr>
        <w:jc w:val="center"/>
        <w:rPr>
          <w:rFonts w:hint="eastAsia" w:ascii="方正小标宋_GBK" w:hAnsi="方正小标宋_GBK" w:eastAsia="方正小标宋_GBK" w:cs="方正小标宋_GBK"/>
          <w:sz w:val="40"/>
          <w:szCs w:val="40"/>
        </w:rPr>
      </w:pPr>
    </w:p>
    <w:p w14:paraId="65B13B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一、评定原则</w:t>
      </w:r>
    </w:p>
    <w:p w14:paraId="13E6F4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本次评标采用综合评估法，江门市江海区民政局将根据服务供应商提供的保险方案、理赔服务承诺、同类业绩、服务评价、投诉处理能力、投入项目人员情况及宣传计划等因素进行综合评估后选定。</w:t>
      </w:r>
    </w:p>
    <w:p w14:paraId="425C85BF">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资格和符合性审查</w:t>
      </w:r>
    </w:p>
    <w:tbl>
      <w:tblPr>
        <w:tblStyle w:val="5"/>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1"/>
        <w:gridCol w:w="6085"/>
      </w:tblGrid>
      <w:tr w14:paraId="2C99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6AE33A4">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审查项目</w:t>
            </w:r>
          </w:p>
        </w:tc>
        <w:tc>
          <w:tcPr>
            <w:tcW w:w="6378" w:type="dxa"/>
            <w:noWrap w:val="0"/>
            <w:vAlign w:val="center"/>
          </w:tcPr>
          <w:p w14:paraId="3A76E3E2">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审查要求</w:t>
            </w:r>
          </w:p>
        </w:tc>
      </w:tr>
      <w:tr w14:paraId="03F8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5E2D906">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资格审查</w:t>
            </w:r>
          </w:p>
        </w:tc>
        <w:tc>
          <w:tcPr>
            <w:tcW w:w="6378" w:type="dxa"/>
            <w:noWrap w:val="0"/>
            <w:vAlign w:val="top"/>
          </w:tcPr>
          <w:p w14:paraId="163C2E8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供应商应当具备《中华人民共和国政府采购法》第二十二条规定的条件</w:t>
            </w:r>
            <w:r>
              <w:rPr>
                <w:rFonts w:hint="default" w:ascii="Times New Roman" w:hAnsi="Times New Roman" w:eastAsia="方正仿宋_GBK" w:cs="Times New Roman"/>
                <w:kern w:val="0"/>
                <w:sz w:val="28"/>
                <w:szCs w:val="28"/>
              </w:rPr>
              <w:t>，提供下列材料：</w:t>
            </w:r>
          </w:p>
          <w:p w14:paraId="1BD7DE91">
            <w:pPr>
              <w:widowControl/>
              <w:spacing w:line="480" w:lineRule="exact"/>
              <w:jc w:val="left"/>
              <w:outlineLvl w:val="1"/>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rPr>
              <w:t>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w:t>
            </w:r>
            <w:bookmarkStart w:id="2" w:name="_GoBack"/>
            <w:bookmarkEnd w:id="2"/>
            <w:r>
              <w:rPr>
                <w:rFonts w:hint="default" w:ascii="Times New Roman" w:hAnsi="Times New Roman" w:eastAsia="方正仿宋_GBK" w:cs="Times New Roman"/>
                <w:kern w:val="0"/>
                <w:sz w:val="28"/>
                <w:szCs w:val="28"/>
              </w:rPr>
              <w:t>。</w:t>
            </w:r>
          </w:p>
          <w:p w14:paraId="77977BC9">
            <w:pPr>
              <w:widowControl/>
              <w:spacing w:line="480" w:lineRule="exact"/>
              <w:jc w:val="left"/>
              <w:outlineLvl w:val="1"/>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有依法缴纳税收和社会保障资金的良好记录：提供202</w:t>
            </w:r>
            <w:r>
              <w:rPr>
                <w:rFonts w:hint="default" w:ascii="Times New Roman" w:hAnsi="Times New Roman"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年6月至今任意1个月依法缴纳税收和社会保障资金的相关材料。如依法免税或不需要缴纳社会保障资金的，提供相应证明材料。</w:t>
            </w:r>
          </w:p>
          <w:p w14:paraId="1922B24F">
            <w:pPr>
              <w:widowControl/>
              <w:spacing w:line="480" w:lineRule="exact"/>
              <w:jc w:val="left"/>
              <w:outlineLvl w:val="1"/>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具有良好的商业信誉和健全的财务会计制度：供应商必须具有良好的商业信誉和健全的财务会计制度（提供202</w:t>
            </w:r>
            <w:r>
              <w:rPr>
                <w:rFonts w:hint="default"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年度财务状况报告或</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年6月至今任意1个月的财务状况报告</w:t>
            </w:r>
            <w:r>
              <w:rPr>
                <w:rFonts w:hint="default" w:ascii="Times New Roman" w:hAnsi="Times New Roman" w:eastAsia="方正仿宋_GBK" w:cs="Times New Roman"/>
                <w:kern w:val="0"/>
                <w:sz w:val="28"/>
                <w:szCs w:val="28"/>
              </w:rPr>
              <w:t>或基本开户行出具的资信证明）。</w:t>
            </w:r>
          </w:p>
          <w:p w14:paraId="7F1BEAD5">
            <w:pPr>
              <w:widowControl/>
              <w:spacing w:line="480" w:lineRule="exact"/>
              <w:jc w:val="left"/>
              <w:outlineLvl w:val="1"/>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履行合同所必需的设备和专业技术能力。（提供《关于资格的声明函》）</w:t>
            </w:r>
          </w:p>
          <w:p w14:paraId="2ACA65C2">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关于资格的声明函》）</w:t>
            </w:r>
          </w:p>
          <w:p w14:paraId="716BAC09">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BC54F0">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为本项目提供整体设计、规范编制或者项目管理、监理、检测等服务的供应商，</w:t>
            </w:r>
            <w:r>
              <w:rPr>
                <w:rFonts w:hint="default" w:ascii="Times New Roman" w:hAnsi="Times New Roman" w:eastAsia="方正仿宋_GBK" w:cs="Times New Roman"/>
                <w:kern w:val="0"/>
                <w:sz w:val="28"/>
                <w:szCs w:val="28"/>
              </w:rPr>
              <w:t>不得再参与本项目</w:t>
            </w:r>
            <w:r>
              <w:rPr>
                <w:rFonts w:hint="default" w:ascii="Times New Roman" w:hAnsi="Times New Roman" w:eastAsia="方正仿宋_GBK" w:cs="Times New Roman"/>
                <w:sz w:val="28"/>
                <w:szCs w:val="28"/>
              </w:rPr>
              <w:t>投标</w:t>
            </w:r>
            <w:r>
              <w:rPr>
                <w:rFonts w:hint="default" w:ascii="Times New Roman" w:hAnsi="Times New Roman" w:eastAsia="方正仿宋_GBK" w:cs="Times New Roman"/>
                <w:kern w:val="0"/>
                <w:sz w:val="28"/>
                <w:szCs w:val="28"/>
              </w:rPr>
              <w:t>。（提供《关于资格的声明函》）</w:t>
            </w:r>
          </w:p>
          <w:p w14:paraId="6688B272">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单位负责人为同一人或者存在直接控股、管理关系的不同供应商，不得同时参加本采购项目投标。（提供《关于资格的声明函》）</w:t>
            </w:r>
          </w:p>
          <w:p w14:paraId="24F35EAE">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供应商必须具有中国银行保险监督管理委员会颁发的《保险许可证》或原中国保险监督管理委员会颁发的《经营保险业务许可证》。（提供《保险许可证》或《经营保险业务许可证》）</w:t>
            </w:r>
          </w:p>
          <w:p w14:paraId="0058F91C">
            <w:pPr>
              <w:pStyle w:val="2"/>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本项目不接受联合体</w:t>
            </w:r>
            <w:r>
              <w:rPr>
                <w:rFonts w:hint="eastAsia" w:ascii="Times New Roman" w:hAnsi="Times New Roman" w:eastAsia="方正仿宋_GBK" w:cs="Times New Roman"/>
                <w:sz w:val="28"/>
                <w:szCs w:val="28"/>
                <w:lang w:val="en-US" w:eastAsia="zh-CN"/>
              </w:rPr>
              <w:t>投标</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kern w:val="0"/>
                <w:sz w:val="28"/>
                <w:szCs w:val="28"/>
              </w:rPr>
              <w:t>（提供《关于资格的声明函》）</w:t>
            </w:r>
          </w:p>
        </w:tc>
      </w:tr>
      <w:tr w14:paraId="6E27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4D83337">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符合性审查</w:t>
            </w:r>
          </w:p>
        </w:tc>
        <w:tc>
          <w:tcPr>
            <w:tcW w:w="6378" w:type="dxa"/>
            <w:noWrap w:val="0"/>
            <w:vAlign w:val="top"/>
          </w:tcPr>
          <w:p w14:paraId="07D22665">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1.投标</w:t>
            </w:r>
            <w:r>
              <w:rPr>
                <w:rFonts w:hint="default" w:ascii="Times New Roman" w:hAnsi="Times New Roman" w:eastAsia="方正仿宋_GBK" w:cs="Times New Roman"/>
                <w:sz w:val="28"/>
                <w:szCs w:val="28"/>
              </w:rPr>
              <w:t>文件按照</w:t>
            </w:r>
            <w:r>
              <w:rPr>
                <w:rFonts w:hint="eastAsia" w:ascii="Times New Roman" w:hAnsi="Times New Roman" w:eastAsia="方正仿宋_GBK" w:cs="Times New Roman"/>
                <w:sz w:val="28"/>
                <w:szCs w:val="28"/>
                <w:lang w:val="en-US" w:eastAsia="zh-CN"/>
              </w:rPr>
              <w:t>招标</w:t>
            </w:r>
            <w:r>
              <w:rPr>
                <w:rFonts w:hint="default" w:ascii="Times New Roman" w:hAnsi="Times New Roman" w:eastAsia="方正仿宋_GBK" w:cs="Times New Roman"/>
                <w:sz w:val="28"/>
                <w:szCs w:val="28"/>
              </w:rPr>
              <w:t>文件规定要求签署、盖章。</w:t>
            </w:r>
          </w:p>
          <w:p w14:paraId="202C2E61">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报价符合</w:t>
            </w:r>
            <w:r>
              <w:rPr>
                <w:rFonts w:hint="eastAsia" w:ascii="Times New Roman" w:hAnsi="Times New Roman" w:eastAsia="方正仿宋_GBK" w:cs="Times New Roman"/>
                <w:sz w:val="28"/>
                <w:szCs w:val="28"/>
                <w:lang w:val="en-US" w:eastAsia="zh-CN"/>
              </w:rPr>
              <w:t>招标</w:t>
            </w:r>
            <w:r>
              <w:rPr>
                <w:rFonts w:hint="default" w:ascii="Times New Roman" w:hAnsi="Times New Roman" w:eastAsia="方正仿宋_GBK" w:cs="Times New Roman"/>
                <w:sz w:val="28"/>
                <w:szCs w:val="28"/>
              </w:rPr>
              <w:t>文件规定的报价要求。</w:t>
            </w:r>
          </w:p>
          <w:p w14:paraId="50043116">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3.投标</w:t>
            </w:r>
            <w:r>
              <w:rPr>
                <w:rFonts w:hint="default" w:ascii="Times New Roman" w:hAnsi="Times New Roman" w:eastAsia="方正仿宋_GBK" w:cs="Times New Roman"/>
                <w:sz w:val="28"/>
                <w:szCs w:val="28"/>
              </w:rPr>
              <w:t>有效期符合</w:t>
            </w:r>
            <w:r>
              <w:rPr>
                <w:rFonts w:hint="eastAsia" w:ascii="Times New Roman" w:hAnsi="Times New Roman" w:eastAsia="方正仿宋_GBK" w:cs="Times New Roman"/>
                <w:sz w:val="28"/>
                <w:szCs w:val="28"/>
                <w:lang w:val="en-US" w:eastAsia="zh-CN"/>
              </w:rPr>
              <w:t>招标</w:t>
            </w:r>
            <w:r>
              <w:rPr>
                <w:rFonts w:hint="default" w:ascii="Times New Roman" w:hAnsi="Times New Roman" w:eastAsia="方正仿宋_GBK" w:cs="Times New Roman"/>
                <w:sz w:val="28"/>
                <w:szCs w:val="28"/>
              </w:rPr>
              <w:t>文件要求。</w:t>
            </w:r>
          </w:p>
          <w:p w14:paraId="6DAE538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4.投标</w:t>
            </w:r>
            <w:r>
              <w:rPr>
                <w:rFonts w:hint="default" w:ascii="Times New Roman" w:hAnsi="Times New Roman" w:eastAsia="方正仿宋_GBK" w:cs="Times New Roman"/>
                <w:sz w:val="28"/>
                <w:szCs w:val="28"/>
              </w:rPr>
              <w:t>文件不存在</w:t>
            </w:r>
            <w:r>
              <w:rPr>
                <w:rFonts w:hint="eastAsia" w:ascii="Times New Roman" w:hAnsi="Times New Roman" w:eastAsia="方正仿宋_GBK" w:cs="Times New Roman"/>
                <w:sz w:val="28"/>
                <w:szCs w:val="28"/>
                <w:lang w:val="en-US" w:eastAsia="zh-CN"/>
              </w:rPr>
              <w:t>招标</w:t>
            </w:r>
            <w:r>
              <w:rPr>
                <w:rFonts w:hint="default" w:ascii="Times New Roman" w:hAnsi="Times New Roman" w:eastAsia="方正仿宋_GBK" w:cs="Times New Roman"/>
                <w:sz w:val="28"/>
                <w:szCs w:val="28"/>
              </w:rPr>
              <w:t>文件或法规明确规定的其他无效响应情形。</w:t>
            </w:r>
          </w:p>
        </w:tc>
      </w:tr>
    </w:tbl>
    <w:p w14:paraId="6514E301">
      <w:pPr>
        <w:pStyle w:val="2"/>
        <w:numPr>
          <w:ilvl w:val="0"/>
          <w:numId w:val="0"/>
        </w:numPr>
        <w:spacing w:line="480" w:lineRule="exact"/>
        <w:rPr>
          <w:rFonts w:hint="eastAsia" w:ascii="方正黑体_GBK" w:hAnsi="方正黑体_GBK" w:eastAsia="方正黑体_GBK" w:cs="方正黑体_GBK"/>
          <w:kern w:val="2"/>
          <w:sz w:val="32"/>
          <w:szCs w:val="32"/>
          <w:lang w:val="en-US" w:eastAsia="zh-CN" w:bidi="ar-SA"/>
        </w:rPr>
      </w:pPr>
    </w:p>
    <w:p w14:paraId="2ABA167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三、评分及评审因素：</w:t>
      </w:r>
    </w:p>
    <w:tbl>
      <w:tblPr>
        <w:tblStyle w:val="5"/>
        <w:tblW w:w="9176" w:type="dxa"/>
        <w:tblInd w:w="-232" w:type="dxa"/>
        <w:tblLayout w:type="autofit"/>
        <w:tblCellMar>
          <w:top w:w="0" w:type="dxa"/>
          <w:left w:w="108" w:type="dxa"/>
          <w:bottom w:w="0" w:type="dxa"/>
          <w:right w:w="108" w:type="dxa"/>
        </w:tblCellMar>
      </w:tblPr>
      <w:tblGrid>
        <w:gridCol w:w="1271"/>
        <w:gridCol w:w="1701"/>
        <w:gridCol w:w="5472"/>
        <w:gridCol w:w="719"/>
        <w:gridCol w:w="13"/>
      </w:tblGrid>
      <w:tr w14:paraId="073573FD">
        <w:tblPrEx>
          <w:tblCellMar>
            <w:top w:w="0" w:type="dxa"/>
            <w:left w:w="108" w:type="dxa"/>
            <w:bottom w:w="0" w:type="dxa"/>
            <w:right w:w="108" w:type="dxa"/>
          </w:tblCellMar>
        </w:tblPrEx>
        <w:trPr>
          <w:trHeight w:val="20"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2792C198">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评分项目</w:t>
            </w:r>
          </w:p>
        </w:tc>
        <w:tc>
          <w:tcPr>
            <w:tcW w:w="1701" w:type="dxa"/>
            <w:tcBorders>
              <w:top w:val="single" w:color="auto" w:sz="4" w:space="0"/>
              <w:left w:val="nil"/>
              <w:bottom w:val="single" w:color="auto" w:sz="4" w:space="0"/>
              <w:right w:val="single" w:color="auto" w:sz="4" w:space="0"/>
            </w:tcBorders>
            <w:noWrap w:val="0"/>
            <w:vAlign w:val="center"/>
          </w:tcPr>
          <w:p w14:paraId="5ADC2563">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评标因素</w:t>
            </w:r>
          </w:p>
        </w:tc>
        <w:tc>
          <w:tcPr>
            <w:tcW w:w="5472" w:type="dxa"/>
            <w:tcBorders>
              <w:top w:val="single" w:color="auto" w:sz="4" w:space="0"/>
              <w:left w:val="nil"/>
              <w:bottom w:val="single" w:color="auto" w:sz="4" w:space="0"/>
              <w:right w:val="single" w:color="auto" w:sz="4" w:space="0"/>
            </w:tcBorders>
            <w:noWrap w:val="0"/>
            <w:vAlign w:val="center"/>
          </w:tcPr>
          <w:p w14:paraId="534B0A2B">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评审指标</w:t>
            </w:r>
          </w:p>
        </w:tc>
        <w:tc>
          <w:tcPr>
            <w:tcW w:w="732" w:type="dxa"/>
            <w:gridSpan w:val="2"/>
            <w:tcBorders>
              <w:top w:val="single" w:color="auto" w:sz="4" w:space="0"/>
              <w:left w:val="nil"/>
              <w:bottom w:val="single" w:color="auto" w:sz="4" w:space="0"/>
              <w:right w:val="single" w:color="auto" w:sz="4" w:space="0"/>
            </w:tcBorders>
            <w:noWrap/>
            <w:vAlign w:val="center"/>
          </w:tcPr>
          <w:p w14:paraId="5E7437B8">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分值</w:t>
            </w:r>
          </w:p>
        </w:tc>
      </w:tr>
      <w:tr w14:paraId="6B814DFF">
        <w:tblPrEx>
          <w:tblCellMar>
            <w:top w:w="0" w:type="dxa"/>
            <w:left w:w="108" w:type="dxa"/>
            <w:bottom w:w="0" w:type="dxa"/>
            <w:right w:w="108" w:type="dxa"/>
          </w:tblCellMar>
        </w:tblPrEx>
        <w:trPr>
          <w:trHeight w:val="20" w:hRule="atLeast"/>
        </w:trPr>
        <w:tc>
          <w:tcPr>
            <w:tcW w:w="1271" w:type="dxa"/>
            <w:vMerge w:val="restart"/>
            <w:tcBorders>
              <w:top w:val="nil"/>
              <w:left w:val="single" w:color="auto" w:sz="4" w:space="0"/>
              <w:bottom w:val="single" w:color="auto" w:sz="4" w:space="0"/>
              <w:right w:val="single" w:color="auto" w:sz="4" w:space="0"/>
            </w:tcBorders>
            <w:noWrap w:val="0"/>
            <w:vAlign w:val="center"/>
          </w:tcPr>
          <w:p w14:paraId="623D27D8">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技术评分</w:t>
            </w:r>
          </w:p>
        </w:tc>
        <w:tc>
          <w:tcPr>
            <w:tcW w:w="1701" w:type="dxa"/>
            <w:tcBorders>
              <w:top w:val="nil"/>
              <w:left w:val="nil"/>
              <w:bottom w:val="single" w:color="auto" w:sz="4" w:space="0"/>
              <w:right w:val="single" w:color="auto" w:sz="4" w:space="0"/>
            </w:tcBorders>
            <w:noWrap w:val="0"/>
            <w:vAlign w:val="center"/>
          </w:tcPr>
          <w:p w14:paraId="07880AA2">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项目整体的理解和认识</w:t>
            </w:r>
          </w:p>
        </w:tc>
        <w:tc>
          <w:tcPr>
            <w:tcW w:w="5472" w:type="dxa"/>
            <w:tcBorders>
              <w:top w:val="nil"/>
              <w:left w:val="nil"/>
              <w:bottom w:val="single" w:color="auto" w:sz="4" w:space="0"/>
              <w:right w:val="single" w:color="auto" w:sz="4" w:space="0"/>
            </w:tcBorders>
            <w:noWrap w:val="0"/>
            <w:vAlign w:val="center"/>
          </w:tcPr>
          <w:p w14:paraId="7BF950F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 xml:space="preserve">人对项目整体的理解和认识程度进行评审： </w:t>
            </w:r>
          </w:p>
          <w:p w14:paraId="24A937B5">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熟悉和了解本项目重点投保内容，针对重点内容制定实施保障措施切实可行，完全满足或优于项目采购需求，得15分； </w:t>
            </w:r>
          </w:p>
          <w:p w14:paraId="22906FA3">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对本项目重点投保内容有一定了解，重点内容的实施保障措施基本可行，部分满足项目采购需求，得10分； </w:t>
            </w:r>
          </w:p>
          <w:p w14:paraId="648DA5DD">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对本项目重点投保内容了解不充分，认识不到位，重点内容的实施保障措施考虑不足，不满足项目采购需求，得5分；</w:t>
            </w:r>
          </w:p>
          <w:p w14:paraId="44EECDF1">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无提供相关描述，得0分。</w:t>
            </w:r>
          </w:p>
        </w:tc>
        <w:tc>
          <w:tcPr>
            <w:tcW w:w="732" w:type="dxa"/>
            <w:gridSpan w:val="2"/>
            <w:tcBorders>
              <w:top w:val="nil"/>
              <w:left w:val="nil"/>
              <w:bottom w:val="single" w:color="auto" w:sz="4" w:space="0"/>
              <w:right w:val="single" w:color="auto" w:sz="4" w:space="0"/>
            </w:tcBorders>
            <w:noWrap/>
            <w:vAlign w:val="center"/>
          </w:tcPr>
          <w:p w14:paraId="4C49BDEF">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15</w:t>
            </w:r>
          </w:p>
        </w:tc>
      </w:tr>
      <w:tr w14:paraId="5AA20781">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14:paraId="6C80DFF5">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136F373B">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服务方案</w:t>
            </w:r>
          </w:p>
        </w:tc>
        <w:tc>
          <w:tcPr>
            <w:tcW w:w="5472" w:type="dxa"/>
            <w:tcBorders>
              <w:top w:val="nil"/>
              <w:left w:val="nil"/>
              <w:bottom w:val="single" w:color="auto" w:sz="4" w:space="0"/>
              <w:right w:val="single" w:color="auto" w:sz="4" w:space="0"/>
            </w:tcBorders>
            <w:noWrap w:val="0"/>
            <w:vAlign w:val="center"/>
          </w:tcPr>
          <w:p w14:paraId="51B8B0FA">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人所投报服务方案至少包括：保险方案书、承保范围、理赔时效及便捷性、免责范围、理赔程序、服务承诺及附加值服务等进行评审：</w:t>
            </w:r>
          </w:p>
          <w:p w14:paraId="191A1C4E">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服务方案完善，保险方案内容全面、详细、准确，承保范围内容丰富多样，理赔便捷等，优于项目采购需求的，得15分； </w:t>
            </w:r>
          </w:p>
          <w:p w14:paraId="20089C79">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 xml:space="preserve">服务方案比较完善，保险方案内容较全面、详细、准确，承保范围相对较多，理赔较便捷等，完全满足项目采购需求的，得10分； </w:t>
            </w:r>
          </w:p>
          <w:p w14:paraId="3E096109">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服务方案不够完善，保险方案内容不够全面、详细，承保范围相对较少、理赔不够便捷等，部分满足项目采购需求的，得5分。</w:t>
            </w:r>
          </w:p>
          <w:p w14:paraId="554B4056">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服务方案不完善，保险方案内容不全面，承保范围少、理赔不便捷等，不满足项目采购需求的，得1分。</w:t>
            </w:r>
          </w:p>
          <w:p w14:paraId="1C5633A5">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未提供服务方案的，得0分。</w:t>
            </w:r>
          </w:p>
        </w:tc>
        <w:tc>
          <w:tcPr>
            <w:tcW w:w="732" w:type="dxa"/>
            <w:gridSpan w:val="2"/>
            <w:tcBorders>
              <w:top w:val="nil"/>
              <w:left w:val="nil"/>
              <w:bottom w:val="single" w:color="auto" w:sz="4" w:space="0"/>
              <w:right w:val="single" w:color="auto" w:sz="4" w:space="0"/>
            </w:tcBorders>
            <w:noWrap/>
            <w:vAlign w:val="center"/>
          </w:tcPr>
          <w:p w14:paraId="4DFEE00D">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15</w:t>
            </w:r>
          </w:p>
        </w:tc>
      </w:tr>
      <w:tr w14:paraId="62D04036">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14:paraId="65DF1FC2">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310CA810">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理赔服务方案整体服务</w:t>
            </w:r>
          </w:p>
        </w:tc>
        <w:tc>
          <w:tcPr>
            <w:tcW w:w="5472" w:type="dxa"/>
            <w:tcBorders>
              <w:top w:val="nil"/>
              <w:left w:val="nil"/>
              <w:bottom w:val="single" w:color="auto" w:sz="4" w:space="0"/>
              <w:right w:val="single" w:color="auto" w:sz="4" w:space="0"/>
            </w:tcBorders>
            <w:noWrap w:val="0"/>
            <w:vAlign w:val="center"/>
          </w:tcPr>
          <w:p w14:paraId="2F0C35DB">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人的理赔服务方案的整体服务内容进行评审，包括理赔方式、理赔地点、理赔审核期限、赔付期限、投诉处理方式、便民措施等：</w:t>
            </w:r>
          </w:p>
          <w:p w14:paraId="2F66A272">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完全满足项目理赔要求，保障能力强，理赔服务方案明确了理赔方式、理赔地点、理赔审核期限、赔付期限、投诉处理方式、便民措施全部六项说明，并能提供有能力履行的现场接待经验图片（10张或10张以上）等相关证据的，得10分；</w:t>
            </w:r>
          </w:p>
          <w:p w14:paraId="72C75205">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2.完全满足项目理赔要求，保障能力强，理赔服务方案明确了理赔方式、理赔地点、理赔审核期限、赔付期限、投诉处理方式、便民措施六项说明中的五项说明，并能提供有能力履行的经验图片（10张或10张以上）等相关证据的，得5分；</w:t>
            </w:r>
          </w:p>
          <w:p w14:paraId="520CA729">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3.完全满足项目理赔要求，保障能力强，理赔服务方案明确了理赔方式、理赔地点、理赔审核期限、赔付期限、投诉处理方式、便民措施六项说明中的四项说明，并能提供有能力履行的经验图片（10张或10张以上）等相关证据的，得3分；</w:t>
            </w:r>
          </w:p>
          <w:p w14:paraId="6AA1002D">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4.其他情况或者没有提供方案，不得分。</w:t>
            </w:r>
          </w:p>
        </w:tc>
        <w:tc>
          <w:tcPr>
            <w:tcW w:w="732" w:type="dxa"/>
            <w:gridSpan w:val="2"/>
            <w:tcBorders>
              <w:top w:val="nil"/>
              <w:left w:val="nil"/>
              <w:bottom w:val="single" w:color="auto" w:sz="4" w:space="0"/>
              <w:right w:val="single" w:color="auto" w:sz="4" w:space="0"/>
            </w:tcBorders>
            <w:noWrap/>
            <w:vAlign w:val="center"/>
          </w:tcPr>
          <w:p w14:paraId="0E5B168A">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14:paraId="6385C5A2">
        <w:tblPrEx>
          <w:tblCellMar>
            <w:top w:w="0" w:type="dxa"/>
            <w:left w:w="108" w:type="dxa"/>
            <w:bottom w:w="0" w:type="dxa"/>
            <w:right w:w="108" w:type="dxa"/>
          </w:tblCellMar>
        </w:tblPrEx>
        <w:trPr>
          <w:trHeight w:val="20" w:hRule="atLeast"/>
        </w:trPr>
        <w:tc>
          <w:tcPr>
            <w:tcW w:w="1271" w:type="dxa"/>
            <w:vMerge w:val="continue"/>
            <w:tcBorders>
              <w:top w:val="nil"/>
              <w:left w:val="single" w:color="auto" w:sz="4" w:space="0"/>
              <w:bottom w:val="single" w:color="auto" w:sz="4" w:space="0"/>
              <w:right w:val="single" w:color="auto" w:sz="4" w:space="0"/>
            </w:tcBorders>
            <w:noWrap w:val="0"/>
            <w:vAlign w:val="center"/>
          </w:tcPr>
          <w:p w14:paraId="502E4C55">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4DAF2ADF">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投入本项目的人员情况</w:t>
            </w:r>
          </w:p>
        </w:tc>
        <w:tc>
          <w:tcPr>
            <w:tcW w:w="5472" w:type="dxa"/>
            <w:tcBorders>
              <w:top w:val="nil"/>
              <w:left w:val="nil"/>
              <w:bottom w:val="single" w:color="auto" w:sz="4" w:space="0"/>
              <w:right w:val="single" w:color="auto" w:sz="4" w:space="0"/>
            </w:tcBorders>
            <w:noWrap w:val="0"/>
            <w:vAlign w:val="center"/>
          </w:tcPr>
          <w:p w14:paraId="7A7AC0F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项目管理架构完善，</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人承诺为本项目配置直接对接至本区内街道及村居的专门服务团队，投入本项目的人员20人或以上得10分；15人（含）-19人（含）得5分；10人（含）-14人（含）得3分；其他情况不得分。</w:t>
            </w:r>
          </w:p>
          <w:p w14:paraId="0A5F92E6">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文件中提供相关人员的毕业证（或职称证）及人员联系方式、供应商为其购买202</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年6月至今任意1个月的社保证明文件复印件，并加盖响应供应商实体公章或使用电子公章，否则不得分。</w:t>
            </w:r>
          </w:p>
          <w:p w14:paraId="3CA6B26C">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如供应商为总公司授权投标的，总公司及属同一法人的其他分支机构的人员视同供应商所拥有。</w:t>
            </w:r>
          </w:p>
        </w:tc>
        <w:tc>
          <w:tcPr>
            <w:tcW w:w="732" w:type="dxa"/>
            <w:gridSpan w:val="2"/>
            <w:tcBorders>
              <w:top w:val="nil"/>
              <w:left w:val="nil"/>
              <w:bottom w:val="single" w:color="auto" w:sz="4" w:space="0"/>
              <w:right w:val="single" w:color="auto" w:sz="4" w:space="0"/>
            </w:tcBorders>
            <w:noWrap/>
            <w:vAlign w:val="center"/>
          </w:tcPr>
          <w:p w14:paraId="6E6A117D">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14:paraId="07A1CCD6">
        <w:tblPrEx>
          <w:tblCellMar>
            <w:top w:w="0" w:type="dxa"/>
            <w:left w:w="108" w:type="dxa"/>
            <w:bottom w:w="0" w:type="dxa"/>
            <w:right w:w="108" w:type="dxa"/>
          </w:tblCellMar>
        </w:tblPrEx>
        <w:trPr>
          <w:trHeight w:val="20" w:hRule="atLeast"/>
        </w:trPr>
        <w:tc>
          <w:tcPr>
            <w:tcW w:w="1271" w:type="dxa"/>
            <w:vMerge w:val="restart"/>
            <w:tcBorders>
              <w:top w:val="nil"/>
              <w:left w:val="single" w:color="auto" w:sz="4" w:space="0"/>
              <w:right w:val="single" w:color="auto" w:sz="4" w:space="0"/>
            </w:tcBorders>
            <w:noWrap w:val="0"/>
            <w:vAlign w:val="center"/>
          </w:tcPr>
          <w:p w14:paraId="3BF42601">
            <w:pPr>
              <w:pStyle w:val="2"/>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sz w:val="24"/>
              </w:rPr>
              <w:t>商务评分</w:t>
            </w:r>
          </w:p>
        </w:tc>
        <w:tc>
          <w:tcPr>
            <w:tcW w:w="1701" w:type="dxa"/>
            <w:tcBorders>
              <w:top w:val="nil"/>
              <w:left w:val="nil"/>
              <w:bottom w:val="single" w:color="auto" w:sz="4" w:space="0"/>
              <w:right w:val="single" w:color="auto" w:sz="4" w:space="0"/>
            </w:tcBorders>
            <w:noWrap w:val="0"/>
            <w:vAlign w:val="center"/>
          </w:tcPr>
          <w:p w14:paraId="3321F028">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同类业绩</w:t>
            </w:r>
          </w:p>
        </w:tc>
        <w:tc>
          <w:tcPr>
            <w:tcW w:w="5472" w:type="dxa"/>
            <w:tcBorders>
              <w:top w:val="nil"/>
              <w:left w:val="nil"/>
              <w:bottom w:val="single" w:color="auto" w:sz="4" w:space="0"/>
              <w:right w:val="single" w:color="auto" w:sz="4" w:space="0"/>
            </w:tcBorders>
            <w:noWrap w:val="0"/>
            <w:vAlign w:val="center"/>
          </w:tcPr>
          <w:p w14:paraId="5E25F61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供应商在202</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年1月1日至今承保过政府部门团体险项目的，每提供一个得2分，没有的得0分，满分为10分。</w:t>
            </w:r>
          </w:p>
          <w:p w14:paraId="516D4DC9">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文件中提供合同或合作协议或保单复印件，并加盖响应供应商实体公章或使用电子公章，否则不得分。</w:t>
            </w:r>
          </w:p>
          <w:p w14:paraId="4806517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如供应商为总公司授权投标的，总公司及属同一法人的其他分支机构取得的业绩视同供应商所拥有。</w:t>
            </w:r>
          </w:p>
        </w:tc>
        <w:tc>
          <w:tcPr>
            <w:tcW w:w="732" w:type="dxa"/>
            <w:gridSpan w:val="2"/>
            <w:tcBorders>
              <w:top w:val="nil"/>
              <w:left w:val="nil"/>
              <w:bottom w:val="single" w:color="auto" w:sz="4" w:space="0"/>
              <w:right w:val="single" w:color="auto" w:sz="4" w:space="0"/>
            </w:tcBorders>
            <w:noWrap/>
            <w:vAlign w:val="center"/>
          </w:tcPr>
          <w:p w14:paraId="76164A4B">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14:paraId="338E514F">
        <w:tblPrEx>
          <w:tblCellMar>
            <w:top w:w="0" w:type="dxa"/>
            <w:left w:w="108" w:type="dxa"/>
            <w:bottom w:w="0" w:type="dxa"/>
            <w:right w:w="108" w:type="dxa"/>
          </w:tblCellMar>
        </w:tblPrEx>
        <w:trPr>
          <w:trHeight w:val="20" w:hRule="atLeast"/>
        </w:trPr>
        <w:tc>
          <w:tcPr>
            <w:tcW w:w="1271" w:type="dxa"/>
            <w:vMerge w:val="continue"/>
            <w:tcBorders>
              <w:left w:val="single" w:color="auto" w:sz="4" w:space="0"/>
              <w:right w:val="single" w:color="auto" w:sz="4" w:space="0"/>
            </w:tcBorders>
            <w:noWrap w:val="0"/>
            <w:vAlign w:val="center"/>
          </w:tcPr>
          <w:p w14:paraId="1FB3E6E5">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3970351A">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服务评价</w:t>
            </w:r>
          </w:p>
        </w:tc>
        <w:tc>
          <w:tcPr>
            <w:tcW w:w="5472" w:type="dxa"/>
            <w:tcBorders>
              <w:top w:val="nil"/>
              <w:left w:val="nil"/>
              <w:bottom w:val="single" w:color="auto" w:sz="4" w:space="0"/>
              <w:right w:val="single" w:color="auto" w:sz="4" w:space="0"/>
            </w:tcBorders>
            <w:noWrap w:val="0"/>
            <w:vAlign w:val="center"/>
          </w:tcPr>
          <w:p w14:paraId="4511DC0A">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就上述“同类业绩”评审项中业主单位出具的好评（结果为“良好”或“优秀”或相同含义的评价）进行评审：</w:t>
            </w:r>
          </w:p>
          <w:p w14:paraId="07C90F0B">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每提供一个得2分，没有的得0分，满分为10分。</w:t>
            </w:r>
          </w:p>
          <w:p w14:paraId="0574CBE1">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文件中提供加盖合同采购单位公章的业主服务评价证明文件（项目名称须与对应合同一致）复印件，并加盖供应商实体公章或使用电子公章，否则不得分。</w:t>
            </w:r>
          </w:p>
          <w:p w14:paraId="4BDBC64A">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如供应商为总公司授权投标的，总公司及属同一法人的其他分支机构取得的服务评价视同供应商所拥有。</w:t>
            </w:r>
          </w:p>
        </w:tc>
        <w:tc>
          <w:tcPr>
            <w:tcW w:w="732" w:type="dxa"/>
            <w:gridSpan w:val="2"/>
            <w:tcBorders>
              <w:top w:val="nil"/>
              <w:left w:val="nil"/>
              <w:bottom w:val="single" w:color="auto" w:sz="4" w:space="0"/>
              <w:right w:val="single" w:color="auto" w:sz="4" w:space="0"/>
            </w:tcBorders>
            <w:noWrap/>
            <w:vAlign w:val="center"/>
          </w:tcPr>
          <w:p w14:paraId="4FC3E185">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14:paraId="0E7FCF11">
        <w:tblPrEx>
          <w:tblCellMar>
            <w:top w:w="0" w:type="dxa"/>
            <w:left w:w="108" w:type="dxa"/>
            <w:bottom w:w="0" w:type="dxa"/>
            <w:right w:w="108" w:type="dxa"/>
          </w:tblCellMar>
        </w:tblPrEx>
        <w:trPr>
          <w:trHeight w:val="20" w:hRule="atLeast"/>
        </w:trPr>
        <w:tc>
          <w:tcPr>
            <w:tcW w:w="1271" w:type="dxa"/>
            <w:vMerge w:val="continue"/>
            <w:tcBorders>
              <w:left w:val="single" w:color="auto" w:sz="4" w:space="0"/>
              <w:right w:val="single" w:color="auto" w:sz="4" w:space="0"/>
            </w:tcBorders>
            <w:noWrap w:val="0"/>
            <w:vAlign w:val="center"/>
          </w:tcPr>
          <w:p w14:paraId="20DF293E">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0A12CEBA">
            <w:pPr>
              <w:pStyle w:val="2"/>
              <w:spacing w:line="4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综合偿付能力充足率</w:t>
            </w:r>
          </w:p>
        </w:tc>
        <w:tc>
          <w:tcPr>
            <w:tcW w:w="5472" w:type="dxa"/>
            <w:tcBorders>
              <w:top w:val="nil"/>
              <w:left w:val="nil"/>
              <w:bottom w:val="single" w:color="auto" w:sz="4" w:space="0"/>
              <w:right w:val="single" w:color="auto" w:sz="4" w:space="0"/>
            </w:tcBorders>
            <w:noWrap w:val="0"/>
            <w:vAlign w:val="center"/>
          </w:tcPr>
          <w:p w14:paraId="0C35000D">
            <w:pPr>
              <w:spacing w:line="480" w:lineRule="exact"/>
              <w:rPr>
                <w:rFonts w:hint="default" w:ascii="Times New Roman" w:hAnsi="Times New Roman" w:eastAsia="方正仿宋_GBK" w:cs="Times New Roman"/>
                <w:sz w:val="28"/>
                <w:szCs w:val="28"/>
              </w:rPr>
            </w:pPr>
            <w:bookmarkStart w:id="0" w:name="OLE_LINK1"/>
            <w:bookmarkStart w:id="1" w:name="OLE_LINK2"/>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人所属总公司最近四个季度的综合偿付能力充足率进行评分：</w:t>
            </w:r>
          </w:p>
          <w:p w14:paraId="26E273DD">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综合偿付能力充足率四个季度均达到200%（含200%）以上的，得10分；</w:t>
            </w:r>
          </w:p>
          <w:p w14:paraId="7966AEFB">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综合偿付能力充足率有一个季度高于100%（含100%）且低于200%的，得8分；</w:t>
            </w:r>
          </w:p>
          <w:p w14:paraId="6B5B8F5A">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综合偿付能力充足率有两个季度高于100%（含100%）且低于200%的，得6分；</w:t>
            </w:r>
          </w:p>
          <w:p w14:paraId="4E4A5F7C">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综合偿付能力充足率有三个季度高于100%（含100%）且低于200%的，得4分；</w:t>
            </w:r>
          </w:p>
          <w:p w14:paraId="17B18D2B">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综合偿付能力充足率有四个季度高于100%（含100%）且低于200%的，得2分；</w:t>
            </w:r>
          </w:p>
          <w:p w14:paraId="5FDCA632">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综合偿付能力充足率出现一个季度低于100%的，得0分。</w:t>
            </w:r>
          </w:p>
          <w:p w14:paraId="025FA678">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文件中提供响应人所属总公司在中国保险行业协会官网或响应人所属公司官网披露的报告截图，所有材料需加盖响应人及其所属总公司实体公章或使用电子公章，否则不得分。</w:t>
            </w:r>
            <w:bookmarkEnd w:id="0"/>
            <w:bookmarkEnd w:id="1"/>
          </w:p>
        </w:tc>
        <w:tc>
          <w:tcPr>
            <w:tcW w:w="732" w:type="dxa"/>
            <w:gridSpan w:val="2"/>
            <w:tcBorders>
              <w:top w:val="nil"/>
              <w:left w:val="nil"/>
              <w:bottom w:val="single" w:color="auto" w:sz="4" w:space="0"/>
              <w:right w:val="single" w:color="auto" w:sz="4" w:space="0"/>
            </w:tcBorders>
            <w:noWrap/>
            <w:vAlign w:val="center"/>
          </w:tcPr>
          <w:p w14:paraId="20350E80">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r>
      <w:tr w14:paraId="4EFC6AB6">
        <w:tblPrEx>
          <w:tblCellMar>
            <w:top w:w="0" w:type="dxa"/>
            <w:left w:w="108" w:type="dxa"/>
            <w:bottom w:w="0" w:type="dxa"/>
            <w:right w:w="108" w:type="dxa"/>
          </w:tblCellMar>
        </w:tblPrEx>
        <w:trPr>
          <w:trHeight w:val="20" w:hRule="atLeast"/>
        </w:trPr>
        <w:tc>
          <w:tcPr>
            <w:tcW w:w="1271" w:type="dxa"/>
            <w:vMerge w:val="continue"/>
            <w:tcBorders>
              <w:left w:val="single" w:color="auto" w:sz="4" w:space="0"/>
              <w:bottom w:val="single" w:color="auto" w:sz="4" w:space="0"/>
              <w:right w:val="single" w:color="auto" w:sz="4" w:space="0"/>
            </w:tcBorders>
            <w:noWrap w:val="0"/>
            <w:vAlign w:val="center"/>
          </w:tcPr>
          <w:p w14:paraId="235541A9">
            <w:pPr>
              <w:widowControl/>
              <w:spacing w:line="480" w:lineRule="exact"/>
              <w:jc w:val="left"/>
              <w:rPr>
                <w:rFonts w:hint="eastAsia" w:ascii="宋体" w:hAnsi="宋体" w:eastAsia="宋体" w:cs="宋体"/>
                <w:kern w:val="0"/>
                <w:sz w:val="24"/>
                <w:szCs w:val="24"/>
              </w:rPr>
            </w:pPr>
          </w:p>
        </w:tc>
        <w:tc>
          <w:tcPr>
            <w:tcW w:w="1701" w:type="dxa"/>
            <w:tcBorders>
              <w:top w:val="nil"/>
              <w:left w:val="nil"/>
              <w:bottom w:val="single" w:color="auto" w:sz="4" w:space="0"/>
              <w:right w:val="single" w:color="auto" w:sz="4" w:space="0"/>
            </w:tcBorders>
            <w:noWrap w:val="0"/>
            <w:vAlign w:val="center"/>
          </w:tcPr>
          <w:p w14:paraId="1F5AA71B">
            <w:pPr>
              <w:widowControl/>
              <w:spacing w:line="480" w:lineRule="exact"/>
              <w:jc w:val="center"/>
              <w:rPr>
                <w:rFonts w:hint="eastAsia" w:ascii="宋体" w:hAnsi="宋体" w:eastAsia="宋体" w:cs="宋体"/>
                <w:kern w:val="0"/>
                <w:sz w:val="24"/>
                <w:szCs w:val="24"/>
                <w:lang w:bidi="ar"/>
              </w:rPr>
            </w:pPr>
            <w:r>
              <w:rPr>
                <w:rFonts w:hint="eastAsia" w:ascii="方正黑体_GBK" w:hAnsi="方正黑体_GBK" w:eastAsia="方正黑体_GBK" w:cs="方正黑体_GBK"/>
                <w:b w:val="0"/>
                <w:bCs/>
                <w:kern w:val="2"/>
                <w:sz w:val="24"/>
                <w:szCs w:val="24"/>
                <w:lang w:val="en-US" w:eastAsia="zh-CN" w:bidi="ar-SA"/>
              </w:rPr>
              <w:t>投诉处理能力</w:t>
            </w:r>
          </w:p>
        </w:tc>
        <w:tc>
          <w:tcPr>
            <w:tcW w:w="5472" w:type="dxa"/>
            <w:tcBorders>
              <w:top w:val="nil"/>
              <w:left w:val="nil"/>
              <w:bottom w:val="single" w:color="auto" w:sz="4" w:space="0"/>
              <w:right w:val="single" w:color="auto" w:sz="4" w:space="0"/>
            </w:tcBorders>
            <w:noWrap w:val="0"/>
            <w:vAlign w:val="center"/>
          </w:tcPr>
          <w:p w14:paraId="4377CAA4">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 xml:space="preserve">人总公司投标截止时间前最新公布的万张保单投诉量（件/万张）进行评分： </w:t>
            </w:r>
          </w:p>
          <w:p w14:paraId="5D729BE2">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 xml:space="preserve">0.05件/万张（含）以下，得5分； </w:t>
            </w:r>
          </w:p>
          <w:p w14:paraId="6C69D2FF">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0.05件/万张（不含）至0.08件/万张（含），得3分；</w:t>
            </w:r>
          </w:p>
          <w:p w14:paraId="6D8C731C">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 xml:space="preserve">0.08件/万张（不含）至0.1件/万张（含），得1分； </w:t>
            </w:r>
          </w:p>
          <w:p w14:paraId="3FFC55D0">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 xml:space="preserve">0.1件/万张（不含）以上，得0分。 </w:t>
            </w:r>
          </w:p>
          <w:p w14:paraId="76494951">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注：需在</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文件中提供国家金融监督管理总局发布的通报公告截图及公告附件作为证明材料，并加盖响应供应商实体公章或使用电子公章，否则不得分。</w:t>
            </w:r>
          </w:p>
          <w:p w14:paraId="5E8267BB">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根据</w:t>
            </w:r>
            <w:r>
              <w:rPr>
                <w:rFonts w:hint="eastAsia" w:ascii="Times New Roman" w:hAnsi="Times New Roman" w:eastAsia="方正仿宋_GBK" w:cs="Times New Roman"/>
                <w:sz w:val="28"/>
                <w:szCs w:val="28"/>
                <w:lang w:val="en-US" w:eastAsia="zh-CN"/>
              </w:rPr>
              <w:t>投标</w:t>
            </w:r>
            <w:r>
              <w:rPr>
                <w:rFonts w:hint="eastAsia" w:ascii="Times New Roman" w:hAnsi="Times New Roman" w:eastAsia="方正仿宋_GBK" w:cs="Times New Roman"/>
                <w:sz w:val="28"/>
                <w:szCs w:val="28"/>
              </w:rPr>
              <w:t>人承诺的投诉处理控制，有效控制服务对象投诉率措施进行评分：</w:t>
            </w:r>
          </w:p>
          <w:p w14:paraId="55C4FB5A">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rPr>
              <w:t>承诺的投诉处理控制措施规范，能有效控制投诉率，完全满足或优于项目实施需求的，得5分；</w:t>
            </w:r>
          </w:p>
          <w:p w14:paraId="0D3C9968">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承诺的投诉处理控制措施不够规范，不能有效控制投诉率，部分满足项目实施需求的，得3分；</w:t>
            </w:r>
          </w:p>
          <w:p w14:paraId="4EE4A1D3">
            <w:pPr>
              <w:spacing w:line="480" w:lineRule="exact"/>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承诺的投诉处理控制措施存在一定缺陷，会造成投诉率增涨，不满足项目实施需求的，得1分；</w:t>
            </w:r>
          </w:p>
          <w:p w14:paraId="57893144">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无提供相关描述，得0分。</w:t>
            </w:r>
          </w:p>
        </w:tc>
        <w:tc>
          <w:tcPr>
            <w:tcW w:w="732" w:type="dxa"/>
            <w:gridSpan w:val="2"/>
            <w:tcBorders>
              <w:top w:val="nil"/>
              <w:left w:val="nil"/>
              <w:bottom w:val="single" w:color="auto" w:sz="4" w:space="0"/>
              <w:right w:val="single" w:color="auto" w:sz="4" w:space="0"/>
            </w:tcBorders>
            <w:noWrap/>
            <w:vAlign w:val="center"/>
          </w:tcPr>
          <w:p w14:paraId="0F6166F8">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14:paraId="63DE0150">
        <w:tblPrEx>
          <w:tblCellMar>
            <w:top w:w="0" w:type="dxa"/>
            <w:left w:w="108" w:type="dxa"/>
            <w:bottom w:w="0" w:type="dxa"/>
            <w:right w:w="108" w:type="dxa"/>
          </w:tblCellMar>
        </w:tblPrEx>
        <w:trPr>
          <w:trHeight w:val="20" w:hRule="atLeast"/>
        </w:trPr>
        <w:tc>
          <w:tcPr>
            <w:tcW w:w="1271" w:type="dxa"/>
            <w:vMerge w:val="restart"/>
            <w:tcBorders>
              <w:left w:val="single" w:color="auto" w:sz="4" w:space="0"/>
              <w:right w:val="single" w:color="auto" w:sz="4" w:space="0"/>
            </w:tcBorders>
            <w:noWrap w:val="0"/>
            <w:vAlign w:val="center"/>
          </w:tcPr>
          <w:p w14:paraId="1850409D">
            <w:pPr>
              <w:widowControl/>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kern w:val="2"/>
                <w:sz w:val="24"/>
                <w:szCs w:val="24"/>
                <w:lang w:val="en-US" w:eastAsia="zh-CN" w:bidi="ar-SA"/>
              </w:rPr>
              <w:t>价格评分</w:t>
            </w:r>
          </w:p>
        </w:tc>
        <w:tc>
          <w:tcPr>
            <w:tcW w:w="1701" w:type="dxa"/>
            <w:tcBorders>
              <w:top w:val="nil"/>
              <w:left w:val="nil"/>
              <w:bottom w:val="single" w:color="auto" w:sz="4" w:space="0"/>
              <w:right w:val="single" w:color="auto" w:sz="4" w:space="0"/>
            </w:tcBorders>
            <w:noWrap w:val="0"/>
            <w:vAlign w:val="center"/>
          </w:tcPr>
          <w:p w14:paraId="603F9AAE">
            <w:pPr>
              <w:widowControl/>
              <w:spacing w:line="480" w:lineRule="exact"/>
              <w:jc w:val="center"/>
              <w:rPr>
                <w:rFonts w:ascii="宋体" w:hAnsi="宋体" w:eastAsia="宋体"/>
                <w:sz w:val="24"/>
                <w:szCs w:val="24"/>
              </w:rPr>
            </w:pPr>
            <w:r>
              <w:rPr>
                <w:rFonts w:hint="eastAsia" w:ascii="方正黑体_GBK" w:hAnsi="方正黑体_GBK" w:eastAsia="方正黑体_GBK" w:cs="方正黑体_GBK"/>
                <w:b w:val="0"/>
                <w:bCs/>
                <w:kern w:val="2"/>
                <w:sz w:val="24"/>
                <w:szCs w:val="24"/>
                <w:lang w:val="en-US" w:eastAsia="zh-CN" w:bidi="ar-SA"/>
              </w:rPr>
              <w:t>价格扣除条件</w:t>
            </w:r>
          </w:p>
        </w:tc>
        <w:tc>
          <w:tcPr>
            <w:tcW w:w="5472" w:type="dxa"/>
            <w:tcBorders>
              <w:top w:val="nil"/>
              <w:left w:val="nil"/>
              <w:bottom w:val="single" w:color="auto" w:sz="4" w:space="0"/>
              <w:right w:val="single" w:color="auto" w:sz="4" w:space="0"/>
            </w:tcBorders>
            <w:noWrap w:val="0"/>
            <w:vAlign w:val="center"/>
          </w:tcPr>
          <w:p w14:paraId="58AF54BC">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小型和微型企业（监狱企业、残疾人福利单位视同小型、微型企业）（10%）</w:t>
            </w:r>
          </w:p>
        </w:tc>
        <w:tc>
          <w:tcPr>
            <w:tcW w:w="732" w:type="dxa"/>
            <w:gridSpan w:val="2"/>
            <w:vMerge w:val="restart"/>
            <w:tcBorders>
              <w:top w:val="nil"/>
              <w:left w:val="nil"/>
              <w:right w:val="single" w:color="auto" w:sz="4" w:space="0"/>
            </w:tcBorders>
            <w:noWrap/>
            <w:vAlign w:val="center"/>
          </w:tcPr>
          <w:p w14:paraId="0AD3F719">
            <w:pPr>
              <w:spacing w:line="4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default" w:ascii="Times New Roman" w:hAnsi="Times New Roman" w:eastAsia="方正仿宋_GBK" w:cs="Times New Roman"/>
                <w:sz w:val="28"/>
                <w:szCs w:val="28"/>
              </w:rPr>
              <w:t>0</w:t>
            </w:r>
          </w:p>
        </w:tc>
      </w:tr>
      <w:tr w14:paraId="55AFD38D">
        <w:tblPrEx>
          <w:tblCellMar>
            <w:top w:w="0" w:type="dxa"/>
            <w:left w:w="108" w:type="dxa"/>
            <w:bottom w:w="0" w:type="dxa"/>
            <w:right w:w="108" w:type="dxa"/>
          </w:tblCellMar>
        </w:tblPrEx>
        <w:trPr>
          <w:trHeight w:val="20" w:hRule="atLeast"/>
        </w:trPr>
        <w:tc>
          <w:tcPr>
            <w:tcW w:w="1271" w:type="dxa"/>
            <w:vMerge w:val="continue"/>
            <w:tcBorders>
              <w:left w:val="single" w:color="auto" w:sz="4" w:space="0"/>
              <w:bottom w:val="single" w:color="auto" w:sz="4" w:space="0"/>
              <w:right w:val="single" w:color="auto" w:sz="4" w:space="0"/>
            </w:tcBorders>
            <w:noWrap w:val="0"/>
            <w:vAlign w:val="center"/>
          </w:tcPr>
          <w:p w14:paraId="2A553973">
            <w:pPr>
              <w:widowControl/>
              <w:spacing w:line="480" w:lineRule="exact"/>
              <w:jc w:val="left"/>
              <w:rPr>
                <w:rFonts w:hint="eastAsia" w:ascii="宋体" w:hAnsi="宋体" w:eastAsia="宋体"/>
                <w:bCs/>
                <w:sz w:val="24"/>
                <w:szCs w:val="24"/>
              </w:rPr>
            </w:pPr>
          </w:p>
        </w:tc>
        <w:tc>
          <w:tcPr>
            <w:tcW w:w="7173" w:type="dxa"/>
            <w:gridSpan w:val="2"/>
            <w:tcBorders>
              <w:top w:val="nil"/>
              <w:left w:val="nil"/>
              <w:bottom w:val="single" w:color="auto" w:sz="4" w:space="0"/>
              <w:right w:val="single" w:color="auto" w:sz="4" w:space="0"/>
            </w:tcBorders>
            <w:noWrap w:val="0"/>
            <w:vAlign w:val="center"/>
          </w:tcPr>
          <w:p w14:paraId="3AC8B615">
            <w:pPr>
              <w:spacing w:line="480" w:lineRule="exact"/>
              <w:rPr>
                <w:rFonts w:hint="eastAsia" w:ascii="宋体" w:hAnsi="宋体" w:eastAsia="宋体" w:cs="宋体"/>
                <w:kern w:val="0"/>
                <w:sz w:val="24"/>
                <w:szCs w:val="24"/>
              </w:rPr>
            </w:pPr>
            <w:r>
              <w:rPr>
                <w:rFonts w:hint="eastAsia" w:ascii="Times New Roman" w:hAnsi="Times New Roman" w:eastAsia="方正仿宋_GBK" w:cs="Times New Roman"/>
                <w:sz w:val="28"/>
                <w:szCs w:val="28"/>
              </w:rPr>
              <w:t>价格扣除后的报价得分=（</w:t>
            </w:r>
            <w:r>
              <w:rPr>
                <w:rFonts w:hint="eastAsia" w:ascii="Times New Roman" w:hAnsi="Times New Roman" w:eastAsia="方正仿宋_GBK" w:cs="Times New Roman"/>
                <w:sz w:val="28"/>
                <w:szCs w:val="28"/>
                <w:lang w:val="en-US" w:eastAsia="zh-CN"/>
              </w:rPr>
              <w:t>评标</w:t>
            </w:r>
            <w:r>
              <w:rPr>
                <w:rFonts w:hint="eastAsia" w:ascii="Times New Roman" w:hAnsi="Times New Roman" w:eastAsia="方正仿宋_GBK" w:cs="Times New Roman"/>
                <w:sz w:val="28"/>
                <w:szCs w:val="28"/>
              </w:rPr>
              <w:t>基准价/投标报价）×10</w:t>
            </w:r>
          </w:p>
        </w:tc>
        <w:tc>
          <w:tcPr>
            <w:tcW w:w="732" w:type="dxa"/>
            <w:gridSpan w:val="2"/>
            <w:vMerge w:val="continue"/>
            <w:tcBorders>
              <w:left w:val="nil"/>
              <w:bottom w:val="single" w:color="auto" w:sz="4" w:space="0"/>
              <w:right w:val="single" w:color="auto" w:sz="4" w:space="0"/>
            </w:tcBorders>
            <w:noWrap/>
            <w:vAlign w:val="center"/>
          </w:tcPr>
          <w:p w14:paraId="75A580B5">
            <w:pPr>
              <w:widowControl/>
              <w:spacing w:line="480" w:lineRule="exact"/>
              <w:jc w:val="center"/>
              <w:rPr>
                <w:rFonts w:hint="eastAsia" w:ascii="宋体" w:hAnsi="宋体" w:eastAsia="宋体" w:cs="宋体"/>
                <w:kern w:val="0"/>
                <w:sz w:val="24"/>
                <w:szCs w:val="24"/>
              </w:rPr>
            </w:pPr>
          </w:p>
        </w:tc>
      </w:tr>
      <w:tr w14:paraId="41140896">
        <w:tblPrEx>
          <w:tblCellMar>
            <w:top w:w="0" w:type="dxa"/>
            <w:left w:w="108" w:type="dxa"/>
            <w:bottom w:w="0" w:type="dxa"/>
            <w:right w:w="108" w:type="dxa"/>
          </w:tblCellMar>
        </w:tblPrEx>
        <w:trPr>
          <w:gridAfter w:val="1"/>
          <w:wAfter w:w="13" w:type="dxa"/>
          <w:trHeight w:val="20" w:hRule="atLeast"/>
        </w:trPr>
        <w:tc>
          <w:tcPr>
            <w:tcW w:w="8444" w:type="dxa"/>
            <w:gridSpan w:val="3"/>
            <w:tcBorders>
              <w:top w:val="single" w:color="auto" w:sz="4" w:space="0"/>
              <w:left w:val="single" w:color="auto" w:sz="4" w:space="0"/>
              <w:bottom w:val="single" w:color="auto" w:sz="4" w:space="0"/>
              <w:right w:val="single" w:color="auto" w:sz="4" w:space="0"/>
            </w:tcBorders>
            <w:noWrap w:val="0"/>
            <w:vAlign w:val="center"/>
          </w:tcPr>
          <w:p w14:paraId="5AD3686D">
            <w:pPr>
              <w:widowControl/>
              <w:spacing w:line="480" w:lineRule="exact"/>
              <w:jc w:val="center"/>
              <w:rPr>
                <w:rFonts w:hint="eastAsia" w:ascii="宋体" w:hAnsi="宋体" w:eastAsia="宋体" w:cs="宋体"/>
                <w:kern w:val="0"/>
                <w:sz w:val="24"/>
                <w:szCs w:val="24"/>
              </w:rPr>
            </w:pPr>
            <w:r>
              <w:rPr>
                <w:rFonts w:hint="eastAsia" w:ascii="方正黑体_GBK" w:hAnsi="方正黑体_GBK" w:eastAsia="方正黑体_GBK" w:cs="方正黑体_GBK"/>
                <w:b w:val="0"/>
                <w:bCs/>
                <w:kern w:val="2"/>
                <w:sz w:val="24"/>
                <w:szCs w:val="24"/>
                <w:lang w:val="en-US" w:eastAsia="zh-CN" w:bidi="ar-SA"/>
              </w:rPr>
              <w:t>合计</w:t>
            </w:r>
          </w:p>
        </w:tc>
        <w:tc>
          <w:tcPr>
            <w:tcW w:w="719" w:type="dxa"/>
            <w:tcBorders>
              <w:top w:val="nil"/>
              <w:left w:val="nil"/>
              <w:bottom w:val="single" w:color="auto" w:sz="4" w:space="0"/>
              <w:right w:val="single" w:color="auto" w:sz="4" w:space="0"/>
            </w:tcBorders>
            <w:noWrap/>
            <w:vAlign w:val="center"/>
          </w:tcPr>
          <w:p w14:paraId="28AFC719">
            <w:pPr>
              <w:widowControl/>
              <w:spacing w:line="480" w:lineRule="exact"/>
              <w:jc w:val="center"/>
              <w:rPr>
                <w:rFonts w:hint="eastAsia" w:ascii="宋体" w:hAnsi="宋体" w:eastAsia="宋体" w:cs="宋体"/>
                <w:kern w:val="0"/>
                <w:sz w:val="24"/>
                <w:szCs w:val="24"/>
              </w:rPr>
            </w:pPr>
            <w:r>
              <w:rPr>
                <w:rFonts w:hint="eastAsia" w:ascii="Times New Roman" w:hAnsi="Times New Roman" w:eastAsia="方正仿宋_GBK" w:cs="Times New Roman"/>
                <w:sz w:val="28"/>
                <w:szCs w:val="28"/>
              </w:rPr>
              <w:t>100</w:t>
            </w:r>
          </w:p>
        </w:tc>
      </w:tr>
    </w:tbl>
    <w:p w14:paraId="6C8ECCD7">
      <w:pPr>
        <w:numPr>
          <w:ilvl w:val="0"/>
          <w:numId w:val="0"/>
        </w:numPr>
        <w:rPr>
          <w:rFonts w:hint="eastAsia"/>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A0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30325">
                          <w:pPr>
                            <w:pStyle w:val="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30325">
                    <w:pPr>
                      <w:pStyle w:val="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9B9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3F3C6"/>
    <w:multiLevelType w:val="singleLevel"/>
    <w:tmpl w:val="3413F3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F2F4D"/>
    <w:rsid w:val="12663C29"/>
    <w:rsid w:val="152A3C75"/>
    <w:rsid w:val="15C26140"/>
    <w:rsid w:val="1F8D3A41"/>
    <w:rsid w:val="489F2F4D"/>
    <w:rsid w:val="68F9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样式"/>
    <w:basedOn w:val="8"/>
    <w:qFormat/>
    <w:uiPriority w:val="0"/>
    <w:rPr>
      <w:rFonts w:ascii="Calibri" w:hAnsi="Calibri"/>
      <w:sz w:val="24"/>
      <w:szCs w:val="22"/>
    </w:rPr>
  </w:style>
  <w:style w:type="paragraph" w:styleId="8">
    <w:name w:val="No Spacing"/>
    <w:qFormat/>
    <w:uiPriority w:val="1"/>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3475</Words>
  <Characters>3712</Characters>
  <Lines>0</Lines>
  <Paragraphs>0</Paragraphs>
  <TotalTime>8</TotalTime>
  <ScaleCrop>false</ScaleCrop>
  <LinksUpToDate>false</LinksUpToDate>
  <CharactersWithSpaces>3721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2026-02-25T01:16:00Z</dcterms:created>
  <dc:creator>༗࿆笨猪跳༗࿆</dc:creator>
  <cp:lastModifiedBy>༗࿆笨猪跳༗࿆</cp:lastModifiedBy>
  <dcterms:modified xsi:type="dcterms:W3CDTF">2026-02-28T00:40:07Z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8BD7A8CC0E99452E919FEF331678D48C_11</vt:lpwstr>
  </property>
  <property fmtid="{D5CDD505-2E9C-101B-9397-08002B2CF9AE}" pid="4" name="KSOTemplateDocerSaveRecord">
    <vt:lpwstr>eyJoZGlkIjoiZjExMThiYmRiNWNhMzQ1MmFiZWM0ODMwNWFlYWZlYzYiLCJ1c2VySWQiOiIzMDAyNjUzMzgifQ==</vt:lpwstr>
  </property>
</Properties>
</file>