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方正黑体_GBK" w:hAnsi="方正黑体_GBK" w:eastAsia="方正黑体_GBK" w:cs="方正黑体_GBK"/>
          <w:spacing w:val="-11"/>
          <w:sz w:val="32"/>
          <w:szCs w:val="32"/>
          <w:lang w:val="en-US" w:eastAsia="zh-CN"/>
        </w:rPr>
      </w:pPr>
      <w:r>
        <w:rPr>
          <w:rFonts w:hint="eastAsia" w:ascii="方正黑体_GBK" w:hAnsi="方正黑体_GBK" w:eastAsia="方正黑体_GBK" w:cs="方正黑体_GBK"/>
          <w:spacing w:val="-11"/>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0" w:firstLineChars="0"/>
        <w:jc w:val="center"/>
        <w:textAlignment w:val="auto"/>
        <w:rPr>
          <w:rFonts w:hint="eastAsia" w:ascii="方正小标宋_GBK" w:hAnsi="方正小标宋_GBK" w:eastAsia="方正小标宋_GBK" w:cs="方正小标宋_GBK"/>
          <w:spacing w:val="-11"/>
          <w:sz w:val="40"/>
          <w:szCs w:val="40"/>
          <w:lang w:eastAsia="zh-CN"/>
        </w:rPr>
      </w:pPr>
      <w:bookmarkStart w:id="0" w:name="_GoBack"/>
      <w:r>
        <w:rPr>
          <w:rFonts w:hint="eastAsia" w:ascii="方正小标宋_GBK" w:hAnsi="方正小标宋_GBK" w:eastAsia="方正小标宋_GBK" w:cs="方正小标宋_GBK"/>
          <w:spacing w:val="-11"/>
          <w:sz w:val="40"/>
          <w:szCs w:val="40"/>
        </w:rPr>
        <w:t>“江门市行政执法先进</w:t>
      </w:r>
      <w:r>
        <w:rPr>
          <w:rFonts w:hint="eastAsia" w:ascii="方正小标宋_GBK" w:hAnsi="方正小标宋_GBK" w:eastAsia="方正小标宋_GBK" w:cs="方正小标宋_GBK"/>
          <w:spacing w:val="-11"/>
          <w:sz w:val="40"/>
          <w:szCs w:val="40"/>
          <w:lang w:eastAsia="zh-CN"/>
        </w:rPr>
        <w:t>个人</w:t>
      </w:r>
      <w:r>
        <w:rPr>
          <w:rFonts w:hint="eastAsia" w:ascii="方正小标宋_GBK" w:hAnsi="方正小标宋_GBK" w:eastAsia="方正小标宋_GBK" w:cs="方正小标宋_GBK"/>
          <w:spacing w:val="-11"/>
          <w:sz w:val="40"/>
          <w:szCs w:val="40"/>
        </w:rPr>
        <w:t>”拟推荐对象</w:t>
      </w:r>
      <w:r>
        <w:rPr>
          <w:rFonts w:hint="eastAsia" w:ascii="方正小标宋_GBK" w:hAnsi="方正小标宋_GBK" w:eastAsia="方正小标宋_GBK" w:cs="方正小标宋_GBK"/>
          <w:spacing w:val="-11"/>
          <w:sz w:val="40"/>
          <w:szCs w:val="40"/>
          <w:lang w:val="en-US" w:eastAsia="zh-CN"/>
        </w:rPr>
        <w:t>名单</w:t>
      </w:r>
    </w:p>
    <w:bookmarkEnd w:id="0"/>
    <w:p>
      <w:pPr>
        <w:rPr>
          <w:rFonts w:hint="eastAsia"/>
        </w:rPr>
      </w:pPr>
    </w:p>
    <w:tbl>
      <w:tblPr>
        <w:tblStyle w:val="4"/>
        <w:tblW w:w="9240" w:type="dxa"/>
        <w:tblInd w:w="-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45"/>
        <w:gridCol w:w="2445"/>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黑体" w:hAnsi="黑体" w:eastAsia="黑体" w:cs="黑体"/>
                <w:b w:val="0"/>
                <w:bCs w:val="0"/>
                <w:sz w:val="24"/>
                <w:szCs w:val="24"/>
                <w:vertAlign w:val="baseline"/>
              </w:rPr>
            </w:pPr>
            <w:r>
              <w:rPr>
                <w:rFonts w:hint="eastAsia" w:ascii="黑体" w:hAnsi="黑体" w:eastAsia="黑体" w:cs="黑体"/>
                <w:b w:val="0"/>
                <w:bCs w:val="0"/>
                <w:i w:val="0"/>
                <w:iCs w:val="0"/>
                <w:color w:val="000000"/>
                <w:kern w:val="0"/>
                <w:sz w:val="24"/>
                <w:szCs w:val="24"/>
                <w:u w:val="none"/>
                <w:lang w:val="en-US" w:eastAsia="zh-CN" w:bidi="ar"/>
              </w:rPr>
              <w:t>序号</w:t>
            </w:r>
          </w:p>
        </w:tc>
        <w:tc>
          <w:tcPr>
            <w:tcW w:w="945" w:type="dxa"/>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黑体" w:hAnsi="黑体" w:eastAsia="黑体" w:cs="黑体"/>
                <w:b w:val="0"/>
                <w:bCs w:val="0"/>
                <w:sz w:val="24"/>
                <w:szCs w:val="24"/>
                <w:vertAlign w:val="baseline"/>
              </w:rPr>
            </w:pPr>
            <w:r>
              <w:rPr>
                <w:rFonts w:hint="eastAsia" w:ascii="黑体" w:hAnsi="黑体" w:eastAsia="黑体" w:cs="黑体"/>
                <w:b w:val="0"/>
                <w:bCs w:val="0"/>
                <w:i w:val="0"/>
                <w:iCs w:val="0"/>
                <w:color w:val="000000"/>
                <w:kern w:val="0"/>
                <w:sz w:val="24"/>
                <w:szCs w:val="24"/>
                <w:u w:val="none"/>
                <w:lang w:val="en-US" w:eastAsia="zh-CN" w:bidi="ar"/>
              </w:rPr>
              <w:t>拟推荐对象</w:t>
            </w:r>
          </w:p>
        </w:tc>
        <w:tc>
          <w:tcPr>
            <w:tcW w:w="2445" w:type="dxa"/>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所在单位</w:t>
            </w:r>
          </w:p>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default"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职务职级</w:t>
            </w:r>
          </w:p>
        </w:tc>
        <w:tc>
          <w:tcPr>
            <w:tcW w:w="5295" w:type="dxa"/>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default"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主要工作情况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0" w:hRule="atLeast"/>
        </w:trPr>
        <w:tc>
          <w:tcPr>
            <w:tcW w:w="5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9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廖斌</w:t>
            </w:r>
          </w:p>
        </w:tc>
        <w:tc>
          <w:tcPr>
            <w:tcW w:w="24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江海区礼乐街道办事处副主任</w:t>
            </w:r>
          </w:p>
        </w:tc>
        <w:tc>
          <w:tcPr>
            <w:tcW w:w="5295" w:type="dxa"/>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该同志在礼乐街道办事处分管行政执法工作以来，攻坚克难，执法规范化水平显著提高，近年来指导街道综合行政执法队办理行政处罚案件百余宗，实现行政复议“零撤销”、行政诉讼“零败诉”；通过高效、规范的执法，有效遏制了包括民房抢建违建、违法用地等各类违法违规行为，同时积极创新办案思路，总结探索出一条行之有效的工作依法，推动包括乌纱砖厂在内的一大批涉及违法用地且存在执行难的硬骨头案件得到有效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5" w:hRule="atLeast"/>
        </w:trPr>
        <w:tc>
          <w:tcPr>
            <w:tcW w:w="5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9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李培添</w:t>
            </w:r>
          </w:p>
        </w:tc>
        <w:tc>
          <w:tcPr>
            <w:tcW w:w="24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江海区司法局行政执法监督股股长</w:t>
            </w:r>
          </w:p>
        </w:tc>
        <w:tc>
          <w:tcPr>
            <w:tcW w:w="5295" w:type="dxa"/>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该同志聚焦主责主业，牵头起草、修订本区街道综合行政执法统筹协调制度、规范涉企行政检查营造法治化营商环境等政策文件，指导落实行政执法减免责清单、行政处罚自由裁量权基准等制度，为执法人员提供清晰明确的操作指引；创新行政执法案卷评查机制，引入人大代表、政协委员、司法所业务骨干等参与评查，多措并举推动全区行政执法水平提升，行政执法案卷合格率稳步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0" w:hRule="atLeast"/>
        </w:trPr>
        <w:tc>
          <w:tcPr>
            <w:tcW w:w="5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9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龙晓华</w:t>
            </w:r>
          </w:p>
        </w:tc>
        <w:tc>
          <w:tcPr>
            <w:tcW w:w="2445" w:type="dxa"/>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江海区江南街道办事处一级行政执法员</w:t>
            </w:r>
          </w:p>
        </w:tc>
        <w:tc>
          <w:tcPr>
            <w:tcW w:w="5295" w:type="dxa"/>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该同志作为江南街道办事处行政执法队伍的新成员，刻苦钻研执法业务，执法业务娴熟练，2024年以来，主办或参与的行政处罚案件，法律文书规范严谨，调查取证全面客观，法律适用准确恰当，案卷质量在评查中受到好评；该同志善于将普法宣传融入执法过程，有效促进矛盾化解，实现了法律效果与社会效果的统一。</w:t>
            </w: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7E697F"/>
    <w:rsid w:val="2EF20488"/>
    <w:rsid w:val="35404A2F"/>
    <w:rsid w:val="3D7C632C"/>
    <w:rsid w:val="41A859E8"/>
    <w:rsid w:val="45317038"/>
    <w:rsid w:val="634C70CE"/>
    <w:rsid w:val="6DB21A61"/>
    <w:rsid w:val="7DEE4909"/>
    <w:rsid w:val="7FFB120E"/>
    <w:rsid w:val="B9D7148C"/>
    <w:rsid w:val="BBEEE42D"/>
    <w:rsid w:val="BF2B3499"/>
    <w:rsid w:val="CFF75184"/>
    <w:rsid w:val="DFE2A33D"/>
    <w:rsid w:val="E7EFA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1063</Words>
  <Characters>1074</Characters>
  <Lines>0</Lines>
  <Paragraphs>0</Paragraphs>
  <TotalTime>7</TotalTime>
  <ScaleCrop>false</ScaleCrop>
  <LinksUpToDate>false</LinksUpToDate>
  <CharactersWithSpaces>1074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2025-12-17T16:43:00Z</dcterms:created>
  <dc:creator>123</dc:creator>
  <cp:lastModifiedBy>guest</cp:lastModifiedBy>
  <cp:lastPrinted>2026-01-14T16:34:24Z</cp:lastPrinted>
  <dcterms:modified xsi:type="dcterms:W3CDTF">2026-01-14T16:35:24Z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eyJoZGlkIjoiMjRiM2E0NjYwNDI5Y2U1ZTAxNWRlMTI3OTkyODQ0MDkiLCJ1c2VySWQiOiI2NDIxNDc1ODUifQ==</vt:lpwstr>
  </property>
  <property fmtid="{D5CDD505-2E9C-101B-9397-08002B2CF9AE}" pid="4" name="ICV">
    <vt:lpwstr>C4EFEEE4A8D341108D4DB39D628F592D_12</vt:lpwstr>
  </property>
</Properties>
</file>