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rPr>
          <w:rFonts w:hint="default" w:ascii="Times New Roman" w:hAnsi="Times New Roman" w:eastAsia="方正黑体_GBK" w:cs="Times New Roman"/>
          <w:kern w:val="0"/>
          <w:sz w:val="32"/>
          <w:szCs w:val="32"/>
          <w:shd w:val="clear" w:color="auto" w:fill="FFFFFF"/>
          <w:lang w:bidi="ar"/>
        </w:rPr>
      </w:pPr>
      <w:r>
        <w:rPr>
          <w:rFonts w:hint="default" w:ascii="Times New Roman" w:hAnsi="Times New Roman" w:eastAsia="方正黑体_GBK" w:cs="Times New Roman"/>
          <w:bCs/>
          <w:sz w:val="32"/>
          <w:szCs w:val="32"/>
          <w:shd w:val="clear" w:color="auto" w:fill="FFFFFF"/>
        </w:rPr>
        <w:t>附件1</w:t>
      </w:r>
    </w:p>
    <w:p>
      <w:pPr>
        <w:widowControl/>
        <w:shd w:val="clear" w:color="auto" w:fill="FFFFFF"/>
        <w:spacing w:before="312" w:beforeLines="100" w:line="600" w:lineRule="exact"/>
        <w:jc w:val="center"/>
        <w:rPr>
          <w:rFonts w:hint="default" w:ascii="Times New Roman" w:hAnsi="Times New Roman" w:eastAsia="方正小标宋_GBK" w:cs="Times New Roman"/>
          <w:bCs/>
          <w:sz w:val="40"/>
          <w:szCs w:val="40"/>
          <w:shd w:val="clear" w:color="auto" w:fill="FFFFFF"/>
        </w:rPr>
      </w:pPr>
      <w:bookmarkStart w:id="0" w:name="OLE_LINK2"/>
      <w:r>
        <w:rPr>
          <w:rFonts w:hint="default" w:ascii="Times New Roman" w:hAnsi="Times New Roman" w:eastAsia="方正小标宋_GBK" w:cs="Times New Roman"/>
          <w:bCs/>
          <w:sz w:val="40"/>
          <w:szCs w:val="40"/>
          <w:shd w:val="clear" w:color="auto" w:fill="FFFFFF"/>
        </w:rPr>
        <w:t>江海区2025年高素质农民培育常规任务</w:t>
      </w:r>
    </w:p>
    <w:p>
      <w:pPr>
        <w:widowControl/>
        <w:shd w:val="clear" w:color="auto" w:fill="FFFFFF"/>
        <w:spacing w:line="600" w:lineRule="exact"/>
        <w:jc w:val="center"/>
        <w:rPr>
          <w:rFonts w:hint="default" w:ascii="Times New Roman" w:hAnsi="Times New Roman" w:eastAsia="方正小标宋_GBK" w:cs="Times New Roman"/>
          <w:bCs/>
          <w:kern w:val="0"/>
          <w:sz w:val="40"/>
          <w:szCs w:val="40"/>
          <w:shd w:val="clear" w:color="auto" w:fill="FFFFFF"/>
          <w:lang w:bidi="ar"/>
        </w:rPr>
      </w:pPr>
      <w:r>
        <w:rPr>
          <w:rFonts w:hint="default" w:ascii="Times New Roman" w:hAnsi="Times New Roman" w:eastAsia="方正小标宋_GBK" w:cs="Times New Roman"/>
          <w:bCs/>
          <w:sz w:val="40"/>
          <w:szCs w:val="40"/>
          <w:shd w:val="clear" w:color="auto" w:fill="FFFFFF"/>
        </w:rPr>
        <w:t>项目培育机构公开遴选评审办法</w:t>
      </w:r>
      <w:bookmarkEnd w:id="0"/>
    </w:p>
    <w:p>
      <w:pPr>
        <w:widowControl/>
        <w:shd w:val="clear" w:color="auto" w:fill="FFFFFF"/>
        <w:ind w:firstLine="640" w:firstLineChars="200"/>
        <w:jc w:val="left"/>
        <w:rPr>
          <w:rFonts w:hint="default" w:ascii="Times New Roman" w:hAnsi="Times New Roman" w:eastAsia="黑体" w:cs="Times New Roman"/>
          <w:kern w:val="0"/>
          <w:sz w:val="32"/>
          <w:szCs w:val="32"/>
          <w:shd w:val="clear" w:color="auto" w:fill="FFFFFF"/>
          <w:lang w:bidi="ar"/>
        </w:rPr>
      </w:pPr>
    </w:p>
    <w:p>
      <w:pPr>
        <w:widowControl/>
        <w:shd w:val="clear" w:color="auto" w:fill="FFFFFF"/>
        <w:spacing w:line="578" w:lineRule="exact"/>
        <w:ind w:firstLine="640" w:firstLineChars="200"/>
        <w:jc w:val="left"/>
        <w:rPr>
          <w:rFonts w:hint="default" w:ascii="Times New Roman" w:hAnsi="Times New Roman" w:eastAsia="方正黑体_GBK" w:cs="Times New Roman"/>
          <w:bCs/>
          <w:kern w:val="0"/>
          <w:sz w:val="32"/>
          <w:szCs w:val="32"/>
          <w:lang w:bidi="ar"/>
        </w:rPr>
      </w:pPr>
      <w:r>
        <w:rPr>
          <w:rFonts w:hint="default" w:ascii="Times New Roman" w:hAnsi="Times New Roman" w:eastAsia="方正黑体_GBK" w:cs="Times New Roman"/>
          <w:bCs/>
          <w:sz w:val="32"/>
          <w:szCs w:val="32"/>
          <w:shd w:val="clear" w:color="auto" w:fill="FFFFFF"/>
        </w:rPr>
        <w:t>一、评审小组</w:t>
      </w:r>
    </w:p>
    <w:p>
      <w:pPr>
        <w:widowControl/>
        <w:shd w:val="clear" w:color="auto" w:fill="FFFFFF"/>
        <w:spacing w:line="578" w:lineRule="exact"/>
        <w:ind w:firstLine="640" w:firstLineChars="200"/>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shd w:val="clear" w:color="auto" w:fill="FFFFFF"/>
          <w:lang w:bidi="ar"/>
        </w:rPr>
        <w:t>按照《202</w:t>
      </w:r>
      <w:r>
        <w:rPr>
          <w:rFonts w:hint="default" w:ascii="Times New Roman" w:hAnsi="Times New Roman" w:eastAsia="方正仿宋_GBK" w:cs="Times New Roman"/>
          <w:kern w:val="0"/>
          <w:sz w:val="32"/>
          <w:szCs w:val="32"/>
          <w:shd w:val="clear" w:color="auto" w:fill="FFFFFF"/>
          <w:lang w:bidi="ar"/>
        </w:rPr>
        <w:t>5</w:t>
      </w:r>
      <w:r>
        <w:rPr>
          <w:rFonts w:hint="default" w:ascii="Times New Roman" w:hAnsi="Times New Roman" w:eastAsia="方正仿宋_GBK" w:cs="Times New Roman"/>
          <w:kern w:val="0"/>
          <w:sz w:val="32"/>
          <w:szCs w:val="32"/>
          <w:shd w:val="clear" w:color="auto" w:fill="FFFFFF"/>
          <w:lang w:bidi="ar"/>
        </w:rPr>
        <w:t>年</w:t>
      </w:r>
      <w:r>
        <w:rPr>
          <w:rFonts w:hint="default" w:ascii="Times New Roman" w:hAnsi="Times New Roman" w:eastAsia="方正仿宋_GBK" w:cs="Times New Roman"/>
          <w:kern w:val="0"/>
          <w:sz w:val="32"/>
          <w:szCs w:val="32"/>
          <w:shd w:val="clear" w:color="auto" w:fill="FFFFFF"/>
          <w:lang w:bidi="ar"/>
        </w:rPr>
        <w:t>江海区</w:t>
      </w:r>
      <w:r>
        <w:rPr>
          <w:rFonts w:hint="default" w:ascii="Times New Roman" w:hAnsi="Times New Roman" w:eastAsia="方正仿宋_GBK" w:cs="Times New Roman"/>
          <w:kern w:val="0"/>
          <w:sz w:val="32"/>
          <w:szCs w:val="32"/>
          <w:shd w:val="clear" w:color="auto" w:fill="FFFFFF"/>
          <w:lang w:bidi="ar"/>
        </w:rPr>
        <w:t>高素质农民培育工作实施方案》要求，组织不少于3名专家组成评审组，对申报单位的申报材料进行评审，根据评分标准对符合条件的培训机构进行评分。由局相关业务股室、</w:t>
      </w:r>
      <w:r>
        <w:rPr>
          <w:rFonts w:hint="default" w:ascii="Times New Roman" w:hAnsi="Times New Roman" w:eastAsia="方正仿宋_GBK" w:cs="Times New Roman"/>
          <w:kern w:val="0"/>
          <w:sz w:val="32"/>
          <w:szCs w:val="32"/>
          <w:shd w:val="clear" w:color="auto" w:fill="FFFFFF"/>
          <w:lang w:bidi="ar"/>
        </w:rPr>
        <w:t>区</w:t>
      </w:r>
      <w:r>
        <w:rPr>
          <w:rFonts w:hint="default" w:ascii="Times New Roman" w:hAnsi="Times New Roman" w:eastAsia="方正仿宋_GBK" w:cs="Times New Roman"/>
          <w:kern w:val="0"/>
          <w:sz w:val="32"/>
          <w:szCs w:val="32"/>
          <w:shd w:val="clear" w:color="auto" w:fill="FFFFFF"/>
          <w:lang w:bidi="ar"/>
        </w:rPr>
        <w:t>纪委监委驻</w:t>
      </w:r>
      <w:r>
        <w:rPr>
          <w:rFonts w:hint="default" w:ascii="Times New Roman" w:hAnsi="Times New Roman" w:eastAsia="方正仿宋_GBK" w:cs="Times New Roman"/>
          <w:kern w:val="0"/>
          <w:sz w:val="32"/>
          <w:szCs w:val="32"/>
          <w:shd w:val="clear" w:color="auto" w:fill="FFFFFF"/>
          <w:lang w:bidi="ar"/>
        </w:rPr>
        <w:t>区</w:t>
      </w:r>
      <w:r>
        <w:rPr>
          <w:rFonts w:hint="default" w:ascii="Times New Roman" w:hAnsi="Times New Roman" w:eastAsia="方正仿宋_GBK" w:cs="Times New Roman"/>
          <w:kern w:val="0"/>
          <w:sz w:val="32"/>
          <w:szCs w:val="32"/>
          <w:shd w:val="clear" w:color="auto" w:fill="FFFFFF"/>
          <w:lang w:bidi="ar"/>
        </w:rPr>
        <w:t>农业农</w:t>
      </w:r>
      <w:bookmarkStart w:id="1" w:name="_GoBack"/>
      <w:bookmarkEnd w:id="1"/>
      <w:r>
        <w:rPr>
          <w:rFonts w:hint="default" w:ascii="Times New Roman" w:hAnsi="Times New Roman" w:eastAsia="方正仿宋_GBK" w:cs="Times New Roman"/>
          <w:kern w:val="0"/>
          <w:sz w:val="32"/>
          <w:szCs w:val="32"/>
          <w:shd w:val="clear" w:color="auto" w:fill="FFFFFF"/>
          <w:lang w:bidi="ar"/>
        </w:rPr>
        <w:t>村</w:t>
      </w:r>
      <w:r>
        <w:rPr>
          <w:rFonts w:hint="default" w:ascii="Times New Roman" w:hAnsi="Times New Roman" w:eastAsia="方正仿宋_GBK" w:cs="Times New Roman"/>
          <w:kern w:val="0"/>
          <w:sz w:val="32"/>
          <w:szCs w:val="32"/>
          <w:shd w:val="clear" w:color="auto" w:fill="FFFFFF"/>
          <w:lang w:bidi="ar"/>
        </w:rPr>
        <w:t>水利</w:t>
      </w:r>
      <w:r>
        <w:rPr>
          <w:rFonts w:hint="default" w:ascii="Times New Roman" w:hAnsi="Times New Roman" w:eastAsia="方正仿宋_GBK" w:cs="Times New Roman"/>
          <w:kern w:val="0"/>
          <w:sz w:val="32"/>
          <w:szCs w:val="32"/>
          <w:shd w:val="clear" w:color="auto" w:fill="FFFFFF"/>
          <w:lang w:bidi="ar"/>
        </w:rPr>
        <w:t>局纪检监察组人员担任监督员，负责评审过程的监督工作。</w:t>
      </w:r>
    </w:p>
    <w:p>
      <w:pPr>
        <w:widowControl/>
        <w:shd w:val="clear" w:color="auto" w:fill="FFFFFF"/>
        <w:spacing w:line="578" w:lineRule="exact"/>
        <w:ind w:firstLine="640" w:firstLineChars="200"/>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主要职责：对</w:t>
      </w:r>
      <w:r>
        <w:rPr>
          <w:rFonts w:hint="default" w:ascii="Times New Roman" w:hAnsi="Times New Roman" w:eastAsia="方正仿宋_GBK" w:cs="Times New Roman"/>
          <w:sz w:val="32"/>
          <w:szCs w:val="32"/>
        </w:rPr>
        <w:t>培育机构</w:t>
      </w:r>
      <w:r>
        <w:rPr>
          <w:rFonts w:hint="default" w:ascii="Times New Roman" w:hAnsi="Times New Roman" w:eastAsia="方正仿宋_GBK" w:cs="Times New Roman"/>
          <w:kern w:val="0"/>
          <w:sz w:val="32"/>
          <w:szCs w:val="32"/>
          <w:shd w:val="clear" w:color="auto" w:fill="FFFFFF"/>
          <w:lang w:bidi="ar"/>
        </w:rPr>
        <w:t>的申报书进行开标、审查，评审推荐中标候选人。</w:t>
      </w:r>
    </w:p>
    <w:p>
      <w:pPr>
        <w:widowControl/>
        <w:shd w:val="clear" w:color="auto" w:fill="FFFFFF"/>
        <w:spacing w:line="578" w:lineRule="exact"/>
        <w:ind w:firstLine="640" w:firstLineChars="200"/>
        <w:jc w:val="left"/>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二、评审方式</w:t>
      </w:r>
    </w:p>
    <w:p>
      <w:pPr>
        <w:widowControl/>
        <w:shd w:val="clear" w:color="auto" w:fill="FFFFFF"/>
        <w:spacing w:line="578" w:lineRule="exact"/>
        <w:ind w:firstLine="640" w:firstLineChars="200"/>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召开现场评审会，对培育机构的标书进行现场开标、评审，推荐中标候选人。</w:t>
      </w:r>
    </w:p>
    <w:p>
      <w:pPr>
        <w:widowControl/>
        <w:shd w:val="clear" w:color="auto" w:fill="FFFFFF"/>
        <w:spacing w:line="578" w:lineRule="exact"/>
        <w:ind w:firstLine="640" w:firstLineChars="200"/>
        <w:jc w:val="left"/>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三、评审办法及评分标准</w:t>
      </w:r>
    </w:p>
    <w:p>
      <w:pPr>
        <w:widowControl/>
        <w:shd w:val="clear" w:color="auto" w:fill="FFFFFF"/>
        <w:spacing w:line="578" w:lineRule="exact"/>
        <w:ind w:firstLine="640" w:firstLineChars="200"/>
        <w:jc w:val="left"/>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（一）资格性、符合性评审</w:t>
      </w:r>
    </w:p>
    <w:p>
      <w:pPr>
        <w:widowControl/>
        <w:shd w:val="clear" w:color="auto" w:fill="FFFFFF"/>
        <w:spacing w:line="578" w:lineRule="exact"/>
        <w:ind w:firstLine="640" w:firstLineChars="200"/>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对培育机构资格性、符合性进行评审（见下表1），通过后进行综合评分。</w:t>
      </w:r>
    </w:p>
    <w:p>
      <w:pPr>
        <w:widowControl/>
        <w:shd w:val="clear" w:color="auto" w:fill="FFFFFF"/>
        <w:spacing w:line="578" w:lineRule="exact"/>
        <w:ind w:firstLine="640" w:firstLineChars="200"/>
        <w:jc w:val="left"/>
        <w:rPr>
          <w:rFonts w:hint="default" w:ascii="Times New Roman" w:hAnsi="Times New Roman" w:eastAsia="方正仿宋_GBK" w:cs="Times New Roman"/>
          <w:kern w:val="0"/>
          <w:sz w:val="32"/>
          <w:szCs w:val="32"/>
          <w:shd w:val="clear" w:color="auto" w:fill="FFFFFF"/>
          <w:lang w:bidi="ar"/>
        </w:rPr>
      </w:pPr>
    </w:p>
    <w:p>
      <w:pPr>
        <w:widowControl/>
        <w:jc w:val="center"/>
        <w:rPr>
          <w:rFonts w:hint="default" w:ascii="Times New Roman" w:hAnsi="Times New Roman" w:eastAsia="方正仿宋_GBK" w:cs="Times New Roman"/>
          <w:kern w:val="0"/>
          <w:sz w:val="32"/>
          <w:szCs w:val="32"/>
          <w:shd w:val="clear" w:color="auto" w:fill="FFFFFF"/>
          <w:lang w:bidi="ar"/>
        </w:rPr>
      </w:pPr>
    </w:p>
    <w:p>
      <w:pPr>
        <w:widowControl/>
        <w:jc w:val="center"/>
        <w:rPr>
          <w:rFonts w:hint="default" w:ascii="Times New Roman" w:hAnsi="Times New Roman" w:eastAsia="方正黑体_GBK" w:cs="Times New Roman"/>
          <w:bCs/>
          <w:kern w:val="0"/>
          <w:sz w:val="24"/>
          <w:lang w:bidi="ar"/>
        </w:rPr>
      </w:pPr>
      <w:r>
        <w:rPr>
          <w:rFonts w:hint="default" w:ascii="Times New Roman" w:hAnsi="Times New Roman" w:eastAsia="方正黑体_GBK" w:cs="Times New Roman"/>
          <w:bCs/>
          <w:sz w:val="27"/>
          <w:szCs w:val="27"/>
        </w:rPr>
        <w:t>表1－资格性、符合性评审表</w:t>
      </w:r>
    </w:p>
    <w:tbl>
      <w:tblPr>
        <w:tblStyle w:val="5"/>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5"/>
        <w:gridCol w:w="849"/>
        <w:gridCol w:w="849"/>
        <w:gridCol w:w="849"/>
        <w:gridCol w:w="84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5"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投标人/项目</w:t>
            </w:r>
          </w:p>
        </w:tc>
        <w:tc>
          <w:tcPr>
            <w:tcW w:w="849"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A</w:t>
            </w:r>
          </w:p>
        </w:tc>
        <w:tc>
          <w:tcPr>
            <w:tcW w:w="849"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B</w:t>
            </w:r>
          </w:p>
        </w:tc>
        <w:tc>
          <w:tcPr>
            <w:tcW w:w="849"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C</w:t>
            </w:r>
          </w:p>
        </w:tc>
        <w:tc>
          <w:tcPr>
            <w:tcW w:w="849"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D</w:t>
            </w:r>
          </w:p>
        </w:tc>
        <w:tc>
          <w:tcPr>
            <w:tcW w:w="849" w:type="dxa"/>
            <w:vAlign w:val="center"/>
          </w:tcPr>
          <w:p>
            <w:pPr>
              <w:widowControl/>
              <w:jc w:val="center"/>
              <w:rPr>
                <w:rFonts w:hint="default" w:ascii="Times New Roman" w:hAnsi="Times New Roman" w:cs="Times New Roman"/>
                <w:kern w:val="0"/>
                <w:sz w:val="24"/>
                <w:lang w:bidi="ar"/>
              </w:rPr>
            </w:pPr>
            <w:r>
              <w:rPr>
                <w:rFonts w:hint="default" w:ascii="Times New Roman" w:hAnsi="Times New Roman" w:cs="Times New Roman"/>
                <w:kern w:val="0"/>
                <w:sz w:val="24"/>
                <w:lang w:bidi="ar"/>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25" w:type="dxa"/>
            <w:vAlign w:val="center"/>
          </w:tcPr>
          <w:p>
            <w:pPr>
              <w:widowControl/>
              <w:spacing w:line="240" w:lineRule="exact"/>
              <w:rPr>
                <w:rFonts w:hint="default" w:ascii="Times New Roman" w:hAnsi="Times New Roman" w:cs="Times New Roman"/>
                <w:kern w:val="0"/>
                <w:szCs w:val="21"/>
                <w:lang w:bidi="ar"/>
              </w:rPr>
            </w:pPr>
            <w:r>
              <w:rPr>
                <w:rFonts w:hint="default" w:ascii="Times New Roman" w:hAnsi="Times New Roman" w:cs="Times New Roman"/>
                <w:kern w:val="0"/>
                <w:szCs w:val="21"/>
                <w:lang w:bidi="ar"/>
              </w:rPr>
              <w:t>培育机构具有合法经营资格的法人</w:t>
            </w: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025" w:type="dxa"/>
            <w:vAlign w:val="center"/>
          </w:tcPr>
          <w:p>
            <w:pPr>
              <w:widowControl/>
              <w:adjustRightInd w:val="0"/>
              <w:snapToGrid w:val="0"/>
              <w:spacing w:line="240" w:lineRule="atLeast"/>
              <w:rPr>
                <w:rFonts w:hint="default" w:ascii="Times New Roman" w:hAnsi="Times New Roman" w:cs="Times New Roman"/>
                <w:kern w:val="0"/>
                <w:szCs w:val="21"/>
                <w:lang w:bidi="ar"/>
              </w:rPr>
            </w:pPr>
            <w:r>
              <w:rPr>
                <w:rFonts w:hint="default" w:ascii="Times New Roman" w:hAnsi="Times New Roman" w:cs="Times New Roman"/>
                <w:kern w:val="0"/>
                <w:szCs w:val="21"/>
                <w:lang w:bidi="ar"/>
              </w:rPr>
              <w:t>培育机构的申报报价不得高于控制价</w:t>
            </w: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25" w:type="dxa"/>
            <w:vAlign w:val="center"/>
          </w:tcPr>
          <w:p>
            <w:pPr>
              <w:widowControl/>
              <w:rPr>
                <w:rFonts w:hint="default" w:ascii="Times New Roman" w:hAnsi="Times New Roman" w:cs="Times New Roman"/>
                <w:kern w:val="0"/>
                <w:szCs w:val="21"/>
                <w:lang w:bidi="ar"/>
              </w:rPr>
            </w:pPr>
            <w:r>
              <w:rPr>
                <w:rFonts w:hint="default" w:ascii="Times New Roman" w:hAnsi="Times New Roman" w:cs="Times New Roman"/>
                <w:kern w:val="0"/>
                <w:szCs w:val="21"/>
                <w:lang w:bidi="ar"/>
              </w:rPr>
              <w:t>授权、签名、盖章符合相关规定</w:t>
            </w: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4025" w:type="dxa"/>
            <w:vAlign w:val="center"/>
          </w:tcPr>
          <w:p>
            <w:pPr>
              <w:widowControl/>
              <w:spacing w:line="360" w:lineRule="exact"/>
              <w:rPr>
                <w:rFonts w:hint="default" w:ascii="Times New Roman" w:hAnsi="Times New Roman" w:cs="Times New Roman"/>
                <w:kern w:val="0"/>
                <w:szCs w:val="21"/>
                <w:lang w:bidi="ar"/>
              </w:rPr>
            </w:pPr>
            <w:r>
              <w:rPr>
                <w:rFonts w:hint="default" w:ascii="Times New Roman" w:hAnsi="Times New Roman" w:cs="Times New Roman"/>
                <w:kern w:val="0"/>
                <w:szCs w:val="21"/>
                <w:lang w:bidi="ar"/>
              </w:rPr>
              <w:t>培育机构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025" w:type="dxa"/>
            <w:vAlign w:val="center"/>
          </w:tcPr>
          <w:p>
            <w:pPr>
              <w:widowControl/>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是否通过（填</w:t>
            </w:r>
            <w:r>
              <w:rPr>
                <w:rFonts w:hint="default" w:ascii="Times New Roman" w:hAnsi="Times New Roman" w:cs="Times New Roman"/>
                <w:kern w:val="0"/>
                <w:szCs w:val="21"/>
                <w:lang w:bidi="ar"/>
              </w:rPr>
              <w:t>“</w:t>
            </w:r>
            <w:r>
              <w:rPr>
                <w:rFonts w:hint="default" w:ascii="Times New Roman" w:hAnsi="Times New Roman" w:cs="Times New Roman"/>
                <w:kern w:val="0"/>
                <w:szCs w:val="21"/>
                <w:lang w:bidi="ar"/>
              </w:rPr>
              <w:t>是</w:t>
            </w:r>
            <w:r>
              <w:rPr>
                <w:rFonts w:hint="default" w:ascii="Times New Roman" w:hAnsi="Times New Roman" w:cs="Times New Roman"/>
                <w:kern w:val="0"/>
                <w:szCs w:val="21"/>
                <w:lang w:bidi="ar"/>
              </w:rPr>
              <w:t>”</w:t>
            </w:r>
            <w:r>
              <w:rPr>
                <w:rFonts w:hint="default" w:ascii="Times New Roman" w:hAnsi="Times New Roman" w:cs="Times New Roman"/>
                <w:kern w:val="0"/>
                <w:szCs w:val="21"/>
                <w:lang w:bidi="ar"/>
              </w:rPr>
              <w:t>或</w:t>
            </w:r>
            <w:r>
              <w:rPr>
                <w:rFonts w:hint="default" w:ascii="Times New Roman" w:hAnsi="Times New Roman" w:cs="Times New Roman"/>
                <w:kern w:val="0"/>
                <w:szCs w:val="21"/>
                <w:lang w:bidi="ar"/>
              </w:rPr>
              <w:t>“</w:t>
            </w:r>
            <w:r>
              <w:rPr>
                <w:rFonts w:hint="default" w:ascii="Times New Roman" w:hAnsi="Times New Roman" w:cs="Times New Roman"/>
                <w:kern w:val="0"/>
                <w:szCs w:val="21"/>
                <w:lang w:bidi="ar"/>
              </w:rPr>
              <w:t>否</w:t>
            </w:r>
            <w:r>
              <w:rPr>
                <w:rFonts w:hint="default" w:ascii="Times New Roman" w:hAnsi="Times New Roman" w:cs="Times New Roman"/>
                <w:kern w:val="0"/>
                <w:szCs w:val="21"/>
                <w:lang w:bidi="ar"/>
              </w:rPr>
              <w:t>”</w:t>
            </w:r>
            <w:r>
              <w:rPr>
                <w:rFonts w:hint="default" w:ascii="Times New Roman" w:hAnsi="Times New Roman" w:cs="Times New Roman"/>
                <w:kern w:val="0"/>
                <w:szCs w:val="21"/>
                <w:lang w:bidi="ar"/>
              </w:rPr>
              <w:t>）</w:t>
            </w: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c>
          <w:tcPr>
            <w:tcW w:w="849" w:type="dxa"/>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025" w:type="dxa"/>
            <w:vAlign w:val="center"/>
          </w:tcPr>
          <w:p>
            <w:pPr>
              <w:widowControl/>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评审小组人员签名</w:t>
            </w:r>
          </w:p>
        </w:tc>
        <w:tc>
          <w:tcPr>
            <w:tcW w:w="4245" w:type="dxa"/>
            <w:gridSpan w:val="5"/>
            <w:vAlign w:val="center"/>
          </w:tcPr>
          <w:p>
            <w:pPr>
              <w:widowControl/>
              <w:jc w:val="center"/>
              <w:rPr>
                <w:rFonts w:hint="default" w:ascii="Times New Roman" w:hAnsi="Times New Roman"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025" w:type="dxa"/>
            <w:vAlign w:val="center"/>
          </w:tcPr>
          <w:p>
            <w:pPr>
              <w:widowControl/>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评审日期</w:t>
            </w:r>
          </w:p>
        </w:tc>
        <w:tc>
          <w:tcPr>
            <w:tcW w:w="4245" w:type="dxa"/>
            <w:gridSpan w:val="5"/>
            <w:vAlign w:val="center"/>
          </w:tcPr>
          <w:p>
            <w:pPr>
              <w:widowControl/>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2025年     月     日</w:t>
            </w:r>
          </w:p>
        </w:tc>
      </w:tr>
    </w:tbl>
    <w:p>
      <w:pPr>
        <w:widowControl/>
        <w:shd w:val="clear" w:color="auto" w:fill="FFFFFF"/>
        <w:spacing w:line="578" w:lineRule="exact"/>
        <w:ind w:firstLine="640" w:firstLineChars="200"/>
        <w:jc w:val="left"/>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（二）综合评审</w:t>
      </w:r>
    </w:p>
    <w:p>
      <w:pPr>
        <w:widowControl/>
        <w:shd w:val="clear" w:color="auto" w:fill="FFFFFF"/>
        <w:spacing w:after="312" w:afterLines="100" w:line="578" w:lineRule="exact"/>
        <w:ind w:firstLine="640" w:firstLineChars="200"/>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采用综合评分法进行评标。评审小组对照以下评分标准对培育机构申报书、开班计划等遴选文件进行评审和比较，通过综合评分标准评审。计算得出所有参与遴选的培育机构的综合得分（综合得分=商务部分+技术部分），按照综合得分从高到低排出名次。综合得分相同的，由评审小组投票决定排名顺序，推荐排名第一的培育机构作为评选候选人。评审结果经本项目主办股室分管局领导签字确认后进行公示。公示7日无异议后，与培育机构商议签订委托培训合同书，并将结果报上级主管部门备案。具体评分标准如下：</w:t>
      </w:r>
    </w:p>
    <w:tbl>
      <w:tblPr>
        <w:tblStyle w:val="7"/>
        <w:tblW w:w="560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660"/>
        <w:gridCol w:w="805"/>
        <w:gridCol w:w="7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16" w:type="pct"/>
            <w:gridSpan w:val="3"/>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分值构成</w:t>
            </w:r>
          </w:p>
        </w:tc>
        <w:tc>
          <w:tcPr>
            <w:tcW w:w="3684"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商务部分40分、技术部分60分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568" w:type="pct"/>
            <w:vAlign w:val="center"/>
          </w:tcPr>
          <w:p>
            <w:pPr>
              <w:widowControl/>
              <w:spacing w:line="340" w:lineRule="exact"/>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评分因素</w:t>
            </w:r>
          </w:p>
        </w:tc>
        <w:tc>
          <w:tcPr>
            <w:tcW w:w="337" w:type="pct"/>
            <w:vAlign w:val="center"/>
          </w:tcPr>
          <w:p>
            <w:pPr>
              <w:widowControl/>
              <w:spacing w:line="340" w:lineRule="exact"/>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评分项目</w:t>
            </w:r>
          </w:p>
        </w:tc>
        <w:tc>
          <w:tcPr>
            <w:tcW w:w="411" w:type="pct"/>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分值</w:t>
            </w:r>
          </w:p>
        </w:tc>
        <w:tc>
          <w:tcPr>
            <w:tcW w:w="3684" w:type="pct"/>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568" w:type="pct"/>
            <w:vMerge w:val="restart"/>
            <w:vAlign w:val="center"/>
          </w:tcPr>
          <w:p>
            <w:pPr>
              <w:widowControl/>
              <w:spacing w:line="340" w:lineRule="exact"/>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商务部分</w:t>
            </w:r>
          </w:p>
        </w:tc>
        <w:tc>
          <w:tcPr>
            <w:tcW w:w="337" w:type="pct"/>
            <w:vAlign w:val="center"/>
          </w:tcPr>
          <w:p>
            <w:pPr>
              <w:widowControl/>
              <w:spacing w:line="340" w:lineRule="exact"/>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采购需求响应程度</w:t>
            </w:r>
          </w:p>
        </w:tc>
        <w:tc>
          <w:tcPr>
            <w:tcW w:w="411" w:type="pct"/>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5分</w:t>
            </w:r>
          </w:p>
        </w:tc>
        <w:tc>
          <w:tcPr>
            <w:tcW w:w="3684" w:type="pct"/>
          </w:tcPr>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1.完全满足并有优于本项目遴选需求要求的，得5分。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2.完全满足本项目遴选需求要求的，得3分。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3.对本项目遴选需求有负偏离的，得1分。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568" w:type="pct"/>
            <w:vMerge w:val="continue"/>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同类业绩</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15分</w:t>
            </w:r>
          </w:p>
        </w:tc>
        <w:tc>
          <w:tcPr>
            <w:tcW w:w="3684" w:type="pct"/>
          </w:tcPr>
          <w:p>
            <w:pPr>
              <w:widowControl/>
              <w:spacing w:line="340" w:lineRule="exact"/>
              <w:ind w:firstLine="420" w:firstLineChars="200"/>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rPr>
              <w:t>1.近三年承担过高素质农民培育工作，且培训学员满意度均≥90%。</w:t>
            </w:r>
            <w:r>
              <w:rPr>
                <w:rFonts w:hint="default" w:ascii="Times New Roman" w:hAnsi="Times New Roman" w:cs="Times New Roman"/>
                <w:szCs w:val="21"/>
              </w:rPr>
              <w:t>得10分；未提供得0分。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2.列入2025年广东省高素质农民培育基地入库名单，</w:t>
            </w:r>
            <w:r>
              <w:rPr>
                <w:rFonts w:hint="default" w:ascii="Times New Roman" w:hAnsi="Times New Roman" w:cs="Times New Roman"/>
                <w:szCs w:val="21"/>
              </w:rPr>
              <w:t>得5分；未提供得0分。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注：提供合同复印件作为证明材料，不提供不得分。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568" w:type="pct"/>
            <w:vMerge w:val="continue"/>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p>
        </w:tc>
        <w:tc>
          <w:tcPr>
            <w:tcW w:w="337" w:type="pct"/>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szCs w:val="21"/>
              </w:rPr>
              <w:t>培育设施</w:t>
            </w:r>
          </w:p>
        </w:tc>
        <w:tc>
          <w:tcPr>
            <w:tcW w:w="411" w:type="pct"/>
            <w:vAlign w:val="center"/>
          </w:tcPr>
          <w:p>
            <w:pPr>
              <w:widowControl/>
              <w:spacing w:line="340" w:lineRule="exact"/>
              <w:jc w:val="center"/>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20分</w:t>
            </w:r>
          </w:p>
        </w:tc>
        <w:tc>
          <w:tcPr>
            <w:tcW w:w="3684" w:type="pct"/>
          </w:tcPr>
          <w:p>
            <w:pPr>
              <w:widowControl/>
              <w:spacing w:line="340" w:lineRule="exact"/>
              <w:ind w:firstLine="210" w:firstLineChars="100"/>
              <w:jc w:val="left"/>
              <w:textAlignment w:val="center"/>
              <w:rPr>
                <w:rFonts w:hint="default" w:ascii="Times New Roman" w:hAnsi="Times New Roman" w:cs="Times New Roman"/>
                <w:szCs w:val="21"/>
              </w:rPr>
            </w:pPr>
            <w:r>
              <w:rPr>
                <w:rFonts w:hint="default" w:ascii="Times New Roman" w:hAnsi="Times New Roman" w:cs="Times New Roman"/>
                <w:szCs w:val="21"/>
              </w:rPr>
              <w:t>1.有集中教学场所及配套设施设备(自有的提供相关权属证明、合作的提供场地租用合作协议，以及场所照片、设备清单等资料），得5分；未提供得0分。</w:t>
            </w:r>
          </w:p>
          <w:p>
            <w:pPr>
              <w:widowControl/>
              <w:spacing w:line="340" w:lineRule="exact"/>
              <w:ind w:firstLine="210" w:firstLineChars="100"/>
              <w:jc w:val="left"/>
              <w:textAlignment w:val="center"/>
              <w:rPr>
                <w:rFonts w:hint="default" w:ascii="Times New Roman" w:hAnsi="Times New Roman" w:cs="Times New Roman"/>
                <w:szCs w:val="21"/>
              </w:rPr>
            </w:pPr>
            <w:r>
              <w:rPr>
                <w:rFonts w:hint="default" w:ascii="Times New Roman" w:hAnsi="Times New Roman" w:cs="Times New Roman"/>
                <w:szCs w:val="21"/>
              </w:rPr>
              <w:t>2.有实习实训场所或合作实训基地(自有的提供相关权属证明、合作的提供场地租用合作协议，以及场所照片、设备清单等资料），得5分；未提供得0分。</w:t>
            </w:r>
          </w:p>
          <w:p>
            <w:pPr>
              <w:widowControl/>
              <w:spacing w:line="340" w:lineRule="exact"/>
              <w:ind w:firstLine="210" w:firstLineChars="100"/>
              <w:jc w:val="left"/>
              <w:textAlignment w:val="center"/>
              <w:rPr>
                <w:rFonts w:hint="default" w:ascii="Times New Roman" w:hAnsi="Times New Roman" w:cs="Times New Roman"/>
                <w:szCs w:val="21"/>
              </w:rPr>
            </w:pPr>
            <w:r>
              <w:rPr>
                <w:rFonts w:hint="default" w:ascii="Times New Roman" w:hAnsi="Times New Roman" w:cs="Times New Roman"/>
                <w:szCs w:val="21"/>
              </w:rPr>
              <w:t>3.有专职教学管理人员和专兼职教师队伍（教师队伍需录入农民教育培训信息管理系统师资库，并提供人员名单，以及和教师签订的合作协议等），得5分；未提供得0分。</w:t>
            </w:r>
          </w:p>
          <w:p>
            <w:pPr>
              <w:widowControl/>
              <w:spacing w:line="340" w:lineRule="exact"/>
              <w:ind w:firstLine="210" w:firstLineChars="100"/>
              <w:jc w:val="left"/>
              <w:textAlignment w:val="center"/>
              <w:rPr>
                <w:rFonts w:hint="default" w:ascii="Times New Roman" w:hAnsi="Times New Roman" w:cs="Times New Roman"/>
                <w:szCs w:val="21"/>
              </w:rPr>
            </w:pPr>
            <w:r>
              <w:rPr>
                <w:rFonts w:hint="default" w:ascii="Times New Roman" w:hAnsi="Times New Roman" w:cs="Times New Roman"/>
                <w:szCs w:val="21"/>
              </w:rPr>
              <w:t>4.有培训内容所要求的其他软硬件条件（提供照片等佐证材料），得5分；未提供得0分。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568" w:type="pct"/>
            <w:vMerge w:val="restar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技术部分</w:t>
            </w: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课时安排</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10分</w:t>
            </w:r>
          </w:p>
        </w:tc>
        <w:tc>
          <w:tcPr>
            <w:tcW w:w="3684" w:type="pct"/>
          </w:tcPr>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1.培育时间不少于56学时（不少于7天），同一班次可采取分段实施的方式；符合得3分，不符合得0分。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2.综合素养课包括思想政治、政策法规、职业素养和文化素养，包括“开班第一课”，学时数不低于总学时数的10%；符合得3分，不符合得0分。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3.专业技能课符合专题班实际需求，紧紧围绕培育主题开设。学时数不低于总学时数的70%，其中，采取实践教学的比例不低于专业技能课学时数的50%；符合得2分，不符合得0分。</w:t>
            </w:r>
          </w:p>
          <w:p>
            <w:pPr>
              <w:widowControl/>
              <w:spacing w:line="340" w:lineRule="exact"/>
              <w:ind w:firstLine="420" w:firstLineChars="200"/>
              <w:jc w:val="left"/>
              <w:textAlignment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4.能力拓展课由培育机构根据培育对象实际需求，紧紧围绕培育主题开设，学时数不高于总学时数的20%；符合得2分，不符合得0分。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568" w:type="pct"/>
            <w:vMerge w:val="continue"/>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 xml:space="preserve">授课安排 </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10分</w:t>
            </w:r>
          </w:p>
        </w:tc>
        <w:tc>
          <w:tcPr>
            <w:tcW w:w="3684" w:type="pct"/>
          </w:tcPr>
          <w:p>
            <w:pPr>
              <w:tabs>
                <w:tab w:val="left" w:pos="773"/>
              </w:tabs>
              <w:spacing w:line="340" w:lineRule="exact"/>
              <w:ind w:firstLine="420" w:firstLineChars="200"/>
              <w:jc w:val="left"/>
              <w:rPr>
                <w:rFonts w:hint="default" w:ascii="Times New Roman" w:hAnsi="Times New Roman" w:cs="Times New Roman"/>
                <w:kern w:val="0"/>
                <w:szCs w:val="21"/>
                <w:lang w:bidi="ar"/>
              </w:rPr>
            </w:pPr>
            <w:r>
              <w:rPr>
                <w:rFonts w:hint="default" w:ascii="Times New Roman" w:hAnsi="Times New Roman" w:cs="Times New Roman"/>
                <w:szCs w:val="21"/>
              </w:rPr>
              <w:t>1.授课符合课程主题需求，授课方式易于农民接受，教案内容通俗实用，</w:t>
            </w:r>
            <w:r>
              <w:rPr>
                <w:rFonts w:hint="default" w:ascii="Times New Roman" w:hAnsi="Times New Roman" w:cs="Times New Roman"/>
                <w:kern w:val="0"/>
                <w:szCs w:val="21"/>
                <w:lang w:bidi="ar"/>
              </w:rPr>
              <w:t>符合得2分，不符合得0分。</w:t>
            </w:r>
          </w:p>
          <w:p>
            <w:pPr>
              <w:tabs>
                <w:tab w:val="left" w:pos="773"/>
              </w:tabs>
              <w:spacing w:line="340" w:lineRule="exact"/>
              <w:ind w:firstLine="420" w:firstLineChars="200"/>
              <w:jc w:val="left"/>
              <w:rPr>
                <w:rFonts w:hint="default" w:ascii="Times New Roman" w:hAnsi="Times New Roman" w:cs="Times New Roman"/>
                <w:kern w:val="0"/>
                <w:szCs w:val="21"/>
                <w:lang w:bidi="ar"/>
              </w:rPr>
            </w:pPr>
            <w:r>
              <w:rPr>
                <w:rFonts w:hint="default" w:ascii="Times New Roman" w:hAnsi="Times New Roman" w:cs="Times New Roman"/>
                <w:szCs w:val="21"/>
              </w:rPr>
              <w:t>2.有相关专业授课背景的院校教师，具备相应技术理论和实践能力的院校教师授课的，</w:t>
            </w:r>
            <w:r>
              <w:rPr>
                <w:rFonts w:hint="default" w:ascii="Times New Roman" w:hAnsi="Times New Roman" w:cs="Times New Roman"/>
                <w:kern w:val="0"/>
                <w:szCs w:val="21"/>
                <w:lang w:bidi="ar"/>
              </w:rPr>
              <w:t>得2分，不符合得0分。</w:t>
            </w:r>
          </w:p>
          <w:p>
            <w:pPr>
              <w:tabs>
                <w:tab w:val="left" w:pos="773"/>
              </w:tabs>
              <w:spacing w:line="340" w:lineRule="exact"/>
              <w:ind w:firstLine="420" w:firstLineChars="200"/>
              <w:jc w:val="left"/>
              <w:rPr>
                <w:rFonts w:hint="default" w:ascii="Times New Roman" w:hAnsi="Times New Roman" w:cs="Times New Roman"/>
                <w:kern w:val="0"/>
                <w:szCs w:val="21"/>
                <w:lang w:bidi="ar"/>
              </w:rPr>
            </w:pPr>
            <w:r>
              <w:rPr>
                <w:rFonts w:hint="default" w:ascii="Times New Roman" w:hAnsi="Times New Roman" w:cs="Times New Roman"/>
                <w:szCs w:val="21"/>
              </w:rPr>
              <w:t>3.科研推广机构专家、各类农业主体专业技术人员或“广东农村乡土专家”等讲授实践课程的，</w:t>
            </w:r>
            <w:r>
              <w:rPr>
                <w:rFonts w:hint="default" w:ascii="Times New Roman" w:hAnsi="Times New Roman" w:cs="Times New Roman"/>
                <w:kern w:val="0"/>
                <w:szCs w:val="21"/>
                <w:lang w:bidi="ar"/>
              </w:rPr>
              <w:t xml:space="preserve">得2分，不符合得0分。  </w:t>
            </w:r>
          </w:p>
          <w:p>
            <w:pPr>
              <w:tabs>
                <w:tab w:val="left" w:pos="773"/>
              </w:tabs>
              <w:spacing w:line="340" w:lineRule="exact"/>
              <w:ind w:firstLine="420" w:firstLineChars="200"/>
              <w:jc w:val="left"/>
              <w:rPr>
                <w:rFonts w:hint="default" w:ascii="Times New Roman" w:hAnsi="Times New Roman" w:cs="Times New Roman"/>
                <w:kern w:val="0"/>
                <w:szCs w:val="21"/>
                <w:lang w:bidi="ar"/>
              </w:rPr>
            </w:pPr>
            <w:r>
              <w:rPr>
                <w:rFonts w:hint="default" w:ascii="Times New Roman" w:hAnsi="Times New Roman" w:cs="Times New Roman"/>
                <w:kern w:val="0"/>
                <w:szCs w:val="21"/>
                <w:lang w:bidi="ar"/>
              </w:rPr>
              <w:t>4.优先选用农业农村部、教育部规划教材和各级农业农村部门推荐教材,得2分，不符合得0分。</w:t>
            </w:r>
          </w:p>
          <w:p>
            <w:pPr>
              <w:tabs>
                <w:tab w:val="left" w:pos="773"/>
              </w:tabs>
              <w:spacing w:line="340" w:lineRule="exact"/>
              <w:ind w:firstLine="420" w:firstLineChars="200"/>
              <w:jc w:val="left"/>
              <w:rPr>
                <w:rFonts w:hint="default" w:ascii="Times New Roman" w:hAnsi="Times New Roman" w:eastAsia="仿宋_GB2312" w:cs="Times New Roman"/>
                <w:szCs w:val="21"/>
              </w:rPr>
            </w:pPr>
            <w:r>
              <w:rPr>
                <w:rFonts w:hint="default" w:ascii="Times New Roman" w:hAnsi="Times New Roman" w:cs="Times New Roman"/>
                <w:kern w:val="0"/>
                <w:szCs w:val="21"/>
                <w:lang w:bidi="ar"/>
              </w:rPr>
              <w:t>5.培育教材规范、先进、实用，文字教材和视频教材配合使用，符合得2分，不符合得0分。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jc w:val="center"/>
        </w:trPr>
        <w:tc>
          <w:tcPr>
            <w:tcW w:w="568" w:type="pct"/>
            <w:vMerge w:val="restar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技术部分</w:t>
            </w: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 xml:space="preserve">课程设置 </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15分</w:t>
            </w:r>
          </w:p>
        </w:tc>
        <w:tc>
          <w:tcPr>
            <w:tcW w:w="3684" w:type="pct"/>
          </w:tcPr>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1.课堂教学设置有：线上与线下集中授课、实践教学、观摩交流、案例教学、参与式教学、互动式教学等形式。得5分，</w:t>
            </w:r>
            <w:r>
              <w:rPr>
                <w:rFonts w:hint="default" w:ascii="Times New Roman" w:hAnsi="Times New Roman" w:cs="Times New Roman"/>
                <w:kern w:val="0"/>
                <w:szCs w:val="21"/>
                <w:lang w:bidi="ar"/>
              </w:rPr>
              <w:t>不符合得0分</w:t>
            </w:r>
            <w:r>
              <w:rPr>
                <w:rFonts w:hint="default" w:ascii="Times New Roman" w:hAnsi="Times New Roman" w:cs="Times New Roman"/>
                <w:szCs w:val="21"/>
              </w:rPr>
              <w:t>。</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2.实践教学在与课程内容直接相关的实习实训场所开展，包括场地实训、顶岗实习、跟岗见习、模拟教学、实践孵化等形式。符合得5分，</w:t>
            </w:r>
            <w:r>
              <w:rPr>
                <w:rFonts w:hint="default" w:ascii="Times New Roman" w:hAnsi="Times New Roman" w:cs="Times New Roman"/>
                <w:kern w:val="0"/>
                <w:szCs w:val="21"/>
                <w:lang w:bidi="ar"/>
              </w:rPr>
              <w:t>不符合得0分</w:t>
            </w:r>
            <w:r>
              <w:rPr>
                <w:rFonts w:hint="default" w:ascii="Times New Roman" w:hAnsi="Times New Roman" w:cs="Times New Roman"/>
                <w:szCs w:val="21"/>
              </w:rPr>
              <w:t>。</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3.线上学习可采取网络直播或课件学习的方式，线上学习学时数不超过总学时数的15%。符合得3分，</w:t>
            </w:r>
            <w:r>
              <w:rPr>
                <w:rFonts w:hint="default" w:ascii="Times New Roman" w:hAnsi="Times New Roman" w:cs="Times New Roman"/>
                <w:kern w:val="0"/>
                <w:szCs w:val="21"/>
                <w:lang w:bidi="ar"/>
              </w:rPr>
              <w:t>不符合得0分</w:t>
            </w:r>
            <w:r>
              <w:rPr>
                <w:rFonts w:hint="default" w:ascii="Times New Roman" w:hAnsi="Times New Roman" w:cs="Times New Roman"/>
                <w:szCs w:val="21"/>
              </w:rPr>
              <w:t>。</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4.交流观摩应选取与培育主题相符的地点或主体开展，符合得2分，</w:t>
            </w:r>
            <w:r>
              <w:rPr>
                <w:rFonts w:hint="default" w:ascii="Times New Roman" w:hAnsi="Times New Roman" w:cs="Times New Roman"/>
                <w:kern w:val="0"/>
                <w:szCs w:val="21"/>
                <w:lang w:bidi="ar"/>
              </w:rPr>
              <w:t>不符合得0分</w:t>
            </w:r>
            <w:r>
              <w:rPr>
                <w:rFonts w:hint="default" w:ascii="Times New Roman" w:hAnsi="Times New Roman" w:cs="Times New Roman"/>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jc w:val="center"/>
        </w:trPr>
        <w:tc>
          <w:tcPr>
            <w:tcW w:w="568" w:type="pct"/>
            <w:vMerge w:val="continue"/>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综合管理</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10分</w:t>
            </w:r>
          </w:p>
        </w:tc>
        <w:tc>
          <w:tcPr>
            <w:tcW w:w="3684" w:type="pct"/>
          </w:tcPr>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1.有培训班管理制度，得2分，未提供得0分。</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2.有健全财务部门和财务管理制度，得2分，未提供得0分。</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 xml:space="preserve">3.根据课程考核和考勤情况，综合评价学员学习成果，对完成学习任务的培育对象颁发结业证书。得2分，未提供得0分。     </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4.建立信息档案管理，配备有专职的信息管理员负责信息管理平台的使用和管理，得2分，未提供得0分。</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5.建立培育档案，包括开班计划、培育对象信息、课程及考核结果记录、资金支出票据及复印件、结业证书发放情况和其他必要培育信息。培育档案至少保存5年。得2分，未提供得0分。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568" w:type="pct"/>
            <w:vMerge w:val="continue"/>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p>
        </w:tc>
        <w:tc>
          <w:tcPr>
            <w:tcW w:w="337"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跟踪管理</w:t>
            </w:r>
          </w:p>
        </w:tc>
        <w:tc>
          <w:tcPr>
            <w:tcW w:w="411" w:type="pct"/>
            <w:vAlign w:val="center"/>
          </w:tcPr>
          <w:p>
            <w:pPr>
              <w:widowControl/>
              <w:kinsoku w:val="0"/>
              <w:autoSpaceDE w:val="0"/>
              <w:autoSpaceDN w:val="0"/>
              <w:adjustRightInd w:val="0"/>
              <w:snapToGrid w:val="0"/>
              <w:spacing w:line="340" w:lineRule="exact"/>
              <w:jc w:val="center"/>
              <w:textAlignment w:val="baseline"/>
              <w:rPr>
                <w:rFonts w:hint="default" w:ascii="Times New Roman" w:hAnsi="Times New Roman" w:cs="Times New Roman"/>
                <w:szCs w:val="21"/>
              </w:rPr>
            </w:pPr>
            <w:r>
              <w:rPr>
                <w:rFonts w:hint="default" w:ascii="Times New Roman" w:hAnsi="Times New Roman" w:cs="Times New Roman"/>
                <w:szCs w:val="21"/>
              </w:rPr>
              <w:t>15分</w:t>
            </w:r>
          </w:p>
        </w:tc>
        <w:tc>
          <w:tcPr>
            <w:tcW w:w="3684" w:type="pct"/>
          </w:tcPr>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1.有培训后的后续跟踪服务措施或方案，得5分，未提供得0分。</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2.跟踪服务时长为：一年内次数不少于2次。得5，未提供得0分。</w:t>
            </w:r>
          </w:p>
          <w:p>
            <w:pPr>
              <w:widowControl/>
              <w:kinsoku w:val="0"/>
              <w:autoSpaceDE w:val="0"/>
              <w:autoSpaceDN w:val="0"/>
              <w:adjustRightInd w:val="0"/>
              <w:snapToGrid w:val="0"/>
              <w:spacing w:line="340" w:lineRule="exact"/>
              <w:ind w:firstLine="420" w:firstLineChars="200"/>
              <w:jc w:val="left"/>
              <w:textAlignment w:val="baseline"/>
              <w:rPr>
                <w:rFonts w:hint="default" w:ascii="Times New Roman" w:hAnsi="Times New Roman" w:cs="Times New Roman"/>
                <w:szCs w:val="21"/>
              </w:rPr>
            </w:pPr>
            <w:r>
              <w:rPr>
                <w:rFonts w:hint="default" w:ascii="Times New Roman" w:hAnsi="Times New Roman" w:cs="Times New Roman"/>
                <w:szCs w:val="21"/>
              </w:rPr>
              <w:t>3.跟踪服务人数不少于培育班总人数的30%，得5分，未提供得0分。</w:t>
            </w:r>
          </w:p>
        </w:tc>
      </w:tr>
    </w:tbl>
    <w:p>
      <w:pPr>
        <w:rPr>
          <w:rFonts w:hint="default" w:ascii="Times New Roman" w:hAnsi="Times New Roman" w:cs="Times New Roman"/>
        </w:rPr>
      </w:pPr>
    </w:p>
    <w:sectPr>
      <w:pgSz w:w="11906" w:h="16838"/>
      <w:pgMar w:top="2155" w:right="1588" w:bottom="215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B6F814E"/>
    <w:rsid w:val="004E092D"/>
    <w:rsid w:val="006217DB"/>
    <w:rsid w:val="00675897"/>
    <w:rsid w:val="00701C48"/>
    <w:rsid w:val="00D016C0"/>
    <w:rsid w:val="00E81F4E"/>
    <w:rsid w:val="364C42A8"/>
    <w:rsid w:val="4BEC62A0"/>
    <w:rsid w:val="5919023C"/>
    <w:rsid w:val="64261B8A"/>
    <w:rsid w:val="6D4861DB"/>
    <w:rsid w:val="7B2A1305"/>
    <w:rsid w:val="7F1D5E39"/>
    <w:rsid w:val="7FBA4FBE"/>
    <w:rsid w:val="BB6F8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375</Words>
  <Characters>2141</Characters>
  <Lines>17</Lines>
  <Paragraphs>5</Paragraphs>
  <TotalTime>4</TotalTime>
  <ScaleCrop>false</ScaleCrop>
  <LinksUpToDate>false</LinksUpToDate>
  <CharactersWithSpaces>2511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2025-10-29T12:00:00Z</dcterms:created>
  <dc:creator>greatwall</dc:creator>
  <cp:lastModifiedBy>郭昭</cp:lastModifiedBy>
  <cp:lastPrinted>2025-10-12T15:42:00Z</cp:lastPrinted>
  <dcterms:modified xsi:type="dcterms:W3CDTF">2025-10-30T10:56:32Z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B52A5DDA12034696B06375AA52CB326D_13</vt:lpwstr>
  </property>
  <property fmtid="{D5CDD505-2E9C-101B-9397-08002B2CF9AE}" pid="4" name="KSOTemplateDocerSaveRecord">
    <vt:lpwstr>eyJoZGlkIjoiZTQzZDJmYzk0Y2U2ZjA3MTlkNzZiZGY2ZGE0NDdmNjYiLCJ1c2VySWQiOiIzMTM1MzI4OTEifQ==</vt:lpwstr>
  </property>
</Properties>
</file>