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after="100" w:afterAutospacing="1"/>
        <w:jc w:val="center"/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</w:rPr>
        <w:t>江门市</w:t>
      </w:r>
      <w:r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  <w:lang w:eastAsia="zh-CN"/>
        </w:rPr>
        <w:t>江海区</w:t>
      </w:r>
      <w:r>
        <w:rPr>
          <w:rFonts w:ascii="方正小标宋_GBK" w:eastAsia="方正小标宋_GBK" w:hAnsi="方正小标宋_GBK" w:cs="方正小标宋_GBK" w:hint="eastAsia"/>
          <w:b w:val="0"/>
          <w:bCs/>
          <w:sz w:val="40"/>
          <w:szCs w:val="40"/>
        </w:rPr>
        <w:t>财政局普法责任清单</w:t>
      </w:r>
    </w:p>
    <w:tbl>
      <w:tblPr>
        <w:tblStyle w:val="TableGrid"/>
        <w:tblW w:w="97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21"/>
        <w:gridCol w:w="2115"/>
      </w:tblGrid>
      <w:tr>
        <w:tblPrEx>
          <w:tblW w:w="9703" w:type="dxa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/>
        </w:trPr>
        <w:tc>
          <w:tcPr>
            <w:tcW w:w="56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02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8"/>
                <w:szCs w:val="28"/>
              </w:rPr>
              <w:t>普法内容</w:t>
            </w:r>
          </w:p>
        </w:tc>
        <w:tc>
          <w:tcPr>
            <w:tcW w:w="211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8"/>
                <w:szCs w:val="28"/>
              </w:rPr>
              <w:t>责任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8"/>
                <w:szCs w:val="28"/>
                <w:lang w:eastAsia="zh-CN"/>
              </w:rPr>
              <w:t>股室</w:t>
            </w:r>
            <w:bookmarkStart w:id="0" w:name="_GoBack"/>
            <w:bookmarkEnd w:id="0"/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习近平法治思想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各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股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室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中华人民共和国宪法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各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股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室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6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中国共产党章程、中国共产党廉洁自律准则、中国共产党纪律处分条例等各项党内法规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中华人民共和国政府信息公开条例、信访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条例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、中华人民共和国保守国家秘密法、中华人民共和国保守国家秘密法实施条例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办公室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中华人民共和国预算法及其实施条例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国库预算股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中华人民共和国反有组织犯罪法、政府购买服务管理办法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行财股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财政票据管理办法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综合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股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行政事业性国有资产管理条例、行政单位国有资产管理暂行办法、事业单位国有资产管理暂行办法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资产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债务管理股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21" w:type="dxa"/>
            <w:vAlign w:val="center"/>
          </w:tcPr>
          <w:p>
            <w:pPr>
              <w:spacing w:line="420" w:lineRule="exact"/>
              <w:rPr>
                <w:rFonts w:eastAsiaTheme="minorEastAsia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中华人民共和国会计法、中华人民共和国行政许可法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、代理记账管理办法、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中华人民共和国政府采购法及其实施条例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4"/>
                <w:szCs w:val="24"/>
              </w:rPr>
              <w:t>中华人民共和国行政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复议法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auto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中华人民共和国行政处罚法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、中华人民共和国民法典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会计绩效股</w:t>
            </w:r>
          </w:p>
        </w:tc>
      </w:tr>
      <w:tr>
        <w:tblPrEx>
          <w:tblW w:w="9703" w:type="dxa"/>
          <w:tblInd w:w="-60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21" w:type="dxa"/>
            <w:vAlign w:val="center"/>
          </w:tcPr>
          <w:p>
            <w:pPr>
              <w:spacing w:before="156" w:beforeLines="50" w:after="156" w:afterLines="50" w:line="4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财政违法行为处罚处分条例、财政部门监督办法</w:t>
            </w:r>
          </w:p>
        </w:tc>
        <w:tc>
          <w:tcPr>
            <w:tcW w:w="211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会计绩效股</w:t>
            </w:r>
          </w:p>
        </w:tc>
      </w:tr>
    </w:tbl>
    <w:p>
      <w:pPr>
        <w:rPr>
          <w:sz w:val="24"/>
          <w:szCs w:val="24"/>
        </w:rPr>
      </w:pPr>
    </w:p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2154" w:right="1587" w:bottom="1814" w:left="1587" w:header="851" w:footer="794" w:gutter="0"/>
      <w:pgNumType w:fmt="numberInDash"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- 2 -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- 1 -</w:t>
    </w:r>
    <w:r>
      <w:rPr>
        <w:rFonts w:ascii="宋体" w:hAnsi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梁玉瑕">
    <w15:presenceInfo w15:providerId="None" w15:userId="梁玉瑕"/>
  </w15:person>
  <w15:person w15:author="徐嘉颖">
    <w15:presenceInfo w15:providerId="None" w15:userId="徐嘉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comments="1" w:formatting="1" w:inkAnnotations="1" w:insDel="1" w:markup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13787"/>
    <w:rsid w:val="1EF72A48"/>
    <w:rsid w:val="22D91F63"/>
    <w:rsid w:val="243B2814"/>
    <w:rsid w:val="33405B04"/>
    <w:rsid w:val="35E13787"/>
    <w:rsid w:val="376935F9"/>
    <w:rsid w:val="693A4C24"/>
    <w:rsid w:val="780D0FC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Company>江门市市财政局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徐嘉颖</dc:creator>
  <cp:lastModifiedBy>徐嘉颖</cp:lastModifiedBy>
  <cp:revision>1</cp:revision>
  <dcterms:created xsi:type="dcterms:W3CDTF">2025-03-06T00:49:00Z</dcterms:created>
  <dcterms:modified xsi:type="dcterms:W3CDTF">2025-03-07T08:01:21Z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