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8B701"/>
    <w:p w14:paraId="2A0787C2">
      <w:pPr>
        <w:keepNext w:val="0"/>
        <w:keepLines w:val="0"/>
        <w:pageBreakBefore w:val="0"/>
        <w:widowControl w:val="0"/>
        <w:kinsoku/>
        <w:wordWrap/>
        <w:overflowPunct/>
        <w:topLinePunct w:val="0"/>
        <w:autoSpaceDE/>
        <w:autoSpaceDN/>
        <w:bidi w:val="0"/>
        <w:adjustRightInd/>
        <w:snapToGrid/>
        <w:spacing w:before="0" w:after="0" w:line="578" w:lineRule="exact"/>
        <w:jc w:val="center"/>
        <w:textAlignment w:val="auto"/>
        <w:rPr>
          <w:rFonts w:hint="eastAsia" w:ascii="宋体" w:hAnsi="宋体" w:eastAsia="宋体" w:cs="宋体"/>
          <w:b/>
          <w:bCs/>
          <w:color w:val="auto"/>
          <w:w w:val="100"/>
          <w:sz w:val="44"/>
          <w:szCs w:val="44"/>
          <w:lang w:val="en-US" w:eastAsia="zh-CN"/>
        </w:rPr>
      </w:pPr>
      <w:r>
        <w:rPr>
          <w:rFonts w:hint="eastAsia" w:ascii="宋体" w:hAnsi="宋体" w:eastAsia="宋体" w:cs="宋体"/>
          <w:b/>
          <w:bCs/>
          <w:color w:val="auto"/>
          <w:w w:val="100"/>
          <w:sz w:val="44"/>
          <w:szCs w:val="44"/>
          <w:lang w:val="en-US" w:eastAsia="zh-CN"/>
        </w:rPr>
        <w:t>胜利南路建设项目剩余物业选聘销售代理</w:t>
      </w:r>
    </w:p>
    <w:p w14:paraId="23C3D293">
      <w:pPr>
        <w:keepNext w:val="0"/>
        <w:keepLines w:val="0"/>
        <w:pageBreakBefore w:val="0"/>
        <w:widowControl w:val="0"/>
        <w:kinsoku/>
        <w:wordWrap/>
        <w:overflowPunct/>
        <w:topLinePunct w:val="0"/>
        <w:autoSpaceDE/>
        <w:autoSpaceDN/>
        <w:bidi w:val="0"/>
        <w:adjustRightInd/>
        <w:snapToGrid/>
        <w:spacing w:before="0" w:after="0" w:line="578" w:lineRule="exact"/>
        <w:jc w:val="center"/>
        <w:textAlignment w:val="auto"/>
        <w:rPr>
          <w:rFonts w:hint="eastAsia" w:ascii="宋体" w:hAnsi="宋体" w:eastAsia="宋体" w:cs="宋体"/>
          <w:b/>
          <w:bCs/>
          <w:color w:val="auto"/>
          <w:w w:val="100"/>
          <w:sz w:val="44"/>
          <w:szCs w:val="44"/>
          <w:lang w:val="en-US" w:eastAsia="zh-CN"/>
        </w:rPr>
      </w:pPr>
      <w:r>
        <w:rPr>
          <w:rFonts w:hint="eastAsia" w:ascii="宋体" w:hAnsi="宋体" w:eastAsia="宋体" w:cs="宋体"/>
          <w:b/>
          <w:bCs/>
          <w:color w:val="auto"/>
          <w:w w:val="100"/>
          <w:sz w:val="44"/>
          <w:szCs w:val="44"/>
          <w:lang w:val="en-US" w:eastAsia="zh-CN"/>
        </w:rPr>
        <w:t>方案</w:t>
      </w:r>
    </w:p>
    <w:p w14:paraId="72E85B6B">
      <w:pPr>
        <w:keepNext w:val="0"/>
        <w:keepLines w:val="0"/>
        <w:pageBreakBefore w:val="0"/>
        <w:widowControl w:val="0"/>
        <w:kinsoku/>
        <w:wordWrap/>
        <w:overflowPunct/>
        <w:topLinePunct w:val="0"/>
        <w:autoSpaceDE/>
        <w:autoSpaceDN/>
        <w:bidi w:val="0"/>
        <w:adjustRightInd/>
        <w:snapToGrid/>
        <w:spacing w:before="0" w:after="0" w:line="578" w:lineRule="exact"/>
        <w:jc w:val="center"/>
        <w:textAlignment w:val="auto"/>
        <w:rPr>
          <w:rFonts w:hint="eastAsia" w:ascii="宋体" w:hAnsi="宋体" w:eastAsia="宋体" w:cs="宋体"/>
          <w:b/>
          <w:bCs/>
          <w:color w:val="auto"/>
          <w:w w:val="100"/>
          <w:sz w:val="44"/>
          <w:szCs w:val="44"/>
          <w:lang w:val="en-US" w:eastAsia="zh-CN"/>
        </w:rPr>
      </w:pPr>
    </w:p>
    <w:p w14:paraId="385A3522">
      <w:pPr>
        <w:ind w:left="0" w:leftChars="0"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近年来，由于受新冠疫情影响，房地产行业严重低迷，楼市价格暴跌。渔山安置小区商住项目房屋设计陈旧，户型面积较大，实用性差。我公司先后多次下调价格向发改部门进行备案后出售，但房屋还是难以销售，至今成交只有2套住宅和7间商铺，销售业绩不佳。银城花园安置小区的小车位及摩托车位需测绘及确权后才能销售。</w:t>
      </w:r>
    </w:p>
    <w:p w14:paraId="5D9DD03F">
      <w:pPr>
        <w:ind w:left="0" w:leftChars="0"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为做好剩余物业销售工作，尽快回笼资金，现我公司特草拟策划销售代理方案如下，拟重新向社会公开择优选聘销售代理公司，代理销售胜利南路剩余物业。</w:t>
      </w:r>
    </w:p>
    <w:p w14:paraId="7A4602B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一、项目概况：</w:t>
      </w:r>
    </w:p>
    <w:p w14:paraId="5BDA0C16">
      <w:pPr>
        <w:ind w:left="0" w:leftChars="0"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渔山安置小区、银城花园安置小区均由江门市江海区胜利南路建设投资有限公司精心建设的，该小区属于商住类型项目，坐落于江门市江海区胜利南路滘头银城花园及渔山地块。渔山安置小区1#-2#商住楼（门牌号：江海区胜利南路35号、37号）项目规划占地面积11580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，总建筑面积28596.25 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，住宅总建筑面积20689.80 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，剩余可出售的住宅45套（面积5919.22m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），商业建筑面积6129.53 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，剩余可出售的商铺18间（面积：5506.44m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），小车位20个。银城花园安置小区小车位99个，摩托车25个（小车位及摩托车位需重新测绘，具体数待定）。</w:t>
      </w:r>
    </w:p>
    <w:p w14:paraId="08C9383C">
      <w:pPr>
        <w:rPr>
          <w:rFonts w:hint="default" w:ascii="仿宋" w:hAnsi="仿宋" w:eastAsia="仿宋"/>
          <w:sz w:val="32"/>
          <w:szCs w:val="32"/>
          <w:lang w:val="en-US" w:eastAsia="zh-CN"/>
        </w:rPr>
      </w:pPr>
    </w:p>
    <w:p w14:paraId="12E1A79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二、策划销售代理服务的主要内容</w:t>
      </w:r>
    </w:p>
    <w:p w14:paraId="3FD3AE36">
      <w:pPr>
        <w:numPr>
          <w:ilvl w:val="0"/>
          <w:numId w:val="0"/>
        </w:numPr>
        <w:ind w:firstLine="964" w:firstLineChars="300"/>
        <w:rPr>
          <w:rFonts w:hint="eastAsia" w:ascii="仿宋" w:hAnsi="仿宋" w:eastAsia="仿宋" w:cs="仿宋"/>
          <w:b/>
          <w:sz w:val="32"/>
          <w:szCs w:val="32"/>
        </w:rPr>
      </w:pPr>
      <w:r>
        <w:rPr>
          <w:rFonts w:hint="eastAsia" w:ascii="仿宋" w:hAnsi="仿宋" w:eastAsia="仿宋" w:cs="仿宋"/>
          <w:b/>
          <w:sz w:val="32"/>
          <w:szCs w:val="32"/>
        </w:rPr>
        <w:t>营销策划</w:t>
      </w:r>
    </w:p>
    <w:p w14:paraId="265F0B6C">
      <w:pPr>
        <w:pStyle w:val="2"/>
        <w:numPr>
          <w:ilvl w:val="0"/>
          <w:numId w:val="1"/>
        </w:numPr>
        <w:spacing w:line="440" w:lineRule="exact"/>
        <w:ind w:left="630" w:leftChars="300" w:firstLine="0" w:firstLineChars="0"/>
        <w:rPr>
          <w:rFonts w:hint="eastAsia" w:ascii="仿宋" w:hAnsi="仿宋" w:eastAsia="仿宋" w:cs="仿宋"/>
          <w:sz w:val="32"/>
          <w:szCs w:val="32"/>
        </w:rPr>
      </w:pPr>
      <w:r>
        <w:rPr>
          <w:rFonts w:hint="eastAsia" w:ascii="仿宋" w:hAnsi="仿宋" w:eastAsia="仿宋" w:cs="仿宋"/>
          <w:sz w:val="32"/>
          <w:szCs w:val="32"/>
        </w:rPr>
        <w:t>项目营销总体策略；</w:t>
      </w:r>
      <w:r>
        <w:rPr>
          <w:rFonts w:hint="eastAsia" w:ascii="仿宋" w:hAnsi="仿宋" w:eastAsia="仿宋" w:cs="仿宋"/>
          <w:sz w:val="32"/>
          <w:szCs w:val="32"/>
        </w:rPr>
        <w:br w:type="textWrapping"/>
      </w:r>
      <w:r>
        <w:rPr>
          <w:rFonts w:hint="eastAsia" w:ascii="仿宋" w:hAnsi="仿宋" w:eastAsia="仿宋" w:cs="仿宋"/>
          <w:sz w:val="32"/>
          <w:szCs w:val="32"/>
        </w:rPr>
        <w:t>（二）项目阶段性营销计划；</w:t>
      </w:r>
      <w:r>
        <w:rPr>
          <w:rFonts w:hint="eastAsia" w:ascii="仿宋" w:hAnsi="仿宋" w:eastAsia="仿宋" w:cs="仿宋"/>
          <w:sz w:val="32"/>
          <w:szCs w:val="32"/>
        </w:rPr>
        <w:br w:type="textWrapping"/>
      </w:r>
      <w:r>
        <w:rPr>
          <w:rFonts w:hint="eastAsia" w:ascii="仿宋" w:hAnsi="仿宋" w:eastAsia="仿宋" w:cs="仿宋"/>
          <w:sz w:val="32"/>
          <w:szCs w:val="32"/>
        </w:rPr>
        <w:t>（三）入市时机选择；</w:t>
      </w:r>
      <w:r>
        <w:rPr>
          <w:rFonts w:hint="eastAsia" w:ascii="仿宋" w:hAnsi="仿宋" w:eastAsia="仿宋" w:cs="仿宋"/>
          <w:sz w:val="32"/>
          <w:szCs w:val="32"/>
        </w:rPr>
        <w:br w:type="textWrapping"/>
      </w:r>
      <w:r>
        <w:rPr>
          <w:rFonts w:hint="eastAsia" w:ascii="仿宋" w:hAnsi="仿宋" w:eastAsia="仿宋" w:cs="仿宋"/>
          <w:sz w:val="32"/>
          <w:szCs w:val="32"/>
        </w:rPr>
        <w:t>（四）销售分期控制；</w:t>
      </w:r>
      <w:r>
        <w:rPr>
          <w:rFonts w:hint="eastAsia" w:ascii="仿宋" w:hAnsi="仿宋" w:eastAsia="仿宋" w:cs="仿宋"/>
          <w:sz w:val="32"/>
          <w:szCs w:val="32"/>
        </w:rPr>
        <w:br w:type="textWrapping"/>
      </w:r>
      <w:r>
        <w:rPr>
          <w:rFonts w:hint="eastAsia" w:ascii="仿宋" w:hAnsi="仿宋" w:eastAsia="仿宋" w:cs="仿宋"/>
          <w:sz w:val="32"/>
          <w:szCs w:val="32"/>
        </w:rPr>
        <w:t>（五）价格定位及策略；</w:t>
      </w:r>
    </w:p>
    <w:p w14:paraId="20674FE1">
      <w:pPr>
        <w:pStyle w:val="2"/>
        <w:numPr>
          <w:ilvl w:val="0"/>
          <w:numId w:val="0"/>
        </w:numPr>
        <w:spacing w:line="440" w:lineRule="exact"/>
        <w:ind w:leftChars="300"/>
        <w:rPr>
          <w:rFonts w:hint="eastAsia" w:ascii="仿宋" w:hAnsi="仿宋" w:eastAsia="仿宋" w:cs="仿宋"/>
          <w:sz w:val="32"/>
          <w:szCs w:val="32"/>
        </w:rPr>
      </w:pPr>
      <w:r>
        <w:rPr>
          <w:rFonts w:hint="eastAsia" w:ascii="仿宋" w:hAnsi="仿宋" w:eastAsia="仿宋" w:cs="仿宋"/>
          <w:b/>
          <w:sz w:val="32"/>
          <w:szCs w:val="32"/>
        </w:rPr>
        <w:t>广告策划</w:t>
      </w:r>
      <w:r>
        <w:rPr>
          <w:rFonts w:hint="eastAsia" w:ascii="仿宋" w:hAnsi="仿宋" w:eastAsia="仿宋" w:cs="仿宋"/>
          <w:sz w:val="32"/>
          <w:szCs w:val="32"/>
        </w:rPr>
        <w:br w:type="textWrapping"/>
      </w:r>
      <w:r>
        <w:rPr>
          <w:rFonts w:hint="eastAsia" w:ascii="仿宋" w:hAnsi="仿宋" w:eastAsia="仿宋" w:cs="仿宋"/>
          <w:sz w:val="32"/>
          <w:szCs w:val="32"/>
        </w:rPr>
        <w:t>（一）项目推广口号</w:t>
      </w:r>
      <w:r>
        <w:rPr>
          <w:rFonts w:hint="eastAsia" w:ascii="仿宋" w:hAnsi="仿宋" w:eastAsia="仿宋" w:cs="仿宋"/>
          <w:sz w:val="32"/>
          <w:szCs w:val="32"/>
        </w:rPr>
        <w:br w:type="textWrapping"/>
      </w:r>
      <w:r>
        <w:rPr>
          <w:rFonts w:hint="eastAsia" w:ascii="仿宋" w:hAnsi="仿宋" w:eastAsia="仿宋" w:cs="仿宋"/>
          <w:sz w:val="32"/>
          <w:szCs w:val="32"/>
        </w:rPr>
        <w:t>（二）项目卖点整合包装</w:t>
      </w:r>
      <w:r>
        <w:rPr>
          <w:rFonts w:hint="eastAsia" w:ascii="仿宋" w:hAnsi="仿宋" w:eastAsia="仿宋" w:cs="仿宋"/>
          <w:sz w:val="32"/>
          <w:szCs w:val="32"/>
        </w:rPr>
        <w:br w:type="textWrapping"/>
      </w:r>
      <w:r>
        <w:rPr>
          <w:rFonts w:hint="eastAsia" w:ascii="仿宋" w:hAnsi="仿宋" w:eastAsia="仿宋" w:cs="仿宋"/>
          <w:sz w:val="32"/>
          <w:szCs w:val="32"/>
        </w:rPr>
        <w:t>（三）整体广告计划</w:t>
      </w:r>
      <w:r>
        <w:rPr>
          <w:rFonts w:hint="eastAsia" w:ascii="仿宋" w:hAnsi="仿宋" w:eastAsia="仿宋" w:cs="仿宋"/>
          <w:sz w:val="32"/>
          <w:szCs w:val="32"/>
        </w:rPr>
        <w:br w:type="textWrapping"/>
      </w:r>
      <w:r>
        <w:rPr>
          <w:rFonts w:hint="eastAsia" w:ascii="仿宋" w:hAnsi="仿宋" w:eastAsia="仿宋" w:cs="仿宋"/>
          <w:sz w:val="32"/>
          <w:szCs w:val="32"/>
        </w:rPr>
        <w:t>（四）广告预算及媒体组合</w:t>
      </w:r>
      <w:r>
        <w:rPr>
          <w:rFonts w:hint="eastAsia" w:ascii="仿宋" w:hAnsi="仿宋" w:eastAsia="仿宋" w:cs="仿宋"/>
          <w:sz w:val="32"/>
          <w:szCs w:val="32"/>
        </w:rPr>
        <w:br w:type="textWrapping"/>
      </w:r>
      <w:r>
        <w:rPr>
          <w:rFonts w:hint="eastAsia" w:ascii="仿宋" w:hAnsi="仿宋" w:eastAsia="仿宋" w:cs="仿宋"/>
          <w:sz w:val="32"/>
          <w:szCs w:val="32"/>
        </w:rPr>
        <w:t>（五）项目形象策划</w:t>
      </w:r>
    </w:p>
    <w:p w14:paraId="596A6AC1">
      <w:pPr>
        <w:spacing w:line="480" w:lineRule="atLeast"/>
        <w:ind w:left="630" w:leftChars="300" w:firstLine="0" w:firstLineChars="0"/>
        <w:rPr>
          <w:rFonts w:hint="eastAsia" w:ascii="仿宋" w:hAnsi="仿宋" w:eastAsia="仿宋" w:cs="仿宋"/>
          <w:sz w:val="32"/>
          <w:szCs w:val="32"/>
        </w:rPr>
      </w:pPr>
      <w:r>
        <w:rPr>
          <w:rFonts w:hint="eastAsia" w:ascii="仿宋" w:hAnsi="仿宋" w:eastAsia="仿宋" w:cs="仿宋"/>
          <w:b/>
          <w:sz w:val="32"/>
          <w:szCs w:val="32"/>
        </w:rPr>
        <w:t>销售代理</w:t>
      </w:r>
      <w:r>
        <w:rPr>
          <w:rFonts w:hint="eastAsia" w:ascii="仿宋" w:hAnsi="仿宋" w:eastAsia="仿宋" w:cs="仿宋"/>
          <w:sz w:val="32"/>
          <w:szCs w:val="32"/>
        </w:rPr>
        <w:br w:type="textWrapping"/>
      </w:r>
      <w:r>
        <w:rPr>
          <w:rFonts w:hint="eastAsia" w:ascii="仿宋" w:hAnsi="仿宋" w:eastAsia="仿宋" w:cs="仿宋"/>
          <w:sz w:val="32"/>
          <w:szCs w:val="32"/>
        </w:rPr>
        <w:t>（一）建立销售队伍，依合同授权范围内执行销售行为</w:t>
      </w:r>
      <w:r>
        <w:rPr>
          <w:rFonts w:hint="eastAsia" w:ascii="仿宋" w:hAnsi="仿宋" w:eastAsia="仿宋" w:cs="仿宋"/>
          <w:sz w:val="32"/>
          <w:szCs w:val="32"/>
        </w:rPr>
        <w:br w:type="textWrapping"/>
      </w:r>
      <w:r>
        <w:rPr>
          <w:rFonts w:hint="eastAsia" w:ascii="仿宋" w:hAnsi="仿宋" w:eastAsia="仿宋" w:cs="仿宋"/>
          <w:sz w:val="32"/>
          <w:szCs w:val="32"/>
        </w:rPr>
        <w:t>（二）销售文件及管理文件的制订</w:t>
      </w:r>
      <w:r>
        <w:rPr>
          <w:rFonts w:hint="eastAsia" w:ascii="仿宋" w:hAnsi="仿宋" w:eastAsia="仿宋" w:cs="仿宋"/>
          <w:sz w:val="32"/>
          <w:szCs w:val="32"/>
        </w:rPr>
        <w:br w:type="textWrapping"/>
      </w:r>
      <w:r>
        <w:rPr>
          <w:rFonts w:hint="eastAsia" w:ascii="仿宋" w:hAnsi="仿宋" w:eastAsia="仿宋" w:cs="仿宋"/>
          <w:sz w:val="32"/>
          <w:szCs w:val="32"/>
        </w:rPr>
        <w:t>（三）销售道具使用</w:t>
      </w:r>
      <w:r>
        <w:rPr>
          <w:rFonts w:hint="eastAsia" w:ascii="仿宋" w:hAnsi="仿宋" w:eastAsia="仿宋" w:cs="仿宋"/>
          <w:sz w:val="32"/>
          <w:szCs w:val="32"/>
        </w:rPr>
        <w:br w:type="textWrapping"/>
      </w:r>
      <w:r>
        <w:rPr>
          <w:rFonts w:hint="eastAsia" w:ascii="仿宋" w:hAnsi="仿宋" w:eastAsia="仿宋" w:cs="仿宋"/>
          <w:sz w:val="32"/>
          <w:szCs w:val="32"/>
        </w:rPr>
        <w:t>（四）销售人员培训</w:t>
      </w:r>
      <w:r>
        <w:rPr>
          <w:rFonts w:hint="eastAsia" w:ascii="仿宋" w:hAnsi="仿宋" w:eastAsia="仿宋" w:cs="仿宋"/>
          <w:sz w:val="32"/>
          <w:szCs w:val="32"/>
        </w:rPr>
        <w:br w:type="textWrapping"/>
      </w:r>
      <w:r>
        <w:rPr>
          <w:rFonts w:hint="eastAsia" w:ascii="仿宋" w:hAnsi="仿宋" w:eastAsia="仿宋" w:cs="仿宋"/>
          <w:sz w:val="32"/>
          <w:szCs w:val="32"/>
        </w:rPr>
        <w:t>（五）制订销控计划</w:t>
      </w:r>
      <w:r>
        <w:rPr>
          <w:rFonts w:hint="eastAsia" w:ascii="仿宋" w:hAnsi="仿宋" w:eastAsia="仿宋" w:cs="仿宋"/>
          <w:sz w:val="32"/>
          <w:szCs w:val="32"/>
        </w:rPr>
        <w:br w:type="textWrapping"/>
      </w:r>
      <w:r>
        <w:rPr>
          <w:rFonts w:hint="eastAsia" w:ascii="仿宋" w:hAnsi="仿宋" w:eastAsia="仿宋" w:cs="仿宋"/>
          <w:sz w:val="32"/>
          <w:szCs w:val="32"/>
        </w:rPr>
        <w:t>（六）销售执行的内部协调程序</w:t>
      </w:r>
      <w:r>
        <w:rPr>
          <w:rFonts w:hint="eastAsia" w:ascii="仿宋" w:hAnsi="仿宋" w:eastAsia="仿宋" w:cs="仿宋"/>
          <w:sz w:val="32"/>
          <w:szCs w:val="32"/>
        </w:rPr>
        <w:br w:type="textWrapping"/>
      </w:r>
      <w:r>
        <w:rPr>
          <w:rFonts w:hint="eastAsia" w:ascii="仿宋" w:hAnsi="仿宋" w:eastAsia="仿宋" w:cs="仿宋"/>
          <w:sz w:val="32"/>
          <w:szCs w:val="32"/>
        </w:rPr>
        <w:t>（七）客户资源库的建立</w:t>
      </w:r>
      <w:r>
        <w:rPr>
          <w:rFonts w:hint="eastAsia" w:ascii="仿宋" w:hAnsi="仿宋" w:eastAsia="仿宋" w:cs="仿宋"/>
          <w:sz w:val="32"/>
          <w:szCs w:val="32"/>
        </w:rPr>
        <w:br w:type="textWrapping"/>
      </w:r>
      <w:r>
        <w:rPr>
          <w:rFonts w:hint="eastAsia" w:ascii="仿宋" w:hAnsi="仿宋" w:eastAsia="仿宋" w:cs="仿宋"/>
          <w:sz w:val="32"/>
          <w:szCs w:val="32"/>
        </w:rPr>
        <w:t>（八）售后服务机制建立</w:t>
      </w:r>
      <w:r>
        <w:rPr>
          <w:rFonts w:hint="eastAsia" w:ascii="仿宋" w:hAnsi="仿宋" w:eastAsia="仿宋" w:cs="仿宋"/>
          <w:sz w:val="32"/>
          <w:szCs w:val="32"/>
        </w:rPr>
        <w:br w:type="textWrapping"/>
      </w:r>
      <w:r>
        <w:rPr>
          <w:rFonts w:hint="eastAsia" w:ascii="仿宋" w:hAnsi="仿宋" w:eastAsia="仿宋" w:cs="仿宋"/>
          <w:sz w:val="32"/>
          <w:szCs w:val="32"/>
        </w:rPr>
        <w:t>（九）定期报送各项统计报表</w:t>
      </w:r>
    </w:p>
    <w:p w14:paraId="713B6E24">
      <w:pPr>
        <w:spacing w:line="480" w:lineRule="atLeast"/>
        <w:ind w:firstLine="960" w:firstLineChars="300"/>
        <w:rPr>
          <w:rFonts w:hint="eastAsia" w:ascii="仿宋" w:hAnsi="仿宋" w:eastAsia="仿宋" w:cs="仿宋"/>
          <w:b/>
          <w:sz w:val="32"/>
          <w:szCs w:val="32"/>
          <w:lang w:val="en-US" w:eastAsia="zh-CN"/>
        </w:rPr>
      </w:pPr>
      <w:r>
        <w:rPr>
          <w:rFonts w:hint="eastAsia" w:ascii="仿宋" w:hAnsi="仿宋" w:eastAsia="仿宋" w:cs="仿宋"/>
          <w:sz w:val="32"/>
          <w:szCs w:val="32"/>
        </w:rPr>
        <w:t>（十）包括交楼手续和办理房产证等服务</w:t>
      </w:r>
    </w:p>
    <w:p w14:paraId="479E8D2B">
      <w:pPr>
        <w:numPr>
          <w:ilvl w:val="0"/>
          <w:numId w:val="0"/>
        </w:numPr>
        <w:ind w:left="840" w:leftChars="0"/>
        <w:rPr>
          <w:rFonts w:hint="eastAsia" w:ascii="黑体" w:hAnsi="黑体" w:eastAsia="黑体"/>
          <w:sz w:val="32"/>
          <w:szCs w:val="32"/>
          <w:lang w:val="en-US" w:eastAsia="zh-CN"/>
        </w:rPr>
      </w:pPr>
    </w:p>
    <w:p w14:paraId="3996A233">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项目销售代理佣金</w:t>
      </w:r>
    </w:p>
    <w:p w14:paraId="4874EA1C">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根据《关于胜利南路建设项目剩余物业销售事宜的批复》，最高限价为：住宅按销售成交价格的2.5%，商铺销售成交价格的5%，小车车位3000元/个，摩托车位500元/个。</w:t>
      </w:r>
    </w:p>
    <w:p w14:paraId="6480A3E3">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1.在实际销售过程中，销售代理公司销售时超</w:t>
      </w:r>
      <w:bookmarkStart w:id="0" w:name="_GoBack"/>
      <w:bookmarkEnd w:id="0"/>
      <w:r>
        <w:rPr>
          <w:rFonts w:hint="eastAsia" w:ascii="仿宋" w:hAnsi="仿宋" w:eastAsia="仿宋" w:cs="仿宋"/>
          <w:sz w:val="32"/>
          <w:szCs w:val="32"/>
          <w:lang w:val="en-US" w:eastAsia="zh-CN"/>
        </w:rPr>
        <w:t>出我公司给到的销售底价的，所超出部分的销售金额，住宅按30%，商铺按50%计算给销售代理公司；</w:t>
      </w:r>
    </w:p>
    <w:p w14:paraId="65764C7A">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2.属于我公司介绍直接成交的客户，销售代理公司以不高于1.5%计算销售代理服务费。</w:t>
      </w:r>
    </w:p>
    <w:p w14:paraId="6BA18774">
      <w:pPr>
        <w:ind w:left="0" w:leftChars="0" w:firstLine="640" w:firstLineChars="200"/>
        <w:rPr>
          <w:rFonts w:hint="default" w:ascii="仿宋" w:hAnsi="仿宋" w:eastAsia="仿宋"/>
          <w:sz w:val="32"/>
          <w:szCs w:val="32"/>
          <w:lang w:val="en-US" w:eastAsia="zh-CN"/>
        </w:rPr>
      </w:pPr>
    </w:p>
    <w:p w14:paraId="6B0FA7B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方正楷体_GBK" w:hAnsi="方正楷体_GBK" w:eastAsia="方正楷体_GBK" w:cs="方正楷体_GBK"/>
          <w:b/>
          <w:bCs/>
          <w:sz w:val="32"/>
          <w:szCs w:val="32"/>
          <w:lang w:val="en-US" w:eastAsia="zh-CN"/>
        </w:rPr>
      </w:pPr>
      <w:r>
        <w:rPr>
          <w:rFonts w:hint="eastAsia" w:ascii="黑体" w:hAnsi="黑体" w:eastAsia="黑体"/>
          <w:sz w:val="32"/>
          <w:szCs w:val="32"/>
          <w:lang w:val="en-US" w:eastAsia="zh-CN"/>
        </w:rPr>
        <w:t>四、策划销售代理的资格要求</w:t>
      </w:r>
    </w:p>
    <w:p w14:paraId="2B2132BF">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 应当是具有合法经营资格的法人，具有良好的信誉；</w:t>
      </w:r>
    </w:p>
    <w:p w14:paraId="1C98AB38">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 应依法设立并取得工商营业执照的房地产销售代理机构；</w:t>
      </w:r>
    </w:p>
    <w:p w14:paraId="75AA28E2"/>
    <w:p w14:paraId="37A6B7B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sz w:val="32"/>
          <w:szCs w:val="32"/>
          <w:lang w:val="en-US" w:eastAsia="zh-CN"/>
        </w:rPr>
      </w:pPr>
      <w:r>
        <w:rPr>
          <w:rFonts w:hint="eastAsia" w:ascii="黑体" w:hAnsi="黑体" w:eastAsia="黑体" w:cstheme="minorBidi"/>
          <w:kern w:val="2"/>
          <w:sz w:val="32"/>
          <w:szCs w:val="32"/>
          <w:lang w:val="en-US" w:eastAsia="zh-CN" w:bidi="ar-SA"/>
        </w:rPr>
        <w:t>五、</w:t>
      </w:r>
      <w:r>
        <w:rPr>
          <w:rFonts w:hint="eastAsia" w:ascii="黑体" w:hAnsi="黑体" w:eastAsia="黑体"/>
          <w:sz w:val="32"/>
          <w:szCs w:val="32"/>
          <w:lang w:val="en-US" w:eastAsia="zh-CN"/>
        </w:rPr>
        <w:t>代理销售期限、销售目标</w:t>
      </w:r>
    </w:p>
    <w:p w14:paraId="0DED7078">
      <w:pPr>
        <w:pStyle w:val="2"/>
        <w:spacing w:line="480" w:lineRule="exact"/>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本代理销售期限为12个月。代理销售目标：签订合同后，6个月内需完成销售该项目的70 % ，9个月内需完成销售该项目的 90% ，12个月内需完成销售。</w:t>
      </w:r>
    </w:p>
    <w:p w14:paraId="00F17305">
      <w:pPr>
        <w:numPr>
          <w:ilvl w:val="0"/>
          <w:numId w:val="0"/>
        </w:numPr>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如销售代理公司未能在代理销售期限内完成销售任务，我公司有权按已成交住宅、商铺的成交金额的0.5%，小车位500元/个，摩托车位100元/个暂留置销售代理服务费。</w:t>
      </w:r>
    </w:p>
    <w:p w14:paraId="63C9A558">
      <w:pPr>
        <w:widowControl w:val="0"/>
        <w:numPr>
          <w:ilvl w:val="0"/>
          <w:numId w:val="0"/>
        </w:numPr>
        <w:jc w:val="both"/>
        <w:rPr>
          <w:rFonts w:hint="default" w:ascii="黑体" w:hAnsi="黑体" w:eastAsia="黑体"/>
          <w:sz w:val="32"/>
          <w:szCs w:val="32"/>
          <w:lang w:val="en-US" w:eastAsia="zh-CN"/>
        </w:rPr>
      </w:pPr>
    </w:p>
    <w:p w14:paraId="5789C99F">
      <w:pPr>
        <w:widowControl w:val="0"/>
        <w:numPr>
          <w:ilvl w:val="0"/>
          <w:numId w:val="0"/>
        </w:numPr>
        <w:jc w:val="both"/>
        <w:rPr>
          <w:rFonts w:hint="default" w:ascii="黑体" w:hAnsi="黑体" w:eastAsia="黑体"/>
          <w:sz w:val="32"/>
          <w:szCs w:val="32"/>
          <w:lang w:val="en-US" w:eastAsia="zh-CN"/>
        </w:rPr>
      </w:pPr>
    </w:p>
    <w:p w14:paraId="6B49A42E">
      <w:pPr>
        <w:widowControl w:val="0"/>
        <w:numPr>
          <w:ilvl w:val="0"/>
          <w:numId w:val="0"/>
        </w:numPr>
        <w:jc w:val="both"/>
        <w:rPr>
          <w:rFonts w:hint="default" w:ascii="黑体" w:hAnsi="黑体" w:eastAsia="黑体"/>
          <w:sz w:val="32"/>
          <w:szCs w:val="32"/>
          <w:lang w:val="en-US" w:eastAsia="zh-CN"/>
        </w:rPr>
      </w:pPr>
    </w:p>
    <w:p w14:paraId="7BCF1926">
      <w:pPr>
        <w:numPr>
          <w:ilvl w:val="0"/>
          <w:numId w:val="0"/>
        </w:numPr>
        <w:ind w:firstLine="2240" w:firstLineChars="7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江门市江海区胜利南路建设投资有限公司</w:t>
      </w:r>
    </w:p>
    <w:p w14:paraId="4F078851">
      <w:pPr>
        <w:numPr>
          <w:ilvl w:val="0"/>
          <w:numId w:val="0"/>
        </w:numPr>
        <w:ind w:firstLine="3840" w:firstLineChars="1200"/>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2024年11月25日</w:t>
      </w:r>
    </w:p>
    <w:p w14:paraId="5A36DD17">
      <w:pPr>
        <w:widowControl w:val="0"/>
        <w:numPr>
          <w:ilvl w:val="0"/>
          <w:numId w:val="0"/>
        </w:numPr>
        <w:jc w:val="both"/>
        <w:rPr>
          <w:rFonts w:hint="eastAsia" w:ascii="黑体" w:hAnsi="黑体" w:eastAsia="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86AC5"/>
    <w:multiLevelType w:val="singleLevel"/>
    <w:tmpl w:val="A2D86AC5"/>
    <w:lvl w:ilvl="0" w:tentative="0">
      <w:start w:val="3"/>
      <w:numFmt w:val="chineseCounting"/>
      <w:suff w:val="nothing"/>
      <w:lvlText w:val="%1、"/>
      <w:lvlJc w:val="left"/>
      <w:rPr>
        <w:rFonts w:hint="eastAsia"/>
      </w:rPr>
    </w:lvl>
  </w:abstractNum>
  <w:abstractNum w:abstractNumId="1">
    <w:nsid w:val="CCA544B0"/>
    <w:multiLevelType w:val="singleLevel"/>
    <w:tmpl w:val="CCA544B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MDJjZGY4YjE2Y2I2YTEyNGE1ZGZmMjIzN2JiNzUifQ=="/>
  </w:docVars>
  <w:rsids>
    <w:rsidRoot w:val="76F4058E"/>
    <w:rsid w:val="05EE174F"/>
    <w:rsid w:val="085970CE"/>
    <w:rsid w:val="11ED6265"/>
    <w:rsid w:val="1EB1708A"/>
    <w:rsid w:val="26D136C5"/>
    <w:rsid w:val="33A91F08"/>
    <w:rsid w:val="34621C0C"/>
    <w:rsid w:val="385201EA"/>
    <w:rsid w:val="45941A84"/>
    <w:rsid w:val="579B0E3A"/>
    <w:rsid w:val="6B000883"/>
    <w:rsid w:val="76F4058E"/>
    <w:rsid w:val="7BF23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val="en-US" w:eastAsia="zh-CN" w:bidi="ar-SA"/>
    </w:rPr>
  </w:style>
  <w:style w:type="paragraph" w:styleId="3">
    <w:name w:val="header"/>
    <w:basedOn w:val="1"/>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eastAsia="宋体"/>
      <w:kern w:val="0"/>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1148</Words>
  <Characters>1240</Characters>
  <Lines>0</Lines>
  <Paragraphs>0</Paragraphs>
  <TotalTime>1</TotalTime>
  <ScaleCrop>false</ScaleCrop>
  <LinksUpToDate>false</LinksUpToDate>
  <CharactersWithSpaces>1249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2024-10-25T09:49:00Z</dcterms:created>
  <dc:creator>咏潮_Victor</dc:creator>
  <cp:lastModifiedBy>Sammi</cp:lastModifiedBy>
  <dcterms:modified xsi:type="dcterms:W3CDTF">2024-11-25T03:59:33Z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85AB0A52D4654DA6AF9D8A499E821BEE_13</vt:lpwstr>
  </property>
</Properties>
</file>