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60" w:lineRule="exact"/>
        <w:jc w:val="center"/>
        <w:textAlignment w:val="auto"/>
        <w:rPr>
          <w:rFonts w:hint="eastAsia"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一季度“政银保”项目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贷款保费补贴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44"/>
          <w:szCs w:val="44"/>
        </w:rPr>
      </w:pPr>
      <w:bookmarkStart w:id="0" w:name="_GoBack"/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根据《江门市人民政府关于印发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〈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江门市开好局起好步若干政策措施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〉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的通知》（江府函〔2023〕8号），为做好对2023年一季度在“政银保”项目发生贷款的保费补贴兑现工作，特制定本申报指南。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一、补贴对象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2023年一季度在“政银保”项目贷款并缴纳保险费（或担保费）且按期结清本息的制造业企业，发生贷款逾期或出现风险预警（没有按时缴纳利息）的企业除外。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二、补贴标准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对符合条件的企业所缴纳的保险费（或担保费）给予最长一年保费50%补贴，已补贴的保险费（或担保费）不得重复申报。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三、申报条件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（一）在江门市行政区域内办理商事、税务登记，依法经营和纳税，具有独立法人资格的制造业中小企业。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（二）企业在信用广东中未被列入黑名单或联合失信惩戒名单。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四、企业申报材料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《202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一季度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江门市中小企业“政银保”项目保费(担保费)补贴申请表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》（需加盖企业公章）；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（二）保费发票复印件（需加盖企业公章）；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（三）贷款合同（需加盖企业公章）。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五、申报及审核程序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（一）江门</w:t>
      </w:r>
      <w:r>
        <w:rPr>
          <w:rFonts w:hint="default" w:ascii="Times New Roman" w:hAnsi="Times New Roman" w:eastAsia="黑体" w:cs="Times New Roman"/>
          <w:b w:val="0"/>
          <w:bCs w:val="0"/>
          <w:sz w:val="32"/>
        </w:rPr>
        <w:t>市工业和信息化局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2023年“政银保”项目贷款的审批记录，将符合申报条件的企业清单发各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县（市、区）工业和信息化主管部门，并将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名单导入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  <w:t>“江门市惠企利民服务平台”（网址https://jht.jiangmen.gov.cn/#/home，简称“江惠通”）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，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各县（市、区）工业和信息化主管部门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根据企业清单发动企业申报。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  <w:sz w:val="32"/>
        </w:rPr>
        <w:t>）申报企业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向所属地的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县（市、区）工业和信息化主管部门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提交加盖公章的《202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一季度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江门市中小企业“政银保”项目保费(担保费)补贴申请表》（附件1）、连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</w:rPr>
        <w:t>同保费发票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贷款合同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</w:rPr>
        <w:t>复印件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（一式两份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，加盖公章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）申请办理保费补贴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，并通过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  <w:t>“江惠通”进行网上申报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。(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须如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实填写申请表，注意社会信用代码、合同编号、金额、日期等信息应与合同、发票资料显示的信息保持一致。)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 w:val="0"/>
          <w:sz w:val="32"/>
        </w:rPr>
        <w:t>）各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县（市、区）工业和信息化主管部门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对企业提交的申请资料进行审核，审核内容包括但不限于：企业是否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2023年一季度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在“政银保”项目下贷款及企业申报的贷款金额、时间与保费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发票上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的贷款金额、时间是否一致及贷款结清日期是否在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本次奖补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规定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时间内。各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县（市、区）工业和信息化主管部门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认真审核企业提交的申请资料，经党组会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研究同意后，于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日前将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正式推荐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文件、企业申请资料及汇总表（附件2）（一式一份）报送我局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，同步通过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  <w:t>“江惠通”进行线上审核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（四）江门市工业和信息化局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县（市、区）工业和信息化主管部门汇总上报的资料进行初步审核，形成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汇总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表发合作银行、保险机构和担保机构，同步通过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  <w:t>“江惠通”发送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（五）各合作银行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根据汇总表中所服务的企业，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日前提交经保险或担保机构核准的符合保费补贴条件的企业清单（附件3,用A3纸打印）、对应的贷款合同、放款凭证、还款凭证复印件（一式一份），并加盖公章报送我局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，同步通过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  <w:t>“江惠通”进行上传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。(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须如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实填写企业清单的贷款结清日期。)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（六）保险机构和担保机构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配合合作银行对符合保费补贴条件的企业清单进行审核（重点复核计费利息、保费金额、担保期限、贷款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</w:rPr>
        <w:t>金额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等信息），同意后加盖公章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，连同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保险或担保合同（或委托担保承诺函、保单等同质文件）复印件、保费到账的银行回单、书面情况说明（若有不一致等特殊情况，请提供。例如：保费发票金额与实际保费金额不一致、保费发票开具时间迟于放款日期、申请保费补贴金额与担保金额不一致等）（一式一份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日前报送我局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，同步通过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  <w:t>“江惠通”进行上传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b w:val="0"/>
          <w:bCs w:val="0"/>
          <w:sz w:val="32"/>
        </w:rPr>
        <w:t>）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lang w:eastAsia="zh-CN"/>
        </w:rPr>
        <w:t>江门</w:t>
      </w:r>
      <w:r>
        <w:rPr>
          <w:rFonts w:hint="default" w:ascii="Times New Roman" w:hAnsi="Times New Roman" w:eastAsia="黑体" w:cs="Times New Roman"/>
          <w:b w:val="0"/>
          <w:bCs w:val="0"/>
          <w:sz w:val="32"/>
        </w:rPr>
        <w:t>市工业和信息化局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结合各县（市、区）工业和信息化主管部门、合作银行、保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</w:rPr>
        <w:t>险机构和担保机构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lang w:eastAsia="zh-CN"/>
        </w:rPr>
        <w:t>提交的资料开展委托第三方评审、局党组审议、公示等流程。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  <w:t>公示时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  <w:t>间不得少于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7个自然日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  <w:t>，对公示有异议的，可在公示期内通过书面署名方式向江门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eastAsia="zh-CN"/>
        </w:rPr>
        <w:t>市工业和信息化局反映。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六、资金拨付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  <w:t>江门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t>市工业和信息化局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评审及公示结果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下达项目计划并抄送江门市财政局，江门市财政局按规定下达资金，各县（市、区）工业和信息化主管部门、财政部门按程序将资金拨付至企业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七、其他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本指南由江门市工业和信息化局负责解释，在本指南实施期间，如国家、省出台新的规定与本政策有冲突和重复，按“就高不重复”的原则执行。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（二）本指南所需补贴资金由市本级与蓬江区、江海区、新会区分别按税收分成比例分担，与台山市、开平市、鹤山市、恩平市分别按2:8比例分担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（三）对弄虚作假、截留、挪用、挤占奖励资金的单位或个人，按《财政违法行为处罚处分条例》（国务院令427号）等法律法规进行处理，涉嫌犯罪的，依法移送司法机关处理。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（四）具体申报时间和要求以江门市工业和信息化局发布通知为准。可登录“江惠通”查阅相关详情。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left="0" w:right="0" w:firstLine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left="1598" w:leftChars="304" w:right="0" w:hanging="960" w:hangingChars="3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1.2023年一季度江门市中小企业“政银保”项目保费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担保费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补贴申请表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left="1596" w:leftChars="760" w:right="0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2.2023年一季度江门市中小企业“政银保”项目保费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担保费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汇总表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left="1596" w:leftChars="760" w:right="0" w:firstLine="0" w:firstLineChars="0"/>
        <w:textAlignment w:val="auto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3.2023年一季度江门市中小企业“政银保”项目缴纳保费且结清本息的企业清单</w:t>
      </w:r>
    </w:p>
    <w:bookmarkEnd w:id="0"/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9F35EA"/>
    <w:rsid w:val="3BB34D5B"/>
    <w:rsid w:val="4DDF4A12"/>
    <w:rsid w:val="524F366E"/>
    <w:rsid w:val="564D1F34"/>
    <w:rsid w:val="5ECFFDDA"/>
    <w:rsid w:val="77EFFEC2"/>
    <w:rsid w:val="79EF8C6D"/>
    <w:rsid w:val="7CFFE902"/>
    <w:rsid w:val="7D5C40B2"/>
    <w:rsid w:val="7D7DB661"/>
    <w:rsid w:val="7DA7FA8F"/>
    <w:rsid w:val="7DFE52C4"/>
    <w:rsid w:val="7DFF8B18"/>
    <w:rsid w:val="9D2B9036"/>
    <w:rsid w:val="9F372DA9"/>
    <w:rsid w:val="A7DD9CE6"/>
    <w:rsid w:val="ACBFC882"/>
    <w:rsid w:val="D477456C"/>
    <w:rsid w:val="DB7E2BDA"/>
    <w:rsid w:val="DFEE42C2"/>
    <w:rsid w:val="EEFF14A3"/>
    <w:rsid w:val="EFDDE2AB"/>
    <w:rsid w:val="F4C9ADD4"/>
    <w:rsid w:val="F60D510A"/>
    <w:rsid w:val="FF3F6038"/>
    <w:rsid w:val="FFFF44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2024-04-01T19:42:00Z</dcterms:created>
  <dc:creator>liangyewang</dc:creator>
  <cp:lastModifiedBy>greatwall</cp:lastModifiedBy>
  <dcterms:modified xsi:type="dcterms:W3CDTF">2024-07-01T13:11:23Z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9C965381B045F3A883F4746683E618A6</vt:lpwstr>
  </property>
</Properties>
</file>