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575" w:rightChars="182"/>
        <w:rPr>
          <w:rFonts w:hint="eastAsia" w:eastAsia="方正黑体_GBK"/>
          <w:bCs/>
          <w:color w:val="000000"/>
        </w:rPr>
      </w:pPr>
    </w:p>
    <w:p>
      <w:pPr>
        <w:ind w:right="575" w:rightChars="182"/>
        <w:rPr>
          <w:bCs/>
          <w:color w:val="000000"/>
        </w:rPr>
      </w:pPr>
    </w:p>
    <w:p>
      <w:pPr>
        <w:spacing w:line="1400" w:lineRule="exact"/>
        <w:jc w:val="center"/>
        <w:rPr>
          <w:rFonts w:eastAsia="方正大标宋简体"/>
          <w:color w:val="FF0000"/>
          <w:spacing w:val="60"/>
          <w:w w:val="70"/>
          <w:sz w:val="100"/>
          <w:szCs w:val="100"/>
        </w:rPr>
      </w:pPr>
      <w:r>
        <w:rPr>
          <w:rFonts w:hint="eastAsia" w:eastAsia="方正大标宋简体"/>
          <w:color w:val="FF0000"/>
          <w:spacing w:val="60"/>
          <w:w w:val="70"/>
          <w:sz w:val="100"/>
          <w:szCs w:val="100"/>
        </w:rPr>
        <w:t>江门市商务局文件</w:t>
      </w:r>
    </w:p>
    <w:p>
      <w:pPr>
        <w:ind w:right="575" w:rightChars="182"/>
        <w:rPr>
          <w:bCs/>
          <w:color w:val="000000"/>
        </w:rPr>
      </w:pPr>
    </w:p>
    <w:p>
      <w:pPr>
        <w:ind w:right="575" w:rightChars="182" w:firstLine="316" w:firstLineChars="100"/>
        <w:rPr>
          <w:bCs/>
          <w:color w:val="000000"/>
        </w:rPr>
      </w:pPr>
    </w:p>
    <w:p>
      <w:pPr>
        <w:ind w:right="-3" w:rightChars="-1"/>
        <w:jc w:val="center"/>
        <w:rPr>
          <w:rFonts w:eastAsia="方正仿宋_GBK"/>
          <w:bCs/>
          <w:color w:val="000000" w:themeColor="text1"/>
          <w14:textFill>
            <w14:solidFill>
              <w14:schemeClr w14:val="tx1"/>
            </w14:solidFill>
          </w14:textFill>
        </w:rPr>
      </w:pPr>
      <w:r>
        <w:rPr>
          <w:rFonts w:eastAsia="方正仿宋_GBK"/>
          <w:bCs/>
          <w:color w:val="000000" w:themeColor="text1"/>
          <w14:textFill>
            <w14:solidFill>
              <w14:schemeClr w14:val="tx1"/>
            </w14:solidFill>
          </w14:textFill>
        </w:rPr>
        <w:t>江商务市场〔202</w:t>
      </w:r>
      <w:r>
        <w:rPr>
          <w:rFonts w:hint="eastAsia" w:eastAsia="方正仿宋_GBK"/>
          <w:bCs/>
          <w:color w:val="000000" w:themeColor="text1"/>
          <w14:textFill>
            <w14:solidFill>
              <w14:schemeClr w14:val="tx1"/>
            </w14:solidFill>
          </w14:textFill>
        </w:rPr>
        <w:t>4</w:t>
      </w:r>
      <w:r>
        <w:rPr>
          <w:rFonts w:eastAsia="方正仿宋_GBK"/>
          <w:bCs/>
          <w:color w:val="000000" w:themeColor="text1"/>
          <w14:textFill>
            <w14:solidFill>
              <w14:schemeClr w14:val="tx1"/>
            </w14:solidFill>
          </w14:textFill>
        </w:rPr>
        <w:t>〕</w:t>
      </w:r>
      <w:r>
        <w:rPr>
          <w:rFonts w:hint="eastAsia" w:eastAsia="方正仿宋_GBK"/>
          <w:bCs/>
          <w:color w:val="000000" w:themeColor="text1"/>
          <w14:textFill>
            <w14:solidFill>
              <w14:schemeClr w14:val="tx1"/>
            </w14:solidFill>
          </w14:textFill>
        </w:rPr>
        <w:t>64</w:t>
      </w:r>
      <w:r>
        <w:rPr>
          <w:rFonts w:eastAsia="方正仿宋_GBK"/>
          <w:bCs/>
          <w:color w:val="000000" w:themeColor="text1"/>
          <w14:textFill>
            <w14:solidFill>
              <w14:schemeClr w14:val="tx1"/>
            </w14:solidFill>
          </w14:textFill>
        </w:rPr>
        <w:t>号</w:t>
      </w:r>
    </w:p>
    <w:p>
      <w:pPr>
        <w:ind w:right="-3" w:rightChars="-1"/>
        <w:jc w:val="center"/>
        <w:rPr>
          <w:rFonts w:eastAsia="仿宋"/>
          <w:bCs/>
          <w:color w:val="000000" w:themeColor="text1"/>
          <w14:textFill>
            <w14:solidFill>
              <w14:schemeClr w14:val="tx1"/>
            </w14:solidFill>
          </w14:textFill>
        </w:rPr>
      </w:pPr>
    </w:p>
    <w:p>
      <w:pPr>
        <w:spacing w:before="173" w:beforeLines="30"/>
        <w:ind w:right="-3" w:rightChars="-1"/>
        <w:jc w:val="center"/>
        <w:rPr>
          <w:rFonts w:eastAsia="仿宋"/>
          <w:bCs/>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59264" behindDoc="1" locked="0" layoutInCell="1" allowOverlap="0">
                <wp:simplePos x="0" y="0"/>
                <wp:positionH relativeFrom="column">
                  <wp:posOffset>152400</wp:posOffset>
                </wp:positionH>
                <wp:positionV relativeFrom="page">
                  <wp:posOffset>4145280</wp:posOffset>
                </wp:positionV>
                <wp:extent cx="5623560" cy="0"/>
                <wp:effectExtent l="0" t="0" r="15240" b="19050"/>
                <wp:wrapNone/>
                <wp:docPr id="2" name="直线 34"/>
                <wp:cNvGraphicFramePr/>
                <a:graphic xmlns:a="http://schemas.openxmlformats.org/drawingml/2006/main">
                  <a:graphicData uri="http://schemas.microsoft.com/office/word/2010/wordprocessingShape">
                    <wps:wsp>
                      <wps:cNvCnPr>
                        <a:cxnSpLocks noChangeShapeType="1"/>
                      </wps:cNvCnPr>
                      <wps:spPr bwMode="auto">
                        <a:xfrm>
                          <a:off x="0" y="0"/>
                          <a:ext cx="5623560" cy="0"/>
                        </a:xfrm>
                        <a:prstGeom prst="line">
                          <a:avLst/>
                        </a:prstGeom>
                        <a:noFill/>
                        <a:ln w="19050">
                          <a:solidFill>
                            <a:srgbClr val="FF0000"/>
                          </a:solidFill>
                          <a:round/>
                        </a:ln>
                      </wps:spPr>
                      <wps:bodyPr/>
                    </wps:wsp>
                  </a:graphicData>
                </a:graphic>
              </wp:anchor>
            </w:drawing>
          </mc:Choice>
          <mc:Fallback>
            <w:pict>
              <v:line id="直线 34" o:spid="_x0000_s1026" o:spt="20" style="position:absolute;left:0pt;margin-left:12pt;margin-top:326.4pt;height:0pt;width:442.8pt;mso-position-vertical-relative:page;z-index:-251657216;mso-width-relative:page;mso-height-relative:page;" filled="f" stroked="t" coordsize="21600,21600" o:allowoverlap="f" o:gfxdata="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VOnXzYAAAACgEAAA8AAAAA&#10;AAAAAQAgAAAAIgAAAGRycy9kb3ducmV2LnhtbFBLAQIUABQAAAAIAIdO4kClaS5X2wEAAKMDAAAO&#10;AAAAAAAAAAEAIAAAACcBAABkcnMvZTJvRG9jLnhtbFBLBQYAAAAABgAGAFkBAAB0BQAAAAA=&#10;">
                <v:fill on="f" focussize="0,0"/>
                <v:stroke weight="1.5pt" color="#FF0000" joinstyle="round"/>
                <v:imagedata o:title=""/>
                <o:lock v:ext="edit" aspectratio="f"/>
              </v:line>
            </w:pict>
          </mc:Fallback>
        </mc:AlternateContent>
      </w:r>
    </w:p>
    <w:p>
      <w:pPr>
        <w:spacing w:line="620" w:lineRule="exact"/>
        <w:jc w:val="center"/>
        <w:rPr>
          <w:rFonts w:ascii="方正小标宋简体" w:hAnsi="方正小标宋_GBK" w:eastAsia="方正小标宋简体" w:cs="方正小标宋_GBK"/>
          <w:sz w:val="42"/>
          <w:szCs w:val="42"/>
        </w:rPr>
      </w:pPr>
      <w:r>
        <w:rPr>
          <w:rFonts w:hint="eastAsia" w:ascii="方正小标宋简体" w:hAnsi="方正小标宋_GBK" w:eastAsia="方正小标宋简体" w:cs="方正小标宋_GBK"/>
          <w:sz w:val="42"/>
          <w:szCs w:val="42"/>
        </w:rPr>
        <w:t>江门市商务局关于印发《2024年江门市促进商贸流通业高质量发展资金申报指南》的通知</w:t>
      </w:r>
    </w:p>
    <w:p>
      <w:pPr>
        <w:rPr>
          <w:rFonts w:eastAsia="方正仿宋_GBK"/>
        </w:rPr>
      </w:pPr>
    </w:p>
    <w:p>
      <w:pPr>
        <w:rPr>
          <w:rFonts w:eastAsia="方正仿宋_GBK"/>
        </w:rPr>
      </w:pPr>
      <w:r>
        <w:rPr>
          <w:rFonts w:hint="eastAsia" w:eastAsia="方正仿宋_GBK"/>
        </w:rPr>
        <w:t>各县（市、区）商务主管部门，有关商贸企业：</w:t>
      </w:r>
    </w:p>
    <w:p>
      <w:pPr>
        <w:ind w:firstLine="632" w:firstLineChars="200"/>
        <w:rPr>
          <w:rFonts w:eastAsia="方正仿宋_GBK"/>
        </w:rPr>
      </w:pPr>
      <w:r>
        <w:rPr>
          <w:rFonts w:hint="eastAsia" w:eastAsia="方正仿宋_GBK"/>
        </w:rPr>
        <w:t>为贯彻落实《江门市商务局</w:t>
      </w:r>
      <w:r>
        <w:rPr>
          <w:rFonts w:eastAsia="方正仿宋_GBK"/>
        </w:rPr>
        <w:t xml:space="preserve"> </w:t>
      </w:r>
      <w:r>
        <w:rPr>
          <w:rFonts w:hint="eastAsia" w:eastAsia="方正仿宋_GBK"/>
        </w:rPr>
        <w:t>江门市工业和信息化局</w:t>
      </w:r>
      <w:r>
        <w:rPr>
          <w:rFonts w:eastAsia="方正仿宋_GBK"/>
        </w:rPr>
        <w:t xml:space="preserve"> </w:t>
      </w:r>
      <w:r>
        <w:rPr>
          <w:rFonts w:hint="eastAsia" w:eastAsia="方正仿宋_GBK"/>
        </w:rPr>
        <w:t>江门市财政局</w:t>
      </w:r>
      <w:r>
        <w:rPr>
          <w:rFonts w:eastAsia="方正仿宋_GBK"/>
        </w:rPr>
        <w:t xml:space="preserve"> </w:t>
      </w:r>
      <w:r>
        <w:rPr>
          <w:rFonts w:hint="eastAsia" w:eastAsia="方正仿宋_GBK"/>
        </w:rPr>
        <w:t>江门市市场监督管理局</w:t>
      </w:r>
      <w:r>
        <w:rPr>
          <w:rFonts w:eastAsia="方正仿宋_GBK"/>
        </w:rPr>
        <w:t xml:space="preserve"> </w:t>
      </w:r>
      <w:r>
        <w:rPr>
          <w:rFonts w:hint="eastAsia" w:eastAsia="方正仿宋_GBK"/>
        </w:rPr>
        <w:t>江门市金融工作局关于印发</w:t>
      </w:r>
      <w:r>
        <w:rPr>
          <w:rFonts w:eastAsia="方正仿宋_GBK"/>
        </w:rPr>
        <w:t>&lt;</w:t>
      </w:r>
      <w:r>
        <w:rPr>
          <w:rFonts w:hint="eastAsia" w:eastAsia="方正仿宋_GBK"/>
        </w:rPr>
        <w:t>江门市促进商贸流通业高质量发展若干措施</w:t>
      </w:r>
      <w:r>
        <w:rPr>
          <w:rFonts w:eastAsia="方正仿宋_GBK"/>
        </w:rPr>
        <w:t>&gt;</w:t>
      </w:r>
      <w:r>
        <w:rPr>
          <w:rFonts w:hint="eastAsia" w:eastAsia="方正仿宋_GBK"/>
        </w:rPr>
        <w:t>的通知》（江商务市场〔2022〕122号），我局牵头制定了《20</w:t>
      </w:r>
      <w:r>
        <w:rPr>
          <w:rFonts w:eastAsia="方正仿宋_GBK"/>
        </w:rPr>
        <w:t>24</w:t>
      </w:r>
      <w:r>
        <w:rPr>
          <w:rFonts w:hint="eastAsia" w:eastAsia="方正仿宋_GBK"/>
        </w:rPr>
        <w:t>年江门市促进商贸流通业高质量发展资金申报指南》，现印发给你们，请遵照执行。</w:t>
      </w:r>
    </w:p>
    <w:p>
      <w:pPr>
        <w:ind w:firstLine="656" w:firstLineChars="200"/>
        <w:rPr>
          <w:rFonts w:eastAsia="方正仿宋_GBK"/>
        </w:rPr>
      </w:pPr>
      <w:r>
        <w:rPr>
          <w:rFonts w:hint="eastAsia" w:eastAsia="方正仿宋_GBK"/>
          <w:spacing w:val="6"/>
        </w:rPr>
        <w:t>本申报指南扶持项目发生时间为202</w:t>
      </w:r>
      <w:r>
        <w:rPr>
          <w:rFonts w:eastAsia="方正仿宋_GBK"/>
          <w:spacing w:val="6"/>
        </w:rPr>
        <w:t>3</w:t>
      </w:r>
      <w:r>
        <w:rPr>
          <w:rFonts w:hint="eastAsia" w:eastAsia="方正仿宋_GBK"/>
          <w:spacing w:val="6"/>
        </w:rPr>
        <w:t>年，属事后补贴。请</w:t>
      </w:r>
      <w:r>
        <w:rPr>
          <w:rFonts w:hint="eastAsia" w:eastAsia="方正仿宋_GBK"/>
        </w:rPr>
        <w:t>符合条件的申报单位按要求在</w:t>
      </w:r>
      <w:r>
        <w:rPr>
          <w:rFonts w:eastAsia="方正仿宋_GBK"/>
        </w:rPr>
        <w:t>6</w:t>
      </w:r>
      <w:r>
        <w:rPr>
          <w:rFonts w:hint="eastAsia" w:eastAsia="方正仿宋_GBK"/>
        </w:rPr>
        <w:t>月</w:t>
      </w:r>
      <w:r>
        <w:rPr>
          <w:rFonts w:eastAsia="方正仿宋_GBK"/>
        </w:rPr>
        <w:t>28</w:t>
      </w:r>
      <w:r>
        <w:rPr>
          <w:rFonts w:hint="eastAsia" w:eastAsia="方正仿宋_GBK"/>
        </w:rPr>
        <w:t>日前完成申报。请各县（市、区）商务主管部门组织本地各镇（街）把政策宣讲到位，并于</w:t>
      </w:r>
      <w:r>
        <w:rPr>
          <w:rFonts w:eastAsia="方正仿宋_GBK"/>
        </w:rPr>
        <w:t>7</w:t>
      </w:r>
      <w:r>
        <w:rPr>
          <w:rFonts w:hint="eastAsia" w:eastAsia="方正仿宋_GBK"/>
        </w:rPr>
        <w:t>月</w:t>
      </w:r>
      <w:r>
        <w:rPr>
          <w:rFonts w:eastAsia="方正仿宋_GBK"/>
        </w:rPr>
        <w:t>9</w:t>
      </w:r>
      <w:r>
        <w:rPr>
          <w:rFonts w:hint="eastAsia" w:eastAsia="方正仿宋_GBK"/>
        </w:rPr>
        <w:t>日前完成项目初审和复审，将经审核通过的推荐项目材料报送我局。</w:t>
      </w:r>
    </w:p>
    <w:p>
      <w:pPr>
        <w:ind w:firstLine="632" w:firstLineChars="200"/>
        <w:rPr>
          <w:rFonts w:eastAsia="方正仿宋_GBK"/>
        </w:rPr>
      </w:pPr>
      <w:r>
        <w:rPr>
          <w:rFonts w:hint="eastAsia" w:eastAsia="方正仿宋_GBK"/>
        </w:rPr>
        <w:t>特此通知。</w:t>
      </w:r>
    </w:p>
    <w:p>
      <w:pPr>
        <w:tabs>
          <w:tab w:val="left" w:pos="7380"/>
        </w:tabs>
        <w:ind w:right="-9" w:rightChars="-3"/>
        <w:rPr>
          <w:rFonts w:eastAsia="方正仿宋_GBK"/>
        </w:rPr>
      </w:pPr>
    </w:p>
    <w:p>
      <w:pPr>
        <w:jc w:val="left"/>
        <w:rPr>
          <w:rFonts w:eastAsia="方正仿宋_GBK"/>
          <w:color w:val="000000" w:themeColor="text1"/>
          <w14:textFill>
            <w14:solidFill>
              <w14:schemeClr w14:val="tx1"/>
            </w14:solidFill>
          </w14:textFill>
        </w:rPr>
      </w:pPr>
    </w:p>
    <w:p>
      <w:pPr>
        <w:wordWrap w:val="0"/>
        <w:jc w:val="right"/>
        <w:rPr>
          <w:rFonts w:eastAsia="方正仿宋_GBK"/>
          <w:color w:val="000000" w:themeColor="text1"/>
          <w14:textFill>
            <w14:solidFill>
              <w14:schemeClr w14:val="tx1"/>
            </w14:solidFill>
          </w14:textFill>
        </w:rPr>
      </w:pPr>
      <w:r>
        <w:rPr>
          <w:rFonts w:eastAsia="方正仿宋_GBK"/>
          <w:color w:val="000000" w:themeColor="text1"/>
          <w14:textFill>
            <w14:solidFill>
              <w14:schemeClr w14:val="tx1"/>
            </w14:solidFill>
          </w14:textFill>
        </w:rPr>
        <w:t xml:space="preserve">江门市商务局  </w:t>
      </w:r>
      <w:r>
        <w:rPr>
          <w:rFonts w:hint="eastAsia" w:eastAsia="方正仿宋_GBK"/>
          <w:color w:val="000000" w:themeColor="text1"/>
          <w14:textFill>
            <w14:solidFill>
              <w14:schemeClr w14:val="tx1"/>
            </w14:solidFill>
          </w14:textFill>
        </w:rPr>
        <w:t xml:space="preserve">  </w:t>
      </w:r>
      <w:r>
        <w:rPr>
          <w:rFonts w:eastAsia="方正仿宋_GBK"/>
          <w:color w:val="000000" w:themeColor="text1"/>
          <w14:textFill>
            <w14:solidFill>
              <w14:schemeClr w14:val="tx1"/>
            </w14:solidFill>
          </w14:textFill>
        </w:rPr>
        <w:t xml:space="preserve"> </w:t>
      </w:r>
      <w:r>
        <w:rPr>
          <w:rFonts w:hint="eastAsia" w:eastAsia="方正仿宋_GBK"/>
          <w:color w:val="000000" w:themeColor="text1"/>
          <w14:textFill>
            <w14:solidFill>
              <w14:schemeClr w14:val="tx1"/>
            </w14:solidFill>
          </w14:textFill>
        </w:rPr>
        <w:t xml:space="preserve">  </w:t>
      </w:r>
      <w:r>
        <w:rPr>
          <w:rFonts w:eastAsia="方正仿宋_GBK"/>
          <w:color w:val="000000" w:themeColor="text1"/>
          <w14:textFill>
            <w14:solidFill>
              <w14:schemeClr w14:val="tx1"/>
            </w14:solidFill>
          </w14:textFill>
        </w:rPr>
        <w:t xml:space="preserve">   </w:t>
      </w:r>
    </w:p>
    <w:p>
      <w:pPr>
        <w:wordWrap w:val="0"/>
        <w:ind w:firstLine="645"/>
        <w:jc w:val="right"/>
        <w:rPr>
          <w:rFonts w:eastAsia="方正仿宋_GBK"/>
          <w:color w:val="000000" w:themeColor="text1"/>
          <w14:textFill>
            <w14:solidFill>
              <w14:schemeClr w14:val="tx1"/>
            </w14:solidFill>
          </w14:textFill>
        </w:rPr>
      </w:pPr>
      <w:r>
        <w:rPr>
          <w:rFonts w:eastAsia="方正仿宋_GBK"/>
          <w:color w:val="000000" w:themeColor="text1"/>
          <w14:textFill>
            <w14:solidFill>
              <w14:schemeClr w14:val="tx1"/>
            </w14:solidFill>
          </w14:textFill>
        </w:rPr>
        <w:t xml:space="preserve">              202</w:t>
      </w:r>
      <w:r>
        <w:rPr>
          <w:rFonts w:hint="eastAsia" w:eastAsia="方正仿宋_GBK"/>
          <w:color w:val="000000" w:themeColor="text1"/>
          <w14:textFill>
            <w14:solidFill>
              <w14:schemeClr w14:val="tx1"/>
            </w14:solidFill>
          </w14:textFill>
        </w:rPr>
        <w:t>4</w:t>
      </w:r>
      <w:r>
        <w:rPr>
          <w:rFonts w:eastAsia="方正仿宋_GBK"/>
          <w:color w:val="000000" w:themeColor="text1"/>
          <w14:textFill>
            <w14:solidFill>
              <w14:schemeClr w14:val="tx1"/>
            </w14:solidFill>
          </w14:textFill>
        </w:rPr>
        <w:t>年</w:t>
      </w:r>
      <w:r>
        <w:rPr>
          <w:rFonts w:hint="eastAsia" w:eastAsia="方正仿宋_GBK"/>
          <w:color w:val="000000" w:themeColor="text1"/>
          <w14:textFill>
            <w14:solidFill>
              <w14:schemeClr w14:val="tx1"/>
            </w14:solidFill>
          </w14:textFill>
        </w:rPr>
        <w:t>6</w:t>
      </w:r>
      <w:r>
        <w:rPr>
          <w:rFonts w:eastAsia="方正仿宋_GBK"/>
          <w:color w:val="000000" w:themeColor="text1"/>
          <w14:textFill>
            <w14:solidFill>
              <w14:schemeClr w14:val="tx1"/>
            </w14:solidFill>
          </w14:textFill>
        </w:rPr>
        <w:t>月</w:t>
      </w:r>
      <w:r>
        <w:rPr>
          <w:rFonts w:hint="eastAsia" w:eastAsia="方正仿宋_GBK"/>
          <w:color w:val="000000" w:themeColor="text1"/>
          <w14:textFill>
            <w14:solidFill>
              <w14:schemeClr w14:val="tx1"/>
            </w14:solidFill>
          </w14:textFill>
        </w:rPr>
        <w:t>14</w:t>
      </w:r>
      <w:r>
        <w:rPr>
          <w:rFonts w:eastAsia="方正仿宋_GBK"/>
          <w:color w:val="000000" w:themeColor="text1"/>
          <w14:textFill>
            <w14:solidFill>
              <w14:schemeClr w14:val="tx1"/>
            </w14:solidFill>
          </w14:textFill>
        </w:rPr>
        <w:t xml:space="preserve">日        </w:t>
      </w:r>
    </w:p>
    <w:p>
      <w:pPr>
        <w:wordWrap w:val="0"/>
        <w:ind w:firstLine="631"/>
        <w:jc w:val="right"/>
        <w:rPr>
          <w:rFonts w:eastAsia="方正仿宋_GBK"/>
        </w:rPr>
      </w:pPr>
    </w:p>
    <w:p>
      <w:pPr>
        <w:rPr>
          <w:rFonts w:hint="eastAsia" w:eastAsia="方正仿宋_GBK"/>
        </w:rPr>
      </w:pPr>
    </w:p>
    <w:p>
      <w:pPr>
        <w:rPr>
          <w:rFonts w:eastAsia="方正仿宋_GBK"/>
        </w:rPr>
      </w:pPr>
    </w:p>
    <w:p>
      <w:pPr>
        <w:rPr>
          <w:rFonts w:eastAsia="方正仿宋_GBK"/>
        </w:rPr>
      </w:pPr>
    </w:p>
    <w:p>
      <w:pPr>
        <w:rPr>
          <w:rFonts w:eastAsia="方正仿宋_GBK"/>
        </w:rPr>
      </w:pPr>
    </w:p>
    <w:p>
      <w:pPr>
        <w:rPr>
          <w:rFonts w:eastAsia="方正仿宋_GBK"/>
        </w:rPr>
      </w:pPr>
    </w:p>
    <w:p>
      <w:pPr>
        <w:rPr>
          <w:rFonts w:eastAsia="方正仿宋_GBK"/>
        </w:rPr>
      </w:pPr>
    </w:p>
    <w:p>
      <w:pPr>
        <w:rPr>
          <w:rFonts w:eastAsia="方正仿宋_GBK"/>
        </w:rPr>
      </w:pPr>
    </w:p>
    <w:p>
      <w:pPr>
        <w:rPr>
          <w:rFonts w:eastAsia="方正仿宋_GBK"/>
        </w:rPr>
      </w:pPr>
    </w:p>
    <w:p>
      <w:pPr>
        <w:rPr>
          <w:rFonts w:eastAsia="方正仿宋_GBK"/>
        </w:rPr>
      </w:pPr>
    </w:p>
    <w:p>
      <w:pPr>
        <w:rPr>
          <w:rFonts w:eastAsia="方正仿宋_GBK"/>
        </w:rPr>
      </w:pPr>
    </w:p>
    <w:p>
      <w:pPr>
        <w:rPr>
          <w:rFonts w:eastAsia="方正仿宋_GBK"/>
        </w:rPr>
      </w:pPr>
    </w:p>
    <w:p>
      <w:pPr>
        <w:rPr>
          <w:rFonts w:eastAsia="方正仿宋_GBK"/>
        </w:rPr>
      </w:pPr>
    </w:p>
    <w:p>
      <w:pPr>
        <w:rPr>
          <w:rFonts w:eastAsia="方正仿宋_GBK"/>
        </w:rPr>
      </w:pPr>
    </w:p>
    <w:p>
      <w:pPr>
        <w:spacing w:line="620" w:lineRule="exact"/>
        <w:jc w:val="center"/>
        <w:rPr>
          <w:rFonts w:ascii="方正小标宋简体" w:hAnsi="方正小标宋_GBK" w:eastAsia="方正小标宋简体" w:cs="方正小标宋_GBK"/>
          <w:sz w:val="42"/>
          <w:szCs w:val="42"/>
        </w:rPr>
      </w:pPr>
      <w:r>
        <w:rPr>
          <w:rFonts w:hint="eastAsia" w:ascii="方正小标宋简体" w:hAnsi="方正小标宋_GBK" w:eastAsia="方正小标宋简体" w:cs="方正小标宋_GBK"/>
          <w:sz w:val="42"/>
          <w:szCs w:val="42"/>
        </w:rPr>
        <w:t>2024年江门市促进商贸流通业高质量发展资金</w:t>
      </w:r>
    </w:p>
    <w:p>
      <w:pPr>
        <w:spacing w:line="620" w:lineRule="exact"/>
        <w:jc w:val="center"/>
        <w:rPr>
          <w:rFonts w:eastAsia="方正小标宋简体"/>
        </w:rPr>
      </w:pPr>
      <w:r>
        <w:rPr>
          <w:rFonts w:hint="eastAsia" w:ascii="方正小标宋简体" w:hAnsi="方正小标宋_GBK" w:eastAsia="方正小标宋简体" w:cs="方正小标宋_GBK"/>
          <w:sz w:val="42"/>
          <w:szCs w:val="42"/>
        </w:rPr>
        <w:t>申报指南</w:t>
      </w:r>
    </w:p>
    <w:p>
      <w:pPr>
        <w:spacing w:before="289" w:beforeLines="50" w:line="550" w:lineRule="exact"/>
        <w:ind w:firstLine="632" w:firstLineChars="200"/>
        <w:rPr>
          <w:rFonts w:eastAsia="方正仿宋_GBK"/>
          <w:spacing w:val="-4"/>
        </w:rPr>
      </w:pPr>
      <w:r>
        <w:rPr>
          <w:rFonts w:eastAsia="方正仿宋_GBK"/>
        </w:rPr>
        <w:t>为贯彻落实《江门市促进商贸流通业高质量发展若干措施》,</w:t>
      </w:r>
      <w:r>
        <w:rPr>
          <w:rFonts w:eastAsia="方正仿宋_GBK"/>
          <w:spacing w:val="6"/>
        </w:rPr>
        <w:t>做好2024年江门市促进商贸流通业高质量发展资金申报工作，</w:t>
      </w:r>
      <w:r>
        <w:rPr>
          <w:rFonts w:eastAsia="方正仿宋_GBK"/>
          <w:spacing w:val="-4"/>
        </w:rPr>
        <w:t>促进商贸流通业转型升级，推动消费持续扩大，特制定本申报指南。</w:t>
      </w:r>
    </w:p>
    <w:p>
      <w:pPr>
        <w:spacing w:line="550" w:lineRule="exact"/>
        <w:ind w:firstLine="632" w:firstLineChars="200"/>
        <w:rPr>
          <w:rFonts w:eastAsia="方正黑体_GBK"/>
        </w:rPr>
      </w:pPr>
      <w:r>
        <w:rPr>
          <w:rFonts w:eastAsia="方正黑体_GBK"/>
        </w:rPr>
        <w:t>一、支持方向、标准以及所需申报材料</w:t>
      </w:r>
    </w:p>
    <w:p>
      <w:pPr>
        <w:spacing w:line="550" w:lineRule="exact"/>
        <w:ind w:firstLine="632" w:firstLineChars="200"/>
        <w:rPr>
          <w:rFonts w:eastAsia="方正楷体_GBK"/>
        </w:rPr>
      </w:pPr>
      <w:r>
        <w:rPr>
          <w:rFonts w:eastAsia="方正楷体_GBK"/>
        </w:rPr>
        <w:t>（一）鼓励批零住餐业增收。</w:t>
      </w:r>
    </w:p>
    <w:p>
      <w:pPr>
        <w:spacing w:line="550" w:lineRule="exact"/>
        <w:ind w:firstLine="632" w:firstLineChars="200"/>
        <w:rPr>
          <w:rFonts w:eastAsia="方正仿宋_GBK"/>
          <w:b/>
        </w:rPr>
      </w:pPr>
      <w:r>
        <w:rPr>
          <w:rFonts w:eastAsia="方正仿宋_GBK"/>
          <w:b/>
        </w:rPr>
        <w:t>1．支持对象和条件、奖励标准。</w:t>
      </w:r>
    </w:p>
    <w:p>
      <w:pPr>
        <w:spacing w:line="550" w:lineRule="exact"/>
        <w:ind w:firstLine="632" w:firstLineChars="200"/>
        <w:rPr>
          <w:rFonts w:eastAsia="方正仿宋_GBK"/>
        </w:rPr>
      </w:pPr>
      <w:r>
        <w:rPr>
          <w:rFonts w:eastAsia="方正仿宋_GBK"/>
        </w:rPr>
        <w:t>对2023年销售额增长15%及以上的批发业限额以上经营单位（含企业和个体户），按每增加1亿元给予5万元奖励，单个对象最高奖励20万元；</w:t>
      </w:r>
    </w:p>
    <w:p>
      <w:pPr>
        <w:spacing w:line="550" w:lineRule="exact"/>
        <w:ind w:firstLine="632" w:firstLineChars="200"/>
        <w:rPr>
          <w:rFonts w:eastAsia="方正仿宋_GBK"/>
        </w:rPr>
      </w:pPr>
      <w:r>
        <w:rPr>
          <w:rFonts w:eastAsia="方正仿宋_GBK"/>
        </w:rPr>
        <w:t>对2023年销售额增长15%及以上的零售业限额以上经营单位（含企业和个体户），按每增加5000万元给予5万元奖励，单个对象最高奖励20万元；</w:t>
      </w:r>
    </w:p>
    <w:p>
      <w:pPr>
        <w:spacing w:line="550" w:lineRule="exact"/>
        <w:ind w:firstLine="632" w:firstLineChars="200"/>
        <w:rPr>
          <w:rFonts w:eastAsia="方正仿宋_GBK"/>
        </w:rPr>
      </w:pPr>
      <w:r>
        <w:rPr>
          <w:rFonts w:eastAsia="方正仿宋_GBK"/>
        </w:rPr>
        <w:t>对2023年营业额增长15%及以上的住宿业、餐饮业限额以上经营单位（含企业和个体户），按每增加300万元奖励5万元，单个对象最高奖励20万元。</w:t>
      </w:r>
    </w:p>
    <w:p>
      <w:pPr>
        <w:spacing w:line="550" w:lineRule="exact"/>
        <w:ind w:firstLine="632" w:firstLineChars="200"/>
        <w:rPr>
          <w:rFonts w:eastAsia="方正仿宋_GBK"/>
          <w:b/>
        </w:rPr>
      </w:pPr>
      <w:r>
        <w:rPr>
          <w:rFonts w:eastAsia="方正仿宋_GBK"/>
          <w:b/>
        </w:rPr>
        <w:t>2．注意事项。</w:t>
      </w:r>
    </w:p>
    <w:p>
      <w:pPr>
        <w:spacing w:line="550" w:lineRule="exact"/>
        <w:ind w:firstLine="632" w:firstLineChars="200"/>
        <w:rPr>
          <w:rFonts w:eastAsia="方正仿宋_GBK"/>
        </w:rPr>
      </w:pPr>
      <w:r>
        <w:rPr>
          <w:rFonts w:eastAsia="方正仿宋_GBK"/>
        </w:rPr>
        <w:t>（1）纳统所属行业为批发业、零售业、住宿业或餐饮业，不晚于2022年度入库。</w:t>
      </w:r>
    </w:p>
    <w:p>
      <w:pPr>
        <w:spacing w:line="550" w:lineRule="exact"/>
        <w:ind w:firstLine="632" w:firstLineChars="200"/>
        <w:rPr>
          <w:rFonts w:eastAsia="方正仿宋_GBK"/>
        </w:rPr>
      </w:pPr>
      <w:r>
        <w:rPr>
          <w:rFonts w:eastAsia="方正仿宋_GBK"/>
        </w:rPr>
        <w:t>（2）销售额、营业额以《增值税及附加税费申报表》为准，批零业销售额、住餐业营业额计算公式见下表：</w:t>
      </w:r>
    </w:p>
    <w:tbl>
      <w:tblPr>
        <w:tblStyle w:val="49"/>
        <w:tblW w:w="5000"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3"/>
        <w:gridCol w:w="1548"/>
        <w:gridCol w:w="2096"/>
        <w:gridCol w:w="4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763"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黑体_GBK" w:eastAsia="方正黑体_GBK"/>
                <w:kern w:val="0"/>
              </w:rPr>
            </w:pPr>
            <w:r>
              <w:rPr>
                <w:rFonts w:hint="eastAsia" w:ascii="方正黑体_GBK" w:eastAsia="方正黑体_GBK"/>
                <w:kern w:val="0"/>
              </w:rPr>
              <w:t>指标</w:t>
            </w:r>
          </w:p>
          <w:p>
            <w:pPr>
              <w:spacing w:line="400" w:lineRule="exact"/>
              <w:jc w:val="center"/>
              <w:rPr>
                <w:rFonts w:ascii="方正黑体_GBK" w:eastAsia="方正黑体_GBK"/>
                <w:kern w:val="0"/>
              </w:rPr>
            </w:pPr>
            <w:r>
              <w:rPr>
                <w:rFonts w:hint="eastAsia" w:ascii="方正黑体_GBK" w:eastAsia="方正黑体_GBK"/>
                <w:kern w:val="0"/>
              </w:rPr>
              <w:t>名称</w:t>
            </w:r>
          </w:p>
        </w:tc>
        <w:tc>
          <w:tcPr>
            <w:tcW w:w="854" w:type="pct"/>
            <w:tcBorders>
              <w:top w:val="single" w:color="auto" w:sz="4" w:space="0"/>
              <w:left w:val="nil"/>
              <w:bottom w:val="single" w:color="auto" w:sz="4" w:space="0"/>
              <w:right w:val="single" w:color="auto" w:sz="4" w:space="0"/>
            </w:tcBorders>
            <w:vAlign w:val="center"/>
          </w:tcPr>
          <w:p>
            <w:pPr>
              <w:spacing w:line="400" w:lineRule="exact"/>
              <w:jc w:val="center"/>
              <w:rPr>
                <w:rFonts w:ascii="方正黑体_GBK" w:eastAsia="方正黑体_GBK"/>
                <w:kern w:val="0"/>
              </w:rPr>
            </w:pPr>
            <w:r>
              <w:rPr>
                <w:rFonts w:hint="eastAsia" w:ascii="方正黑体_GBK" w:eastAsia="方正黑体_GBK"/>
                <w:kern w:val="0"/>
              </w:rPr>
              <w:t>适用</w:t>
            </w:r>
          </w:p>
          <w:p>
            <w:pPr>
              <w:spacing w:line="400" w:lineRule="exact"/>
              <w:jc w:val="center"/>
              <w:rPr>
                <w:rFonts w:ascii="方正黑体_GBK" w:eastAsia="方正黑体_GBK"/>
                <w:kern w:val="0"/>
              </w:rPr>
            </w:pPr>
            <w:r>
              <w:rPr>
                <w:rFonts w:hint="eastAsia" w:ascii="方正黑体_GBK" w:eastAsia="方正黑体_GBK"/>
                <w:kern w:val="0"/>
              </w:rPr>
              <w:t>类型</w:t>
            </w:r>
          </w:p>
        </w:tc>
        <w:tc>
          <w:tcPr>
            <w:tcW w:w="1156" w:type="pct"/>
            <w:tcBorders>
              <w:top w:val="single" w:color="auto" w:sz="4" w:space="0"/>
              <w:left w:val="nil"/>
              <w:bottom w:val="single" w:color="auto" w:sz="4" w:space="0"/>
              <w:right w:val="single" w:color="auto" w:sz="4" w:space="0"/>
            </w:tcBorders>
            <w:vAlign w:val="center"/>
          </w:tcPr>
          <w:p>
            <w:pPr>
              <w:spacing w:line="400" w:lineRule="exact"/>
              <w:jc w:val="center"/>
              <w:rPr>
                <w:rFonts w:ascii="方正黑体_GBK" w:eastAsia="方正黑体_GBK"/>
                <w:kern w:val="0"/>
              </w:rPr>
            </w:pPr>
            <w:r>
              <w:rPr>
                <w:rFonts w:hint="eastAsia" w:ascii="方正黑体_GBK" w:eastAsia="方正黑体_GBK"/>
                <w:kern w:val="0"/>
              </w:rPr>
              <w:t>依据</w:t>
            </w:r>
          </w:p>
          <w:p>
            <w:pPr>
              <w:spacing w:line="400" w:lineRule="exact"/>
              <w:jc w:val="center"/>
              <w:rPr>
                <w:rFonts w:ascii="方正黑体_GBK" w:eastAsia="方正黑体_GBK"/>
                <w:kern w:val="0"/>
              </w:rPr>
            </w:pPr>
            <w:r>
              <w:rPr>
                <w:rFonts w:hint="eastAsia" w:ascii="方正黑体_GBK" w:eastAsia="方正黑体_GBK"/>
                <w:kern w:val="0"/>
              </w:rPr>
              <w:t>材料</w:t>
            </w:r>
          </w:p>
        </w:tc>
        <w:tc>
          <w:tcPr>
            <w:tcW w:w="2225" w:type="pct"/>
            <w:tcBorders>
              <w:top w:val="single" w:color="auto" w:sz="4" w:space="0"/>
              <w:left w:val="nil"/>
              <w:bottom w:val="single" w:color="auto" w:sz="4" w:space="0"/>
              <w:right w:val="single" w:color="auto" w:sz="4" w:space="0"/>
            </w:tcBorders>
            <w:vAlign w:val="center"/>
          </w:tcPr>
          <w:p>
            <w:pPr>
              <w:spacing w:line="400" w:lineRule="exact"/>
              <w:jc w:val="center"/>
              <w:rPr>
                <w:rFonts w:ascii="方正黑体_GBK" w:eastAsia="方正黑体_GBK"/>
                <w:kern w:val="0"/>
              </w:rPr>
            </w:pPr>
            <w:r>
              <w:rPr>
                <w:rFonts w:hint="eastAsia" w:ascii="方正黑体_GBK" w:eastAsia="方正黑体_GBK"/>
                <w:kern w:val="0"/>
              </w:rPr>
              <w:t>计算</w:t>
            </w:r>
          </w:p>
          <w:p>
            <w:pPr>
              <w:spacing w:line="400" w:lineRule="exact"/>
              <w:jc w:val="center"/>
              <w:rPr>
                <w:rFonts w:ascii="方正黑体_GBK" w:eastAsia="方正黑体_GBK"/>
                <w:kern w:val="0"/>
              </w:rPr>
            </w:pPr>
            <w:r>
              <w:rPr>
                <w:rFonts w:hint="eastAsia" w:ascii="方正黑体_GBK" w:eastAsia="方正黑体_GBK"/>
                <w:kern w:val="0"/>
              </w:rPr>
              <w:t>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trPr>
        <w:tc>
          <w:tcPr>
            <w:tcW w:w="763" w:type="pc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方正仿宋_GBK"/>
                <w:kern w:val="0"/>
              </w:rPr>
            </w:pPr>
            <w:r>
              <w:rPr>
                <w:rFonts w:hint="eastAsia" w:eastAsia="方正仿宋_GBK"/>
                <w:kern w:val="0"/>
              </w:rPr>
              <w:t>批发业</w:t>
            </w:r>
          </w:p>
          <w:p>
            <w:pPr>
              <w:spacing w:line="440" w:lineRule="exact"/>
              <w:jc w:val="center"/>
              <w:rPr>
                <w:rFonts w:eastAsia="方正仿宋_GBK"/>
                <w:kern w:val="0"/>
              </w:rPr>
            </w:pPr>
            <w:r>
              <w:rPr>
                <w:rFonts w:hint="eastAsia" w:eastAsia="方正仿宋_GBK"/>
                <w:kern w:val="0"/>
              </w:rPr>
              <w:t>销售额</w:t>
            </w:r>
          </w:p>
        </w:tc>
        <w:tc>
          <w:tcPr>
            <w:tcW w:w="854" w:type="pct"/>
            <w:vMerge w:val="restart"/>
            <w:tcBorders>
              <w:top w:val="nil"/>
              <w:left w:val="nil"/>
              <w:bottom w:val="single" w:color="auto" w:sz="4" w:space="0"/>
              <w:right w:val="single" w:color="auto" w:sz="4" w:space="0"/>
            </w:tcBorders>
            <w:vAlign w:val="center"/>
          </w:tcPr>
          <w:p>
            <w:pPr>
              <w:spacing w:line="440" w:lineRule="exact"/>
              <w:jc w:val="center"/>
              <w:rPr>
                <w:rFonts w:eastAsia="方正仿宋_GBK"/>
                <w:kern w:val="0"/>
              </w:rPr>
            </w:pPr>
            <w:r>
              <w:rPr>
                <w:rFonts w:hint="eastAsia" w:eastAsia="方正仿宋_GBK"/>
                <w:kern w:val="0"/>
              </w:rPr>
              <w:t>一般</w:t>
            </w:r>
          </w:p>
          <w:p>
            <w:pPr>
              <w:spacing w:line="440" w:lineRule="exact"/>
              <w:jc w:val="center"/>
              <w:rPr>
                <w:rFonts w:eastAsia="方正仿宋_GBK"/>
                <w:kern w:val="0"/>
              </w:rPr>
            </w:pPr>
            <w:r>
              <w:rPr>
                <w:rFonts w:hint="eastAsia" w:eastAsia="方正仿宋_GBK"/>
                <w:kern w:val="0"/>
              </w:rPr>
              <w:t>纳税人</w:t>
            </w:r>
          </w:p>
        </w:tc>
        <w:tc>
          <w:tcPr>
            <w:tcW w:w="1156" w:type="pct"/>
            <w:vMerge w:val="restart"/>
            <w:tcBorders>
              <w:top w:val="nil"/>
              <w:left w:val="nil"/>
              <w:bottom w:val="single" w:color="auto" w:sz="4" w:space="0"/>
              <w:right w:val="single" w:color="auto" w:sz="4" w:space="0"/>
            </w:tcBorders>
            <w:vAlign w:val="center"/>
          </w:tcPr>
          <w:p>
            <w:pPr>
              <w:spacing w:line="440" w:lineRule="exact"/>
              <w:jc w:val="left"/>
              <w:rPr>
                <w:rFonts w:eastAsia="方正仿宋_GBK"/>
                <w:kern w:val="0"/>
              </w:rPr>
            </w:pPr>
            <w:r>
              <w:rPr>
                <w:rFonts w:hint="eastAsia" w:eastAsia="方正仿宋_GBK"/>
                <w:kern w:val="0"/>
              </w:rPr>
              <w:t>2023年《增值税及附加税费申报表》、2022年《增值税及附加税费申报表》</w:t>
            </w:r>
          </w:p>
        </w:tc>
        <w:tc>
          <w:tcPr>
            <w:tcW w:w="2225" w:type="pct"/>
            <w:vMerge w:val="restart"/>
            <w:tcBorders>
              <w:top w:val="nil"/>
              <w:left w:val="nil"/>
              <w:bottom w:val="single" w:color="auto" w:sz="4" w:space="0"/>
              <w:right w:val="single" w:color="auto" w:sz="4" w:space="0"/>
            </w:tcBorders>
            <w:vAlign w:val="center"/>
          </w:tcPr>
          <w:p>
            <w:pPr>
              <w:spacing w:line="440" w:lineRule="exact"/>
              <w:jc w:val="left"/>
              <w:rPr>
                <w:rFonts w:eastAsia="方正仿宋_GBK"/>
                <w:kern w:val="0"/>
              </w:rPr>
            </w:pPr>
            <w:r>
              <w:rPr>
                <w:rFonts w:hint="eastAsia" w:eastAsia="方正仿宋_GBK"/>
                <w:kern w:val="0"/>
              </w:rPr>
              <w:t>销售额=</w:t>
            </w:r>
            <w:r>
              <w:rPr>
                <w:rFonts w:hint="eastAsia" w:ascii="方正仿宋_GBK" w:eastAsia="方正仿宋_GBK"/>
                <w:kern w:val="0"/>
              </w:rPr>
              <w:t>应税货物销售额×</w:t>
            </w:r>
            <w:r>
              <w:rPr>
                <w:rFonts w:eastAsia="方正仿宋_GBK"/>
                <w:kern w:val="0"/>
              </w:rPr>
              <w:t>1.13+</w:t>
            </w:r>
            <w:r>
              <w:rPr>
                <w:rFonts w:hint="eastAsia" w:ascii="方正仿宋_GBK" w:eastAsia="方正仿宋_GBK"/>
                <w:kern w:val="0"/>
              </w:rPr>
              <w:t>按简易办法计税销售额×</w:t>
            </w:r>
            <w:r>
              <w:rPr>
                <w:rFonts w:eastAsia="方正仿宋_GBK"/>
                <w:kern w:val="0"/>
              </w:rPr>
              <w:t>1.03+</w:t>
            </w:r>
            <w:r>
              <w:rPr>
                <w:rFonts w:hint="eastAsia" w:ascii="方正仿宋_GBK" w:eastAsia="方正仿宋_GBK"/>
                <w:kern w:val="0"/>
              </w:rPr>
              <w:t>免、抵、退办法出口销售额</w:t>
            </w:r>
            <w:r>
              <w:rPr>
                <w:rFonts w:eastAsia="方正仿宋_GBK"/>
                <w:kern w:val="0"/>
              </w:rPr>
              <w:t>+</w:t>
            </w:r>
            <w:r>
              <w:rPr>
                <w:rFonts w:hint="eastAsia" w:ascii="方正仿宋_GBK" w:eastAsia="方正仿宋_GBK"/>
                <w:kern w:val="0"/>
              </w:rPr>
              <w:t>免税货物销售额（注：各细项指一般项目本年累计额，见图</w:t>
            </w:r>
            <w:r>
              <w:rPr>
                <w:rFonts w:eastAsia="方正仿宋_GBK"/>
                <w:kern w:val="0"/>
              </w:rPr>
              <w:t>1</w:t>
            </w:r>
            <w:r>
              <w:rPr>
                <w:rFonts w:hint="eastAsia" w:ascii="方正仿宋_GBK" w:eastAsia="方正仿宋_GBK"/>
                <w:kern w:val="0"/>
              </w:rPr>
              <w:t>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trPr>
        <w:tc>
          <w:tcPr>
            <w:tcW w:w="763" w:type="pc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方正仿宋_GBK"/>
                <w:kern w:val="0"/>
              </w:rPr>
            </w:pPr>
            <w:r>
              <w:rPr>
                <w:rFonts w:hint="eastAsia" w:eastAsia="方正仿宋_GBK"/>
                <w:kern w:val="0"/>
              </w:rPr>
              <w:t>零售业</w:t>
            </w:r>
          </w:p>
          <w:p>
            <w:pPr>
              <w:spacing w:line="440" w:lineRule="exact"/>
              <w:jc w:val="center"/>
              <w:rPr>
                <w:rFonts w:eastAsia="方正仿宋_GBK"/>
                <w:kern w:val="0"/>
              </w:rPr>
            </w:pPr>
            <w:r>
              <w:rPr>
                <w:rFonts w:hint="eastAsia" w:eastAsia="方正仿宋_GBK"/>
                <w:kern w:val="0"/>
              </w:rPr>
              <w:t>销售额</w:t>
            </w:r>
          </w:p>
        </w:tc>
        <w:tc>
          <w:tcPr>
            <w:tcW w:w="0" w:type="auto"/>
            <w:vMerge w:val="continue"/>
            <w:tcBorders>
              <w:top w:val="nil"/>
              <w:left w:val="nil"/>
              <w:bottom w:val="single" w:color="auto" w:sz="4" w:space="0"/>
              <w:right w:val="single" w:color="auto" w:sz="4" w:space="0"/>
            </w:tcBorders>
            <w:vAlign w:val="center"/>
          </w:tcPr>
          <w:p>
            <w:pPr>
              <w:widowControl/>
              <w:jc w:val="left"/>
              <w:rPr>
                <w:rFonts w:eastAsia="方正仿宋_GBK"/>
                <w:kern w:val="0"/>
              </w:rPr>
            </w:pPr>
          </w:p>
        </w:tc>
        <w:tc>
          <w:tcPr>
            <w:tcW w:w="0" w:type="auto"/>
            <w:vMerge w:val="continue"/>
            <w:tcBorders>
              <w:top w:val="nil"/>
              <w:left w:val="nil"/>
              <w:bottom w:val="single" w:color="auto" w:sz="4" w:space="0"/>
              <w:right w:val="single" w:color="auto" w:sz="4" w:space="0"/>
            </w:tcBorders>
            <w:vAlign w:val="center"/>
          </w:tcPr>
          <w:p>
            <w:pPr>
              <w:widowControl/>
              <w:jc w:val="left"/>
              <w:rPr>
                <w:rFonts w:eastAsia="方正仿宋_GBK"/>
                <w:kern w:val="0"/>
              </w:rPr>
            </w:pPr>
          </w:p>
        </w:tc>
        <w:tc>
          <w:tcPr>
            <w:tcW w:w="0" w:type="auto"/>
            <w:vMerge w:val="continue"/>
            <w:tcBorders>
              <w:top w:val="nil"/>
              <w:left w:val="nil"/>
              <w:bottom w:val="single" w:color="auto" w:sz="4" w:space="0"/>
              <w:right w:val="single" w:color="auto" w:sz="4" w:space="0"/>
            </w:tcBorders>
            <w:vAlign w:val="center"/>
          </w:tcPr>
          <w:p>
            <w:pPr>
              <w:widowControl/>
              <w:jc w:val="left"/>
              <w:rPr>
                <w:rFonts w:eastAsia="方正仿宋_GBK"/>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763" w:type="pc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方正仿宋_GBK"/>
                <w:kern w:val="0"/>
              </w:rPr>
            </w:pPr>
            <w:r>
              <w:rPr>
                <w:rFonts w:hint="eastAsia" w:eastAsia="方正仿宋_GBK"/>
                <w:kern w:val="0"/>
              </w:rPr>
              <w:t>餐饮业</w:t>
            </w:r>
          </w:p>
          <w:p>
            <w:pPr>
              <w:spacing w:line="440" w:lineRule="exact"/>
              <w:jc w:val="center"/>
              <w:rPr>
                <w:rFonts w:eastAsia="方正仿宋_GBK"/>
                <w:kern w:val="0"/>
              </w:rPr>
            </w:pPr>
            <w:r>
              <w:rPr>
                <w:rFonts w:hint="eastAsia" w:eastAsia="方正仿宋_GBK"/>
                <w:kern w:val="0"/>
              </w:rPr>
              <w:t>营业额</w:t>
            </w:r>
          </w:p>
        </w:tc>
        <w:tc>
          <w:tcPr>
            <w:tcW w:w="854" w:type="pct"/>
            <w:vMerge w:val="restart"/>
            <w:tcBorders>
              <w:top w:val="nil"/>
              <w:left w:val="nil"/>
              <w:bottom w:val="single" w:color="auto" w:sz="4" w:space="0"/>
              <w:right w:val="single" w:color="auto" w:sz="4" w:space="0"/>
            </w:tcBorders>
            <w:vAlign w:val="center"/>
          </w:tcPr>
          <w:p>
            <w:pPr>
              <w:spacing w:line="440" w:lineRule="exact"/>
              <w:jc w:val="center"/>
              <w:rPr>
                <w:rFonts w:eastAsia="方正仿宋_GBK"/>
                <w:kern w:val="0"/>
              </w:rPr>
            </w:pPr>
            <w:r>
              <w:rPr>
                <w:rFonts w:hint="eastAsia" w:eastAsia="方正仿宋_GBK"/>
                <w:kern w:val="0"/>
              </w:rPr>
              <w:t>一般</w:t>
            </w:r>
          </w:p>
          <w:p>
            <w:pPr>
              <w:spacing w:line="440" w:lineRule="exact"/>
              <w:jc w:val="center"/>
              <w:rPr>
                <w:rFonts w:eastAsia="方正仿宋_GBK"/>
                <w:kern w:val="0"/>
              </w:rPr>
            </w:pPr>
            <w:r>
              <w:rPr>
                <w:rFonts w:hint="eastAsia" w:eastAsia="方正仿宋_GBK"/>
                <w:kern w:val="0"/>
              </w:rPr>
              <w:t>纳税人</w:t>
            </w:r>
          </w:p>
        </w:tc>
        <w:tc>
          <w:tcPr>
            <w:tcW w:w="0" w:type="auto"/>
            <w:vMerge w:val="continue"/>
            <w:tcBorders>
              <w:top w:val="nil"/>
              <w:left w:val="nil"/>
              <w:bottom w:val="single" w:color="auto" w:sz="4" w:space="0"/>
              <w:right w:val="single" w:color="auto" w:sz="4" w:space="0"/>
            </w:tcBorders>
            <w:vAlign w:val="center"/>
          </w:tcPr>
          <w:p>
            <w:pPr>
              <w:widowControl/>
              <w:jc w:val="left"/>
              <w:rPr>
                <w:rFonts w:eastAsia="方正仿宋_GBK"/>
                <w:kern w:val="0"/>
              </w:rPr>
            </w:pPr>
          </w:p>
        </w:tc>
        <w:tc>
          <w:tcPr>
            <w:tcW w:w="2225" w:type="pct"/>
            <w:vMerge w:val="restart"/>
            <w:tcBorders>
              <w:top w:val="nil"/>
              <w:left w:val="nil"/>
              <w:bottom w:val="single" w:color="auto" w:sz="4" w:space="0"/>
              <w:right w:val="single" w:color="auto" w:sz="4" w:space="0"/>
            </w:tcBorders>
            <w:vAlign w:val="center"/>
          </w:tcPr>
          <w:p>
            <w:pPr>
              <w:spacing w:line="440" w:lineRule="exact"/>
              <w:jc w:val="left"/>
              <w:rPr>
                <w:rFonts w:eastAsia="方正仿宋_GBK"/>
                <w:kern w:val="0"/>
              </w:rPr>
            </w:pPr>
            <w:r>
              <w:rPr>
                <w:rFonts w:hint="eastAsia" w:eastAsia="方正仿宋_GBK"/>
                <w:kern w:val="0"/>
              </w:rPr>
              <w:t>营业额=</w:t>
            </w:r>
            <w:r>
              <w:rPr>
                <w:rFonts w:hint="eastAsia" w:ascii="方正仿宋_GBK" w:eastAsia="方正仿宋_GBK"/>
                <w:kern w:val="0"/>
              </w:rPr>
              <w:t>按适用税率计税销售额</w:t>
            </w:r>
            <w:r>
              <w:rPr>
                <w:rFonts w:eastAsia="方正仿宋_GBK"/>
                <w:kern w:val="0"/>
              </w:rPr>
              <w:t>+</w:t>
            </w:r>
            <w:r>
              <w:rPr>
                <w:rFonts w:hint="eastAsia" w:ascii="方正仿宋_GBK" w:eastAsia="方正仿宋_GBK"/>
                <w:kern w:val="0"/>
              </w:rPr>
              <w:t>按简易办法计税销售额</w:t>
            </w:r>
            <w:r>
              <w:rPr>
                <w:rFonts w:eastAsia="方正仿宋_GBK"/>
                <w:kern w:val="0"/>
              </w:rPr>
              <w:t>+</w:t>
            </w:r>
            <w:r>
              <w:rPr>
                <w:rFonts w:hint="eastAsia" w:ascii="方正仿宋_GBK" w:eastAsia="方正仿宋_GBK"/>
                <w:kern w:val="0"/>
              </w:rPr>
              <w:t>免、抵、退办法出口销售额</w:t>
            </w:r>
            <w:r>
              <w:rPr>
                <w:rFonts w:eastAsia="方正仿宋_GBK"/>
                <w:kern w:val="0"/>
              </w:rPr>
              <w:t>+</w:t>
            </w:r>
            <w:r>
              <w:rPr>
                <w:rFonts w:hint="eastAsia" w:ascii="方正仿宋_GBK" w:eastAsia="方正仿宋_GBK"/>
                <w:kern w:val="0"/>
              </w:rPr>
              <w:t>免税销售额</w:t>
            </w:r>
            <w:r>
              <w:rPr>
                <w:rFonts w:eastAsia="方正仿宋_GBK"/>
                <w:kern w:val="0"/>
              </w:rPr>
              <w:t>+</w:t>
            </w:r>
            <w:r>
              <w:rPr>
                <w:rFonts w:hint="eastAsia" w:ascii="方正仿宋_GBK" w:eastAsia="方正仿宋_GBK"/>
                <w:kern w:val="0"/>
              </w:rPr>
              <w:t>销项税额（注：各细项指一般项目本年累计额，见图</w:t>
            </w:r>
            <w:r>
              <w:rPr>
                <w:rFonts w:eastAsia="方正仿宋_GBK"/>
                <w:kern w:val="0"/>
              </w:rPr>
              <w:t>2</w:t>
            </w:r>
            <w:r>
              <w:rPr>
                <w:rFonts w:hint="eastAsia" w:ascii="方正仿宋_GBK" w:eastAsia="方正仿宋_GBK"/>
                <w:kern w:val="0"/>
              </w:rPr>
              <w:t>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763" w:type="pc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方正仿宋_GBK"/>
                <w:kern w:val="0"/>
              </w:rPr>
            </w:pPr>
            <w:r>
              <w:rPr>
                <w:rFonts w:hint="eastAsia" w:eastAsia="方正仿宋_GBK"/>
                <w:kern w:val="0"/>
              </w:rPr>
              <w:t>住宿业</w:t>
            </w:r>
          </w:p>
          <w:p>
            <w:pPr>
              <w:spacing w:line="440" w:lineRule="exact"/>
              <w:jc w:val="center"/>
              <w:rPr>
                <w:rFonts w:eastAsia="方正仿宋_GBK"/>
                <w:kern w:val="0"/>
              </w:rPr>
            </w:pPr>
            <w:r>
              <w:rPr>
                <w:rFonts w:hint="eastAsia" w:eastAsia="方正仿宋_GBK"/>
                <w:kern w:val="0"/>
              </w:rPr>
              <w:t>营业额</w:t>
            </w:r>
          </w:p>
        </w:tc>
        <w:tc>
          <w:tcPr>
            <w:tcW w:w="0" w:type="auto"/>
            <w:vMerge w:val="continue"/>
            <w:tcBorders>
              <w:top w:val="nil"/>
              <w:left w:val="nil"/>
              <w:bottom w:val="single" w:color="auto" w:sz="4" w:space="0"/>
              <w:right w:val="single" w:color="auto" w:sz="4" w:space="0"/>
            </w:tcBorders>
            <w:vAlign w:val="center"/>
          </w:tcPr>
          <w:p>
            <w:pPr>
              <w:widowControl/>
              <w:jc w:val="left"/>
              <w:rPr>
                <w:rFonts w:eastAsia="方正仿宋_GBK"/>
                <w:kern w:val="0"/>
              </w:rPr>
            </w:pPr>
          </w:p>
        </w:tc>
        <w:tc>
          <w:tcPr>
            <w:tcW w:w="0" w:type="auto"/>
            <w:vMerge w:val="continue"/>
            <w:tcBorders>
              <w:top w:val="nil"/>
              <w:left w:val="nil"/>
              <w:bottom w:val="single" w:color="auto" w:sz="4" w:space="0"/>
              <w:right w:val="single" w:color="auto" w:sz="4" w:space="0"/>
            </w:tcBorders>
            <w:vAlign w:val="center"/>
          </w:tcPr>
          <w:p>
            <w:pPr>
              <w:widowControl/>
              <w:jc w:val="left"/>
              <w:rPr>
                <w:rFonts w:eastAsia="方正仿宋_GBK"/>
                <w:kern w:val="0"/>
              </w:rPr>
            </w:pPr>
          </w:p>
        </w:tc>
        <w:tc>
          <w:tcPr>
            <w:tcW w:w="0" w:type="auto"/>
            <w:vMerge w:val="continue"/>
            <w:tcBorders>
              <w:top w:val="nil"/>
              <w:left w:val="nil"/>
              <w:bottom w:val="single" w:color="auto" w:sz="4" w:space="0"/>
              <w:right w:val="single" w:color="auto" w:sz="4" w:space="0"/>
            </w:tcBorders>
            <w:vAlign w:val="center"/>
          </w:tcPr>
          <w:p>
            <w:pPr>
              <w:widowControl/>
              <w:jc w:val="left"/>
              <w:rPr>
                <w:rFonts w:eastAsia="方正仿宋_GBK"/>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8" w:hRule="atLeast"/>
        </w:trPr>
        <w:tc>
          <w:tcPr>
            <w:tcW w:w="13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方正仿宋_GBK"/>
                <w:kern w:val="0"/>
              </w:rPr>
            </w:pPr>
            <w:r>
              <w:rPr>
                <w:rFonts w:hint="eastAsia" w:eastAsia="方正仿宋_GBK"/>
                <w:kern w:val="0"/>
              </w:rPr>
              <w:t>餐饮业</w:t>
            </w:r>
          </w:p>
          <w:p>
            <w:pPr>
              <w:spacing w:line="440" w:lineRule="exact"/>
              <w:jc w:val="center"/>
              <w:rPr>
                <w:rFonts w:eastAsia="方正仿宋_GBK"/>
                <w:kern w:val="0"/>
              </w:rPr>
            </w:pPr>
            <w:r>
              <w:rPr>
                <w:rFonts w:hint="eastAsia" w:eastAsia="方正仿宋_GBK"/>
                <w:kern w:val="0"/>
              </w:rPr>
              <w:t>营业额</w:t>
            </w:r>
          </w:p>
        </w:tc>
        <w:tc>
          <w:tcPr>
            <w:tcW w:w="854" w:type="pct"/>
            <w:vMerge w:val="restart"/>
            <w:tcBorders>
              <w:top w:val="nil"/>
              <w:left w:val="nil"/>
              <w:bottom w:val="single" w:color="auto" w:sz="4" w:space="0"/>
              <w:right w:val="single" w:color="auto" w:sz="4" w:space="0"/>
            </w:tcBorders>
            <w:vAlign w:val="center"/>
          </w:tcPr>
          <w:p>
            <w:pPr>
              <w:spacing w:line="440" w:lineRule="exact"/>
              <w:jc w:val="center"/>
              <w:rPr>
                <w:rFonts w:eastAsia="方正仿宋_GBK"/>
                <w:kern w:val="0"/>
              </w:rPr>
            </w:pPr>
            <w:r>
              <w:rPr>
                <w:rFonts w:hint="eastAsia" w:eastAsia="方正仿宋_GBK"/>
                <w:kern w:val="0"/>
              </w:rPr>
              <w:t>小规模</w:t>
            </w:r>
          </w:p>
          <w:p>
            <w:pPr>
              <w:spacing w:line="440" w:lineRule="exact"/>
              <w:jc w:val="center"/>
              <w:rPr>
                <w:rFonts w:eastAsia="方正仿宋_GBK"/>
                <w:kern w:val="0"/>
              </w:rPr>
            </w:pPr>
            <w:r>
              <w:rPr>
                <w:rFonts w:hint="eastAsia" w:eastAsia="方正仿宋_GBK"/>
                <w:kern w:val="0"/>
              </w:rPr>
              <w:t>纳税人</w:t>
            </w:r>
          </w:p>
        </w:tc>
        <w:tc>
          <w:tcPr>
            <w:tcW w:w="0" w:type="auto"/>
            <w:vMerge w:val="continue"/>
            <w:tcBorders>
              <w:top w:val="nil"/>
              <w:left w:val="nil"/>
              <w:bottom w:val="single" w:color="auto" w:sz="4" w:space="0"/>
              <w:right w:val="single" w:color="auto" w:sz="4" w:space="0"/>
            </w:tcBorders>
            <w:vAlign w:val="center"/>
          </w:tcPr>
          <w:p>
            <w:pPr>
              <w:widowControl/>
              <w:jc w:val="left"/>
              <w:rPr>
                <w:rFonts w:eastAsia="方正仿宋_GBK"/>
                <w:kern w:val="0"/>
              </w:rPr>
            </w:pPr>
          </w:p>
        </w:tc>
        <w:tc>
          <w:tcPr>
            <w:tcW w:w="2225" w:type="pct"/>
            <w:vMerge w:val="restart"/>
            <w:tcBorders>
              <w:top w:val="nil"/>
              <w:left w:val="nil"/>
              <w:bottom w:val="single" w:color="auto" w:sz="4" w:space="0"/>
              <w:right w:val="single" w:color="auto" w:sz="4" w:space="0"/>
            </w:tcBorders>
            <w:vAlign w:val="center"/>
          </w:tcPr>
          <w:p>
            <w:pPr>
              <w:spacing w:line="440" w:lineRule="exact"/>
              <w:jc w:val="left"/>
              <w:rPr>
                <w:rFonts w:eastAsia="方正仿宋_GBK"/>
                <w:kern w:val="0"/>
              </w:rPr>
            </w:pPr>
            <w:r>
              <w:rPr>
                <w:rFonts w:hint="eastAsia" w:eastAsia="方正仿宋_GBK"/>
                <w:kern w:val="0"/>
              </w:rPr>
              <w:t>营业额=</w:t>
            </w:r>
            <w:r>
              <w:rPr>
                <w:rFonts w:hint="eastAsia" w:ascii="方正仿宋_GBK" w:eastAsia="方正仿宋_GBK"/>
                <w:kern w:val="0"/>
              </w:rPr>
              <w:t>应征增值税不含税销售额（</w:t>
            </w:r>
            <w:r>
              <w:rPr>
                <w:rFonts w:eastAsia="方正仿宋_GBK"/>
                <w:kern w:val="0"/>
              </w:rPr>
              <w:t>3%</w:t>
            </w:r>
            <w:r>
              <w:rPr>
                <w:rFonts w:hint="eastAsia" w:ascii="方正仿宋_GBK" w:eastAsia="方正仿宋_GBK"/>
                <w:kern w:val="0"/>
              </w:rPr>
              <w:t>征收率）×</w:t>
            </w:r>
            <w:r>
              <w:rPr>
                <w:rFonts w:eastAsia="方正仿宋_GBK"/>
                <w:kern w:val="0"/>
              </w:rPr>
              <w:t>1.03+</w:t>
            </w:r>
            <w:r>
              <w:rPr>
                <w:rFonts w:hint="eastAsia" w:ascii="方正仿宋_GBK" w:eastAsia="方正仿宋_GBK"/>
                <w:kern w:val="0"/>
              </w:rPr>
              <w:t>应征增值税不含税销售额（</w:t>
            </w:r>
            <w:r>
              <w:rPr>
                <w:rFonts w:eastAsia="方正仿宋_GBK"/>
                <w:kern w:val="0"/>
              </w:rPr>
              <w:t>5%</w:t>
            </w:r>
            <w:r>
              <w:rPr>
                <w:rFonts w:hint="eastAsia" w:ascii="方正仿宋_GBK" w:eastAsia="方正仿宋_GBK"/>
                <w:kern w:val="0"/>
              </w:rPr>
              <w:t>征收率）×</w:t>
            </w:r>
            <w:r>
              <w:rPr>
                <w:rFonts w:eastAsia="方正仿宋_GBK"/>
                <w:kern w:val="0"/>
              </w:rPr>
              <w:t>1.05+</w:t>
            </w:r>
            <w:r>
              <w:rPr>
                <w:rFonts w:hint="eastAsia" w:ascii="方正仿宋_GBK" w:eastAsia="方正仿宋_GBK"/>
                <w:kern w:val="0"/>
              </w:rPr>
              <w:t>销售使用过的固定资产不含税销售额×</w:t>
            </w:r>
            <w:r>
              <w:rPr>
                <w:rFonts w:eastAsia="方正仿宋_GBK"/>
                <w:kern w:val="0"/>
              </w:rPr>
              <w:t>1.03+</w:t>
            </w:r>
            <w:r>
              <w:rPr>
                <w:rFonts w:hint="eastAsia" w:ascii="方正仿宋_GBK" w:eastAsia="方正仿宋_GBK"/>
                <w:kern w:val="0"/>
              </w:rPr>
              <w:t>免税销售额</w:t>
            </w:r>
            <w:r>
              <w:rPr>
                <w:rFonts w:eastAsia="方正仿宋_GBK"/>
                <w:kern w:val="0"/>
              </w:rPr>
              <w:t>+</w:t>
            </w:r>
            <w:r>
              <w:rPr>
                <w:rFonts w:hint="eastAsia" w:ascii="方正仿宋_GBK" w:eastAsia="方正仿宋_GBK"/>
                <w:kern w:val="0"/>
              </w:rPr>
              <w:t>出口免税销售额（注：各细项指本年累计额，见图</w:t>
            </w:r>
            <w:r>
              <w:rPr>
                <w:rFonts w:eastAsia="方正仿宋_GBK"/>
                <w:kern w:val="0"/>
              </w:rPr>
              <w:t>3</w:t>
            </w:r>
            <w:r>
              <w:rPr>
                <w:rFonts w:hint="eastAsia" w:ascii="方正仿宋_GBK" w:eastAsia="方正仿宋_GBK"/>
                <w:kern w:val="0"/>
              </w:rPr>
              <w:t>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8" w:hRule="atLeast"/>
        </w:trPr>
        <w:tc>
          <w:tcPr>
            <w:tcW w:w="13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eastAsia="方正仿宋_GBK"/>
                <w:kern w:val="0"/>
              </w:rPr>
            </w:pPr>
            <w:r>
              <w:rPr>
                <w:rFonts w:hint="eastAsia" w:eastAsia="方正仿宋_GBK"/>
                <w:kern w:val="0"/>
              </w:rPr>
              <w:t>住宿业</w:t>
            </w:r>
          </w:p>
          <w:p>
            <w:pPr>
              <w:spacing w:line="440" w:lineRule="exact"/>
              <w:jc w:val="center"/>
              <w:rPr>
                <w:rFonts w:eastAsia="方正仿宋_GBK"/>
                <w:kern w:val="0"/>
              </w:rPr>
            </w:pPr>
            <w:r>
              <w:rPr>
                <w:rFonts w:hint="eastAsia" w:eastAsia="方正仿宋_GBK"/>
                <w:kern w:val="0"/>
              </w:rPr>
              <w:t>营业额</w:t>
            </w:r>
          </w:p>
        </w:tc>
        <w:tc>
          <w:tcPr>
            <w:tcW w:w="0" w:type="auto"/>
            <w:vMerge w:val="continue"/>
            <w:tcBorders>
              <w:top w:val="nil"/>
              <w:left w:val="nil"/>
              <w:bottom w:val="single" w:color="auto" w:sz="4" w:space="0"/>
              <w:right w:val="single" w:color="auto" w:sz="4" w:space="0"/>
            </w:tcBorders>
            <w:vAlign w:val="center"/>
          </w:tcPr>
          <w:p>
            <w:pPr>
              <w:widowControl/>
              <w:jc w:val="left"/>
              <w:rPr>
                <w:rFonts w:eastAsia="方正仿宋_GBK"/>
                <w:kern w:val="0"/>
              </w:rPr>
            </w:pPr>
          </w:p>
        </w:tc>
        <w:tc>
          <w:tcPr>
            <w:tcW w:w="0" w:type="auto"/>
            <w:vMerge w:val="continue"/>
            <w:tcBorders>
              <w:top w:val="nil"/>
              <w:left w:val="nil"/>
              <w:bottom w:val="single" w:color="auto" w:sz="4" w:space="0"/>
              <w:right w:val="single" w:color="auto" w:sz="4" w:space="0"/>
            </w:tcBorders>
            <w:vAlign w:val="center"/>
          </w:tcPr>
          <w:p>
            <w:pPr>
              <w:widowControl/>
              <w:jc w:val="left"/>
              <w:rPr>
                <w:rFonts w:eastAsia="方正仿宋_GBK"/>
                <w:kern w:val="0"/>
              </w:rPr>
            </w:pPr>
          </w:p>
        </w:tc>
        <w:tc>
          <w:tcPr>
            <w:tcW w:w="0" w:type="auto"/>
            <w:vMerge w:val="continue"/>
            <w:tcBorders>
              <w:top w:val="nil"/>
              <w:left w:val="nil"/>
              <w:bottom w:val="single" w:color="auto" w:sz="4" w:space="0"/>
              <w:right w:val="single" w:color="auto" w:sz="4" w:space="0"/>
            </w:tcBorders>
            <w:vAlign w:val="center"/>
          </w:tcPr>
          <w:p>
            <w:pPr>
              <w:widowControl/>
              <w:jc w:val="left"/>
              <w:rPr>
                <w:rFonts w:eastAsia="方正仿宋_GBK"/>
                <w:kern w:val="0"/>
              </w:rPr>
            </w:pPr>
          </w:p>
        </w:tc>
      </w:tr>
    </w:tbl>
    <w:p>
      <w:pPr>
        <w:spacing w:line="400" w:lineRule="exact"/>
        <w:jc w:val="center"/>
        <w:rPr>
          <w:rFonts w:eastAsia="方正小标宋简体"/>
        </w:rPr>
      </w:pPr>
      <w:r>
        <w:rPr>
          <w:rFonts w:hint="eastAsia" w:eastAsia="方正小标宋简体"/>
        </w:rPr>
        <w:t>图1：限额以上批发业、零售业经营单位销售额</w:t>
      </w:r>
    </w:p>
    <w:p>
      <w:pPr>
        <w:spacing w:line="400" w:lineRule="exact"/>
        <w:jc w:val="center"/>
        <w:rPr>
          <w:rFonts w:eastAsia="方正小标宋简体"/>
        </w:rPr>
      </w:pPr>
      <w:r>
        <w:rPr>
          <w:rFonts w:hint="eastAsia" w:eastAsia="方正小标宋简体"/>
        </w:rPr>
        <w:t>计算方式：销售额=A×1.13+B×1.03+C+D</w:t>
      </w:r>
    </w:p>
    <w:p>
      <w:pPr>
        <w:ind w:left="-423" w:leftChars="-134"/>
        <w:jc w:val="center"/>
        <w:rPr>
          <w:rFonts w:eastAsia="方正仿宋_GBK"/>
        </w:rPr>
      </w:pPr>
      <w:r>
        <w:drawing>
          <wp:inline distT="0" distB="0" distL="0" distR="0">
            <wp:extent cx="6199505" cy="3171825"/>
            <wp:effectExtent l="0" t="0" r="0" b="0"/>
            <wp:docPr id="1" name="图片 1" descr="1699528511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99528511615"/>
                    <pic:cNvPicPr>
                      <a:picLocks noChangeAspect="1"/>
                    </pic:cNvPicPr>
                  </pic:nvPicPr>
                  <pic:blipFill>
                    <a:blip r:embed="rId7"/>
                    <a:stretch>
                      <a:fillRect/>
                    </a:stretch>
                  </pic:blipFill>
                  <pic:spPr>
                    <a:xfrm>
                      <a:off x="0" y="0"/>
                      <a:ext cx="6214360" cy="3179154"/>
                    </a:xfrm>
                    <a:prstGeom prst="rect">
                      <a:avLst/>
                    </a:prstGeom>
                  </pic:spPr>
                </pic:pic>
              </a:graphicData>
            </a:graphic>
          </wp:inline>
        </w:drawing>
      </w:r>
    </w:p>
    <w:p>
      <w:pPr>
        <w:spacing w:line="400" w:lineRule="exact"/>
        <w:jc w:val="center"/>
        <w:rPr>
          <w:rFonts w:eastAsia="方正小标宋简体"/>
        </w:rPr>
      </w:pPr>
    </w:p>
    <w:p>
      <w:pPr>
        <w:spacing w:line="400" w:lineRule="exact"/>
        <w:jc w:val="center"/>
        <w:rPr>
          <w:rFonts w:eastAsia="方正小标宋简体"/>
        </w:rPr>
      </w:pPr>
      <w:r>
        <w:rPr>
          <w:rFonts w:hint="eastAsia" w:eastAsia="方正小标宋简体"/>
        </w:rPr>
        <w:t>图2：限额以上住餐业经营单位营业额（一般纳税人）</w:t>
      </w:r>
    </w:p>
    <w:p>
      <w:pPr>
        <w:spacing w:line="400" w:lineRule="exact"/>
        <w:jc w:val="center"/>
        <w:rPr>
          <w:rFonts w:eastAsia="方正小标宋简体"/>
        </w:rPr>
      </w:pPr>
      <w:r>
        <w:rPr>
          <w:rFonts w:hint="eastAsia" w:eastAsia="方正小标宋简体"/>
        </w:rPr>
        <w:t>计算公式：营业额=A+B+C+D+E</w:t>
      </w:r>
    </w:p>
    <w:p>
      <w:pPr>
        <w:ind w:left="-565" w:leftChars="-179"/>
        <w:jc w:val="center"/>
        <w:rPr>
          <w:rFonts w:eastAsia="方正小标宋简体"/>
        </w:rPr>
      </w:pPr>
      <w:r>
        <w:drawing>
          <wp:inline distT="0" distB="0" distL="0" distR="0">
            <wp:extent cx="6191885" cy="3038475"/>
            <wp:effectExtent l="0" t="0" r="0" b="0"/>
            <wp:docPr id="3" name="图片 3" descr="a9c078f443b47fa978443fb2777b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9c078f443b47fa978443fb2777b465"/>
                    <pic:cNvPicPr>
                      <a:picLocks noChangeAspect="1"/>
                    </pic:cNvPicPr>
                  </pic:nvPicPr>
                  <pic:blipFill>
                    <a:blip r:embed="rId8"/>
                    <a:stretch>
                      <a:fillRect/>
                    </a:stretch>
                  </pic:blipFill>
                  <pic:spPr>
                    <a:xfrm>
                      <a:off x="0" y="0"/>
                      <a:ext cx="6226033" cy="3055186"/>
                    </a:xfrm>
                    <a:prstGeom prst="rect">
                      <a:avLst/>
                    </a:prstGeom>
                  </pic:spPr>
                </pic:pic>
              </a:graphicData>
            </a:graphic>
          </wp:inline>
        </w:drawing>
      </w:r>
    </w:p>
    <w:p>
      <w:pPr>
        <w:spacing w:line="400" w:lineRule="exact"/>
        <w:jc w:val="center"/>
        <w:rPr>
          <w:rFonts w:eastAsia="方正小标宋简体"/>
        </w:rPr>
      </w:pPr>
      <w:r>
        <w:rPr>
          <w:rFonts w:hint="eastAsia" w:eastAsia="方正小标宋简体"/>
        </w:rPr>
        <w:t>图3：限额以上住餐业经营单位营业额（小规模纳税人）</w:t>
      </w:r>
    </w:p>
    <w:p>
      <w:pPr>
        <w:spacing w:line="400" w:lineRule="exact"/>
        <w:jc w:val="center"/>
        <w:rPr>
          <w:rFonts w:eastAsia="方正小标宋简体"/>
        </w:rPr>
      </w:pPr>
      <w:r>
        <w:rPr>
          <w:rFonts w:hint="eastAsia" w:eastAsia="方正小标宋简体"/>
        </w:rPr>
        <w:t>计算公式：营业额=(A1+A2)×1.03+B×1.05+C×1.03+D1+D2+E1+E2</w:t>
      </w:r>
    </w:p>
    <w:p>
      <w:pPr>
        <w:jc w:val="center"/>
        <w:rPr>
          <w:rFonts w:eastAsia="方正仿宋_GBK"/>
        </w:rPr>
      </w:pPr>
      <w:r>
        <w:drawing>
          <wp:inline distT="0" distB="0" distL="0" distR="0">
            <wp:extent cx="5572125" cy="6743700"/>
            <wp:effectExtent l="0" t="0" r="0" b="0"/>
            <wp:docPr id="4" name="图片 4" descr="1699530226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99530226688"/>
                    <pic:cNvPicPr>
                      <a:picLocks noChangeAspect="1"/>
                    </pic:cNvPicPr>
                  </pic:nvPicPr>
                  <pic:blipFill>
                    <a:blip r:embed="rId9"/>
                    <a:stretch>
                      <a:fillRect/>
                    </a:stretch>
                  </pic:blipFill>
                  <pic:spPr>
                    <a:xfrm>
                      <a:off x="0" y="0"/>
                      <a:ext cx="5575941" cy="6748319"/>
                    </a:xfrm>
                    <a:prstGeom prst="rect">
                      <a:avLst/>
                    </a:prstGeom>
                  </pic:spPr>
                </pic:pic>
              </a:graphicData>
            </a:graphic>
          </wp:inline>
        </w:drawing>
      </w:r>
    </w:p>
    <w:p>
      <w:pPr>
        <w:spacing w:before="579" w:beforeLines="100"/>
        <w:ind w:firstLine="632" w:firstLineChars="200"/>
        <w:rPr>
          <w:rFonts w:eastAsia="方正仿宋_GBK"/>
        </w:rPr>
      </w:pPr>
      <w:r>
        <w:rPr>
          <w:rFonts w:hint="eastAsia" w:eastAsia="方正仿宋_GBK"/>
        </w:rPr>
        <w:t>（3）需同时满足增长率和增量要求。只满足其中一个要求的，不予以奖励；对增量不足额部分，不予以奖励。例子：A企业为我市限额以上批发业企业，奖励情况如下：</w:t>
      </w:r>
    </w:p>
    <w:tbl>
      <w:tblPr>
        <w:tblStyle w:val="4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1725"/>
        <w:gridCol w:w="1665"/>
        <w:gridCol w:w="1680"/>
        <w:gridCol w:w="1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atLeast"/>
          <w:jc w:val="center"/>
        </w:trPr>
        <w:tc>
          <w:tcPr>
            <w:tcW w:w="1509" w:type="dxa"/>
            <w:tcBorders>
              <w:top w:val="single" w:color="auto" w:sz="4" w:space="0"/>
              <w:left w:val="single" w:color="auto" w:sz="4" w:space="0"/>
              <w:bottom w:val="single" w:color="auto" w:sz="4" w:space="0"/>
              <w:right w:val="single" w:color="auto" w:sz="4" w:space="0"/>
            </w:tcBorders>
            <w:vAlign w:val="center"/>
          </w:tcPr>
          <w:p>
            <w:pPr>
              <w:suppressAutoHyphens/>
              <w:spacing w:line="400" w:lineRule="exact"/>
              <w:jc w:val="center"/>
              <w:rPr>
                <w:rFonts w:eastAsia="方正黑体_GBK"/>
                <w:kern w:val="0"/>
              </w:rPr>
            </w:pPr>
            <w:r>
              <w:rPr>
                <w:rFonts w:hint="eastAsia" w:eastAsia="方正黑体_GBK"/>
                <w:kern w:val="0"/>
              </w:rPr>
              <w:t>2022年</w:t>
            </w:r>
          </w:p>
          <w:p>
            <w:pPr>
              <w:suppressAutoHyphens/>
              <w:spacing w:line="400" w:lineRule="exact"/>
              <w:jc w:val="center"/>
              <w:rPr>
                <w:rFonts w:eastAsia="方正黑体_GBK"/>
                <w:kern w:val="0"/>
              </w:rPr>
            </w:pPr>
            <w:r>
              <w:rPr>
                <w:rFonts w:hint="eastAsia" w:eastAsia="方正黑体_GBK"/>
                <w:kern w:val="0"/>
              </w:rPr>
              <w:t>销售额</w:t>
            </w:r>
          </w:p>
          <w:p>
            <w:pPr>
              <w:suppressAutoHyphens/>
              <w:spacing w:line="400" w:lineRule="exact"/>
              <w:jc w:val="center"/>
              <w:rPr>
                <w:rFonts w:eastAsia="方正黑体_GBK"/>
                <w:kern w:val="0"/>
              </w:rPr>
            </w:pPr>
            <w:r>
              <w:rPr>
                <w:rFonts w:hint="eastAsia" w:eastAsia="方正黑体_GBK"/>
                <w:kern w:val="0"/>
              </w:rPr>
              <w:t>（亿元）</w:t>
            </w:r>
          </w:p>
        </w:tc>
        <w:tc>
          <w:tcPr>
            <w:tcW w:w="1725"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黑体_GBK"/>
                <w:kern w:val="0"/>
              </w:rPr>
            </w:pPr>
            <w:r>
              <w:rPr>
                <w:rFonts w:hint="eastAsia" w:eastAsia="方正黑体_GBK"/>
                <w:kern w:val="0"/>
              </w:rPr>
              <w:t>2023年</w:t>
            </w:r>
          </w:p>
          <w:p>
            <w:pPr>
              <w:suppressAutoHyphens/>
              <w:spacing w:line="400" w:lineRule="exact"/>
              <w:jc w:val="center"/>
              <w:rPr>
                <w:rFonts w:eastAsia="方正黑体_GBK"/>
                <w:kern w:val="0"/>
              </w:rPr>
            </w:pPr>
            <w:r>
              <w:rPr>
                <w:rFonts w:hint="eastAsia" w:eastAsia="方正黑体_GBK"/>
                <w:kern w:val="0"/>
              </w:rPr>
              <w:t>销售额</w:t>
            </w:r>
          </w:p>
          <w:p>
            <w:pPr>
              <w:suppressAutoHyphens/>
              <w:spacing w:line="400" w:lineRule="exact"/>
              <w:jc w:val="center"/>
              <w:rPr>
                <w:rFonts w:eastAsia="方正黑体_GBK"/>
                <w:kern w:val="0"/>
              </w:rPr>
            </w:pPr>
            <w:r>
              <w:rPr>
                <w:rFonts w:hint="eastAsia" w:eastAsia="方正黑体_GBK"/>
                <w:kern w:val="0"/>
              </w:rPr>
              <w:t>（亿元）</w:t>
            </w:r>
          </w:p>
        </w:tc>
        <w:tc>
          <w:tcPr>
            <w:tcW w:w="1665"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黑体_GBK"/>
                <w:kern w:val="0"/>
              </w:rPr>
            </w:pPr>
            <w:r>
              <w:rPr>
                <w:rFonts w:hint="eastAsia" w:eastAsia="方正黑体_GBK"/>
                <w:kern w:val="0"/>
              </w:rPr>
              <w:t>增长</w:t>
            </w:r>
          </w:p>
          <w:p>
            <w:pPr>
              <w:suppressAutoHyphens/>
              <w:spacing w:line="400" w:lineRule="exact"/>
              <w:jc w:val="center"/>
              <w:rPr>
                <w:rFonts w:eastAsia="方正黑体_GBK"/>
                <w:kern w:val="0"/>
              </w:rPr>
            </w:pPr>
            <w:r>
              <w:rPr>
                <w:rFonts w:hint="eastAsia" w:eastAsia="方正黑体_GBK"/>
                <w:kern w:val="0"/>
              </w:rPr>
              <w:t>（%）</w:t>
            </w:r>
          </w:p>
        </w:tc>
        <w:tc>
          <w:tcPr>
            <w:tcW w:w="1680"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黑体_GBK"/>
                <w:kern w:val="0"/>
              </w:rPr>
            </w:pPr>
            <w:r>
              <w:rPr>
                <w:rFonts w:hint="eastAsia" w:eastAsia="方正黑体_GBK"/>
                <w:kern w:val="0"/>
              </w:rPr>
              <w:t>增量</w:t>
            </w:r>
          </w:p>
          <w:p>
            <w:pPr>
              <w:suppressAutoHyphens/>
              <w:spacing w:line="400" w:lineRule="exact"/>
              <w:jc w:val="center"/>
              <w:rPr>
                <w:rFonts w:eastAsia="方正黑体_GBK"/>
                <w:kern w:val="0"/>
              </w:rPr>
            </w:pPr>
            <w:r>
              <w:rPr>
                <w:rFonts w:hint="eastAsia" w:eastAsia="方正黑体_GBK"/>
                <w:kern w:val="0"/>
              </w:rPr>
              <w:t>（亿元）</w:t>
            </w:r>
          </w:p>
        </w:tc>
        <w:tc>
          <w:tcPr>
            <w:tcW w:w="1939"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黑体_GBK"/>
                <w:kern w:val="0"/>
              </w:rPr>
            </w:pPr>
            <w:r>
              <w:rPr>
                <w:rFonts w:hint="eastAsia" w:eastAsia="方正黑体_GBK"/>
                <w:kern w:val="0"/>
              </w:rPr>
              <w:t>奖励金额（万元）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09" w:type="dxa"/>
            <w:tcBorders>
              <w:top w:val="single" w:color="auto" w:sz="4" w:space="0"/>
              <w:left w:val="single" w:color="auto" w:sz="4" w:space="0"/>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w:t>
            </w:r>
          </w:p>
        </w:tc>
        <w:tc>
          <w:tcPr>
            <w:tcW w:w="1725"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1.15</w:t>
            </w:r>
          </w:p>
        </w:tc>
        <w:tc>
          <w:tcPr>
            <w:tcW w:w="1665"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15</w:t>
            </w:r>
          </w:p>
        </w:tc>
        <w:tc>
          <w:tcPr>
            <w:tcW w:w="1680"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0.15</w:t>
            </w:r>
          </w:p>
        </w:tc>
        <w:tc>
          <w:tcPr>
            <w:tcW w:w="1939"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hint="eastAsia" w:eastAsia="方正仿宋_GBK"/>
                <w:kern w:val="0"/>
              </w:rPr>
              <w:t>不予奖励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09" w:type="dxa"/>
            <w:tcBorders>
              <w:top w:val="single" w:color="auto" w:sz="4" w:space="0"/>
              <w:left w:val="single" w:color="auto" w:sz="4" w:space="0"/>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10</w:t>
            </w:r>
          </w:p>
        </w:tc>
        <w:tc>
          <w:tcPr>
            <w:tcW w:w="1725"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11</w:t>
            </w:r>
          </w:p>
        </w:tc>
        <w:tc>
          <w:tcPr>
            <w:tcW w:w="1665"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10</w:t>
            </w:r>
          </w:p>
        </w:tc>
        <w:tc>
          <w:tcPr>
            <w:tcW w:w="1680"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w:t>
            </w:r>
          </w:p>
        </w:tc>
        <w:tc>
          <w:tcPr>
            <w:tcW w:w="1939"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hint="eastAsia" w:eastAsia="方正仿宋_GBK"/>
                <w:kern w:val="0"/>
              </w:rPr>
              <w:t>不予奖励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09" w:type="dxa"/>
            <w:tcBorders>
              <w:top w:val="single" w:color="auto" w:sz="4" w:space="0"/>
              <w:left w:val="single" w:color="auto" w:sz="4" w:space="0"/>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w:t>
            </w:r>
          </w:p>
        </w:tc>
        <w:tc>
          <w:tcPr>
            <w:tcW w:w="1725"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2</w:t>
            </w:r>
          </w:p>
        </w:tc>
        <w:tc>
          <w:tcPr>
            <w:tcW w:w="1665"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100</w:t>
            </w:r>
          </w:p>
        </w:tc>
        <w:tc>
          <w:tcPr>
            <w:tcW w:w="1680"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w:t>
            </w:r>
          </w:p>
        </w:tc>
        <w:tc>
          <w:tcPr>
            <w:tcW w:w="1939"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09" w:type="dxa"/>
            <w:tcBorders>
              <w:top w:val="single" w:color="auto" w:sz="4" w:space="0"/>
              <w:left w:val="single" w:color="auto" w:sz="4" w:space="0"/>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w:t>
            </w:r>
          </w:p>
        </w:tc>
        <w:tc>
          <w:tcPr>
            <w:tcW w:w="1725"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2.5</w:t>
            </w:r>
          </w:p>
        </w:tc>
        <w:tc>
          <w:tcPr>
            <w:tcW w:w="1665"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150</w:t>
            </w:r>
          </w:p>
        </w:tc>
        <w:tc>
          <w:tcPr>
            <w:tcW w:w="1680"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1.5</w:t>
            </w:r>
          </w:p>
        </w:tc>
        <w:tc>
          <w:tcPr>
            <w:tcW w:w="1939" w:type="dxa"/>
            <w:tcBorders>
              <w:top w:val="single" w:color="auto" w:sz="4" w:space="0"/>
              <w:left w:val="nil"/>
              <w:bottom w:val="single" w:color="auto" w:sz="4" w:space="0"/>
              <w:right w:val="single" w:color="auto" w:sz="4" w:space="0"/>
            </w:tcBorders>
            <w:vAlign w:val="center"/>
          </w:tcPr>
          <w:p>
            <w:pPr>
              <w:suppressAutoHyphens/>
              <w:spacing w:line="400" w:lineRule="exact"/>
              <w:jc w:val="center"/>
              <w:rPr>
                <w:rFonts w:eastAsia="方正仿宋_GBK"/>
                <w:kern w:val="0"/>
              </w:rPr>
            </w:pPr>
            <w:r>
              <w:rPr>
                <w:rFonts w:eastAsia="方正仿宋_GBK"/>
                <w:kern w:val="0"/>
              </w:rPr>
              <w:t>5</w:t>
            </w:r>
          </w:p>
        </w:tc>
      </w:tr>
    </w:tbl>
    <w:p>
      <w:pPr>
        <w:numPr>
          <w:ilvl w:val="0"/>
          <w:numId w:val="1"/>
        </w:numPr>
        <w:spacing w:before="579" w:beforeLines="100"/>
        <w:ind w:firstLine="632" w:firstLineChars="200"/>
        <w:rPr>
          <w:rFonts w:eastAsia="方正仿宋_GBK"/>
        </w:rPr>
      </w:pPr>
      <w:r>
        <w:rPr>
          <w:rFonts w:hint="eastAsia" w:eastAsia="方正仿宋_GBK"/>
        </w:rPr>
        <w:t>不曾以同一事项重复或多头申报财政资金。</w:t>
      </w:r>
    </w:p>
    <w:p>
      <w:pPr>
        <w:ind w:firstLine="632" w:firstLineChars="200"/>
        <w:rPr>
          <w:rFonts w:eastAsia="方正仿宋_GBK"/>
        </w:rPr>
      </w:pPr>
      <w:r>
        <w:rPr>
          <w:rFonts w:hint="eastAsia" w:eastAsia="方正仿宋_GBK"/>
        </w:rPr>
        <w:t>（</w:t>
      </w:r>
      <w:r>
        <w:rPr>
          <w:rFonts w:eastAsia="方正仿宋_GBK"/>
        </w:rPr>
        <w:t>5</w:t>
      </w:r>
      <w:r>
        <w:rPr>
          <w:rFonts w:hint="eastAsia" w:eastAsia="方正仿宋_GBK"/>
        </w:rPr>
        <w:t>）本项奖励为一次性奖励，涉及奖励资金由江门市本级和各县（市、区）财政按比例共同承担，其中，市本级与蓬江区、江海区、新会区按税收分成比例分担（市本级与蓬江区分担比例为49∶51，与江海区分担比例为32∶68，与新会区分担比例为22∶78）；市本级与台山市、开平市、鹤山市、恩平市按20∶80比例分担。</w:t>
      </w:r>
    </w:p>
    <w:p>
      <w:pPr>
        <w:ind w:firstLine="632" w:firstLineChars="200"/>
        <w:rPr>
          <w:rFonts w:eastAsia="方正仿宋_GBK"/>
        </w:rPr>
      </w:pPr>
      <w:r>
        <w:rPr>
          <w:rFonts w:hint="eastAsia" w:eastAsia="方正仿宋_GBK"/>
        </w:rPr>
        <w:t>（</w:t>
      </w:r>
      <w:r>
        <w:rPr>
          <w:rFonts w:eastAsia="方正仿宋_GBK"/>
        </w:rPr>
        <w:t>6</w:t>
      </w:r>
      <w:r>
        <w:rPr>
          <w:rFonts w:hint="eastAsia" w:eastAsia="方正仿宋_GBK"/>
        </w:rPr>
        <w:t>）同时符合本项奖励和“支持制造业企业建立销售公司”奖励的申报单位，按“就高不重复”原则选择其中一个方向进行申报，不可同时申报。</w:t>
      </w:r>
    </w:p>
    <w:p>
      <w:pPr>
        <w:ind w:firstLine="632" w:firstLineChars="200"/>
        <w:rPr>
          <w:rFonts w:eastAsia="方正仿宋_GBK"/>
        </w:rPr>
      </w:pPr>
      <w:r>
        <w:rPr>
          <w:rFonts w:hint="eastAsia" w:eastAsia="方正仿宋_GBK"/>
        </w:rPr>
        <w:t>（</w:t>
      </w:r>
      <w:r>
        <w:rPr>
          <w:rFonts w:eastAsia="方正仿宋_GBK"/>
        </w:rPr>
        <w:t>7</w:t>
      </w:r>
      <w:r>
        <w:rPr>
          <w:rFonts w:hint="eastAsia" w:eastAsia="方正仿宋_GBK"/>
        </w:rPr>
        <w:t>）申报对象在江门市依法注册登记，合法开展经营，近三年无受到行政处罚、无违法失信等不良行为（以企业信用信息报告为准）。</w:t>
      </w:r>
    </w:p>
    <w:p>
      <w:pPr>
        <w:ind w:firstLine="632" w:firstLineChars="200"/>
        <w:rPr>
          <w:rFonts w:eastAsia="方正仿宋_GBK"/>
          <w:b/>
        </w:rPr>
      </w:pPr>
      <w:r>
        <w:rPr>
          <w:rFonts w:hint="eastAsia" w:eastAsia="方正仿宋_GBK"/>
          <w:b/>
        </w:rPr>
        <w:t>3．申报所需提交的材料。</w:t>
      </w:r>
    </w:p>
    <w:p>
      <w:pPr>
        <w:ind w:firstLine="632" w:firstLineChars="200"/>
        <w:rPr>
          <w:rFonts w:eastAsia="方正仿宋_GBK"/>
        </w:rPr>
      </w:pPr>
      <w:r>
        <w:rPr>
          <w:rFonts w:hint="eastAsia" w:eastAsia="方正仿宋_GBK"/>
        </w:rPr>
        <w:t>（1）资金申请表及承诺书（见附件1）；</w:t>
      </w:r>
    </w:p>
    <w:p>
      <w:pPr>
        <w:ind w:firstLine="632" w:firstLineChars="200"/>
        <w:rPr>
          <w:rFonts w:eastAsia="方正仿宋_GBK"/>
        </w:rPr>
      </w:pPr>
      <w:r>
        <w:rPr>
          <w:rFonts w:hint="eastAsia" w:eastAsia="方正仿宋_GBK"/>
        </w:rPr>
        <w:t>（2）营业执照复印件；</w:t>
      </w:r>
    </w:p>
    <w:p>
      <w:pPr>
        <w:ind w:firstLine="632" w:firstLineChars="200"/>
        <w:rPr>
          <w:rFonts w:eastAsia="方正仿宋_GBK"/>
        </w:rPr>
      </w:pPr>
      <w:r>
        <w:rPr>
          <w:rFonts w:hint="eastAsia" w:eastAsia="方正仿宋_GBK"/>
        </w:rPr>
        <w:t>（3）在“国家企业信用信息公示系统”下载的企业信用信息报告（网址：https://www.gsxt.gov.cn/index.html）；</w:t>
      </w:r>
    </w:p>
    <w:p>
      <w:pPr>
        <w:ind w:firstLine="632" w:firstLineChars="200"/>
        <w:rPr>
          <w:rFonts w:eastAsia="方正仿宋_GBK"/>
        </w:rPr>
      </w:pPr>
      <w:r>
        <w:rPr>
          <w:rFonts w:hint="eastAsia" w:eastAsia="方正仿宋_GBK"/>
        </w:rPr>
        <w:t>（4）申报单位2022年、2023年《增值税及附加税费申报表》（含主表及附列资料）;</w:t>
      </w:r>
    </w:p>
    <w:p>
      <w:pPr>
        <w:ind w:firstLine="632" w:firstLineChars="200"/>
        <w:rPr>
          <w:rFonts w:eastAsia="方正仿宋_GBK"/>
        </w:rPr>
      </w:pPr>
      <w:r>
        <w:rPr>
          <w:rFonts w:hint="eastAsia" w:eastAsia="方正仿宋_GBK"/>
        </w:rPr>
        <w:t>（5）由具有资质的第三方机构出具的专门针对本条措施的专项审计报告。</w:t>
      </w:r>
    </w:p>
    <w:p>
      <w:pPr>
        <w:ind w:firstLine="632" w:firstLineChars="200"/>
        <w:rPr>
          <w:rFonts w:ascii="方正楷体_GBK" w:eastAsia="方正楷体_GBK"/>
          <w:b/>
        </w:rPr>
      </w:pPr>
      <w:r>
        <w:rPr>
          <w:rFonts w:hint="eastAsia" w:ascii="方正楷体_GBK" w:eastAsia="方正楷体_GBK"/>
          <w:b/>
        </w:rPr>
        <w:t>（二）支持“小升规”。</w:t>
      </w:r>
    </w:p>
    <w:p>
      <w:pPr>
        <w:ind w:firstLine="632" w:firstLineChars="200"/>
        <w:rPr>
          <w:rFonts w:eastAsia="方正仿宋_GBK"/>
          <w:b/>
        </w:rPr>
      </w:pPr>
      <w:r>
        <w:rPr>
          <w:rFonts w:hint="eastAsia" w:eastAsia="方正仿宋_GBK"/>
          <w:b/>
        </w:rPr>
        <w:t>1．支持对象和条件、奖励标准。</w:t>
      </w:r>
    </w:p>
    <w:p>
      <w:pPr>
        <w:ind w:firstLine="632" w:firstLineChars="200"/>
        <w:rPr>
          <w:rFonts w:eastAsia="方正仿宋_GBK"/>
        </w:rPr>
      </w:pPr>
      <w:r>
        <w:rPr>
          <w:rFonts w:hint="eastAsia" w:eastAsia="方正仿宋_GBK"/>
        </w:rPr>
        <w:t>对2023年在我市首次入统的批发业、零售业、住宿业（不含精品民宿）、餐饮业企业，给予每家5万元奖励。</w:t>
      </w:r>
    </w:p>
    <w:p>
      <w:pPr>
        <w:ind w:firstLine="632" w:firstLineChars="200"/>
        <w:rPr>
          <w:rFonts w:eastAsia="方正仿宋_GBK"/>
          <w:b/>
        </w:rPr>
      </w:pPr>
      <w:r>
        <w:rPr>
          <w:rFonts w:hint="eastAsia" w:eastAsia="方正仿宋_GBK"/>
          <w:b/>
        </w:rPr>
        <w:t>2．注意事项。</w:t>
      </w:r>
    </w:p>
    <w:p>
      <w:pPr>
        <w:ind w:firstLine="632" w:firstLineChars="200"/>
        <w:rPr>
          <w:rFonts w:eastAsia="方正仿宋_GBK"/>
        </w:rPr>
      </w:pPr>
      <w:r>
        <w:rPr>
          <w:rFonts w:hint="eastAsia" w:eastAsia="方正仿宋_GBK"/>
        </w:rPr>
        <w:t>（1）申报单位需办理2023年统计入库，包括2023年月度入库和年度入库，为批发业、零售业、住宿业或餐饮业限额以上法人单位，不含个体户、产业活动单位。自2019年以来曾退库的，不享受本项奖励。</w:t>
      </w:r>
    </w:p>
    <w:p>
      <w:pPr>
        <w:ind w:firstLine="632" w:firstLineChars="200"/>
        <w:rPr>
          <w:rFonts w:eastAsia="方正仿宋_GBK"/>
        </w:rPr>
      </w:pPr>
      <w:r>
        <w:rPr>
          <w:rFonts w:hint="eastAsia" w:eastAsia="方正仿宋_GBK"/>
        </w:rPr>
        <w:t>（</w:t>
      </w:r>
      <w:r>
        <w:rPr>
          <w:rFonts w:eastAsia="方正仿宋_GBK"/>
        </w:rPr>
        <w:t>2</w:t>
      </w:r>
      <w:r>
        <w:rPr>
          <w:rFonts w:hint="eastAsia" w:eastAsia="方正仿宋_GBK"/>
        </w:rPr>
        <w:t>）不曾以同一事项重复或多头申报财政资金。</w:t>
      </w:r>
    </w:p>
    <w:p>
      <w:pPr>
        <w:spacing w:line="550" w:lineRule="exact"/>
        <w:ind w:firstLine="632" w:firstLineChars="200"/>
        <w:rPr>
          <w:rFonts w:eastAsia="方正仿宋_GBK"/>
        </w:rPr>
      </w:pPr>
      <w:r>
        <w:rPr>
          <w:rFonts w:hint="eastAsia" w:eastAsia="方正仿宋_GBK"/>
        </w:rPr>
        <w:t>（</w:t>
      </w:r>
      <w:r>
        <w:rPr>
          <w:rFonts w:eastAsia="方正仿宋_GBK"/>
        </w:rPr>
        <w:t>3</w:t>
      </w:r>
      <w:r>
        <w:rPr>
          <w:rFonts w:hint="eastAsia" w:eastAsia="方正仿宋_GBK"/>
        </w:rPr>
        <w:t>）本项奖励为一次性奖励，涉及奖励资金由江门市本级和获奖补单位所在县（市、区）财政按比例共同承担，其中，市本级与蓬江区、江海区、新会区按税收分成比例分担（市本级与蓬江区分担比例为49∶51，与江海区分担比例为32∶68，与新会区分担比例为22∶78）；市本级与台山市、开平市、鹤山市、恩平市按20∶80比例分担。</w:t>
      </w:r>
    </w:p>
    <w:p>
      <w:pPr>
        <w:spacing w:line="550" w:lineRule="exact"/>
        <w:ind w:firstLine="632" w:firstLineChars="200"/>
        <w:rPr>
          <w:rFonts w:eastAsia="方正仿宋_GBK"/>
        </w:rPr>
      </w:pPr>
      <w:r>
        <w:rPr>
          <w:rFonts w:hint="eastAsia" w:eastAsia="方正仿宋_GBK"/>
        </w:rPr>
        <w:t>（</w:t>
      </w:r>
      <w:r>
        <w:rPr>
          <w:rFonts w:eastAsia="方正仿宋_GBK"/>
        </w:rPr>
        <w:t>4</w:t>
      </w:r>
      <w:r>
        <w:rPr>
          <w:rFonts w:hint="eastAsia" w:eastAsia="方正仿宋_GBK"/>
        </w:rPr>
        <w:t>）申报对象在江门市依法注册登记，合法开展经营，近三年无受到行政处罚、无违法失信等不良行为（以企业信用信息报告为准）。</w:t>
      </w:r>
    </w:p>
    <w:p>
      <w:pPr>
        <w:spacing w:line="550" w:lineRule="exact"/>
        <w:ind w:firstLine="632" w:firstLineChars="200"/>
        <w:rPr>
          <w:rFonts w:eastAsia="方正仿宋_GBK"/>
          <w:b/>
        </w:rPr>
      </w:pPr>
      <w:r>
        <w:rPr>
          <w:rFonts w:hint="eastAsia" w:eastAsia="方正仿宋_GBK"/>
          <w:b/>
        </w:rPr>
        <w:t>3．申报所需提交的材料。</w:t>
      </w:r>
    </w:p>
    <w:p>
      <w:pPr>
        <w:spacing w:line="550" w:lineRule="exact"/>
        <w:ind w:firstLine="632" w:firstLineChars="200"/>
        <w:rPr>
          <w:rFonts w:eastAsia="方正仿宋_GBK"/>
        </w:rPr>
      </w:pPr>
      <w:r>
        <w:rPr>
          <w:rFonts w:hint="eastAsia" w:eastAsia="方正仿宋_GBK"/>
        </w:rPr>
        <w:t>（1）资金申请表及承诺书（见附件1）；</w:t>
      </w:r>
    </w:p>
    <w:p>
      <w:pPr>
        <w:spacing w:line="550" w:lineRule="exact"/>
        <w:ind w:firstLine="632" w:firstLineChars="200"/>
        <w:rPr>
          <w:rFonts w:eastAsia="方正仿宋_GBK"/>
        </w:rPr>
      </w:pPr>
      <w:r>
        <w:rPr>
          <w:rFonts w:hint="eastAsia" w:eastAsia="方正仿宋_GBK"/>
        </w:rPr>
        <w:t>（2）营业执照复印件；</w:t>
      </w:r>
    </w:p>
    <w:p>
      <w:pPr>
        <w:spacing w:line="550" w:lineRule="exact"/>
        <w:ind w:firstLine="632" w:firstLineChars="200"/>
        <w:rPr>
          <w:rFonts w:eastAsia="方正仿宋_GBK"/>
        </w:rPr>
      </w:pPr>
      <w:r>
        <w:rPr>
          <w:rFonts w:hint="eastAsia" w:eastAsia="方正仿宋_GBK"/>
        </w:rPr>
        <w:t>（3）在“国家企业信用信息公示系统”下载的企业信用信息报告（网址：https://www.gsxt.gov.cn/index.html）；</w:t>
      </w:r>
    </w:p>
    <w:p>
      <w:pPr>
        <w:spacing w:line="550" w:lineRule="exact"/>
        <w:ind w:firstLine="632" w:firstLineChars="200"/>
        <w:rPr>
          <w:rFonts w:ascii="方正楷体_GBK" w:eastAsia="方正楷体_GBK"/>
          <w:b/>
        </w:rPr>
      </w:pPr>
      <w:r>
        <w:rPr>
          <w:rFonts w:hint="eastAsia" w:ascii="方正楷体_GBK" w:eastAsia="方正楷体_GBK"/>
          <w:b/>
        </w:rPr>
        <w:t>（三）支持制造业企业建立销售公司。</w:t>
      </w:r>
    </w:p>
    <w:p>
      <w:pPr>
        <w:spacing w:line="550" w:lineRule="exact"/>
        <w:ind w:firstLine="632" w:firstLineChars="200"/>
        <w:rPr>
          <w:rFonts w:eastAsia="方正仿宋_GBK"/>
          <w:b/>
        </w:rPr>
      </w:pPr>
      <w:r>
        <w:rPr>
          <w:rFonts w:hint="eastAsia" w:eastAsia="方正仿宋_GBK"/>
          <w:b/>
        </w:rPr>
        <w:t>1．支持对象和条件、奖励标准。</w:t>
      </w:r>
    </w:p>
    <w:p>
      <w:pPr>
        <w:spacing w:line="550" w:lineRule="exact"/>
        <w:ind w:firstLine="632" w:firstLineChars="200"/>
        <w:rPr>
          <w:rFonts w:eastAsia="方正仿宋_GBK"/>
        </w:rPr>
      </w:pPr>
      <w:r>
        <w:rPr>
          <w:rFonts w:hint="eastAsia" w:eastAsia="方正仿宋_GBK"/>
        </w:rPr>
        <w:t>对2023年制造业企业在我市设立独立法人销售公司且年销售额达5000万元及以上，并达规入统的，按其首次入统当年销售额的0.5%给予一次性奖励。单个企业最高奖励100万元。</w:t>
      </w:r>
    </w:p>
    <w:p>
      <w:pPr>
        <w:spacing w:line="550" w:lineRule="exact"/>
        <w:ind w:firstLine="632" w:firstLineChars="200"/>
        <w:rPr>
          <w:rFonts w:eastAsia="方正仿宋_GBK"/>
          <w:b/>
        </w:rPr>
      </w:pPr>
      <w:r>
        <w:rPr>
          <w:rFonts w:hint="eastAsia" w:eastAsia="方正仿宋_GBK"/>
          <w:b/>
        </w:rPr>
        <w:t>2．注意事项。</w:t>
      </w:r>
    </w:p>
    <w:p>
      <w:pPr>
        <w:spacing w:line="550" w:lineRule="exact"/>
        <w:ind w:firstLine="632" w:firstLineChars="200"/>
        <w:rPr>
          <w:rFonts w:eastAsia="方正仿宋_GBK"/>
        </w:rPr>
      </w:pPr>
      <w:r>
        <w:rPr>
          <w:rFonts w:hint="eastAsia" w:eastAsia="方正仿宋_GBK"/>
        </w:rPr>
        <w:t>（1）以销售公司名义申报奖励，销售公司向关联制造业企业关联交易货物采购金额占销售公司全年货物采购金额的比例达50%及以上。</w:t>
      </w:r>
    </w:p>
    <w:p>
      <w:pPr>
        <w:ind w:firstLine="632" w:firstLineChars="200"/>
        <w:rPr>
          <w:rFonts w:eastAsia="方正仿宋_GBK"/>
        </w:rPr>
      </w:pPr>
      <w:r>
        <w:rPr>
          <w:rFonts w:hint="eastAsia" w:eastAsia="方正仿宋_GBK"/>
        </w:rPr>
        <w:t>（2）销售公司在2023年同时满足以下条件：在我市办理批发或零售业统计入库、年销售额达到5000万元及以上的独立法人单位。年销售额以《增值税及附加税费申报表》为准，计算公式见前文图1）。</w:t>
      </w:r>
    </w:p>
    <w:p>
      <w:pPr>
        <w:ind w:firstLine="632" w:firstLineChars="200"/>
        <w:rPr>
          <w:rFonts w:eastAsia="方正仿宋_GBK"/>
        </w:rPr>
      </w:pPr>
      <w:r>
        <w:rPr>
          <w:rFonts w:hint="eastAsia" w:eastAsia="方正仿宋_GBK"/>
        </w:rPr>
        <w:t>（3）不曾以同一事项重复或多头申报财政资金。</w:t>
      </w:r>
    </w:p>
    <w:p>
      <w:pPr>
        <w:ind w:firstLine="632" w:firstLineChars="200"/>
        <w:rPr>
          <w:rFonts w:eastAsia="方正仿宋_GBK"/>
        </w:rPr>
      </w:pPr>
      <w:r>
        <w:rPr>
          <w:rFonts w:hint="eastAsia" w:eastAsia="方正仿宋_GBK"/>
        </w:rPr>
        <w:t>（4）本项奖励为一次性奖励，涉及奖励资金由江门市本级和获奖补单位所在县（市、区）财政按比例共同承担，其中，市本级与蓬江区、江海区、新会区按税收分成比例分担（市本级与蓬江区分担比例为49∶51，与江海区分担比例为32∶68，与新会区分担比例为22∶78）；市本级与台山市、开平市、鹤山市、恩平市按20∶80比例分担。</w:t>
      </w:r>
    </w:p>
    <w:p>
      <w:pPr>
        <w:ind w:firstLine="632" w:firstLineChars="200"/>
        <w:rPr>
          <w:rFonts w:eastAsia="方正仿宋_GBK"/>
        </w:rPr>
      </w:pPr>
      <w:r>
        <w:rPr>
          <w:rFonts w:hint="eastAsia" w:eastAsia="方正仿宋_GBK"/>
        </w:rPr>
        <w:t>（5）同时符合本项奖励和“鼓励批零住餐业增收”奖励的申报单位，可按“就高不重复”原则选择其中一个方向进行申报，不可同时申报。</w:t>
      </w:r>
    </w:p>
    <w:p>
      <w:pPr>
        <w:ind w:firstLine="632" w:firstLineChars="200"/>
        <w:rPr>
          <w:rFonts w:eastAsia="方正仿宋_GBK"/>
        </w:rPr>
      </w:pPr>
      <w:r>
        <w:rPr>
          <w:rFonts w:hint="eastAsia" w:eastAsia="方正仿宋_GBK"/>
        </w:rPr>
        <w:t>（</w:t>
      </w:r>
      <w:r>
        <w:rPr>
          <w:rFonts w:eastAsia="方正仿宋_GBK"/>
        </w:rPr>
        <w:t>6</w:t>
      </w:r>
      <w:r>
        <w:rPr>
          <w:rFonts w:hint="eastAsia" w:eastAsia="方正仿宋_GBK"/>
        </w:rPr>
        <w:t>）申报对象在江门市依法注册登记，合法开展经营，近三年无受到行政处罚、无违法失信等不良行为（以企业信用信息报告为准）。</w:t>
      </w:r>
    </w:p>
    <w:p>
      <w:pPr>
        <w:ind w:firstLine="632" w:firstLineChars="200"/>
        <w:rPr>
          <w:rFonts w:eastAsia="方正仿宋_GBK"/>
          <w:b/>
        </w:rPr>
      </w:pPr>
      <w:r>
        <w:rPr>
          <w:rFonts w:hint="eastAsia" w:eastAsia="方正仿宋_GBK"/>
          <w:b/>
        </w:rPr>
        <w:t>3．申报所需提交的材料。</w:t>
      </w:r>
    </w:p>
    <w:p>
      <w:pPr>
        <w:ind w:firstLine="632" w:firstLineChars="200"/>
        <w:rPr>
          <w:rFonts w:eastAsia="方正仿宋_GBK"/>
        </w:rPr>
      </w:pPr>
      <w:r>
        <w:rPr>
          <w:rFonts w:hint="eastAsia" w:eastAsia="方正仿宋_GBK"/>
        </w:rPr>
        <w:t>（1）资金申请表及承诺书（见附件1）；</w:t>
      </w:r>
    </w:p>
    <w:p>
      <w:pPr>
        <w:ind w:firstLine="632" w:firstLineChars="200"/>
        <w:rPr>
          <w:rFonts w:eastAsia="方正仿宋_GBK"/>
        </w:rPr>
      </w:pPr>
      <w:r>
        <w:rPr>
          <w:rFonts w:hint="eastAsia" w:eastAsia="方正仿宋_GBK"/>
        </w:rPr>
        <w:t>（2）销售公司和关联制造业企业的营业执照复印件；</w:t>
      </w:r>
    </w:p>
    <w:p>
      <w:pPr>
        <w:ind w:firstLine="632" w:firstLineChars="200"/>
        <w:rPr>
          <w:rFonts w:eastAsia="方正仿宋_GBK"/>
        </w:rPr>
      </w:pPr>
      <w:r>
        <w:rPr>
          <w:rFonts w:hint="eastAsia" w:eastAsia="方正仿宋_GBK"/>
        </w:rPr>
        <w:t>（3）销售公司在“国家企业信用信息公示系统”下载的企业信用信息报告（网址：https://www.gsxt.gov.cn/index.html）；</w:t>
      </w:r>
    </w:p>
    <w:p>
      <w:pPr>
        <w:ind w:firstLine="632" w:firstLineChars="200"/>
        <w:rPr>
          <w:rFonts w:eastAsia="方正仿宋_GBK"/>
        </w:rPr>
      </w:pPr>
      <w:r>
        <w:rPr>
          <w:rFonts w:hint="eastAsia" w:eastAsia="方正仿宋_GBK"/>
        </w:rPr>
        <w:t>（4）销售公司2023年《增值税及附加税费申报表》（含主表及附列资料）；</w:t>
      </w:r>
    </w:p>
    <w:p>
      <w:pPr>
        <w:ind w:firstLine="632" w:firstLineChars="200"/>
        <w:rPr>
          <w:rFonts w:eastAsia="方正仿宋_GBK"/>
        </w:rPr>
      </w:pPr>
      <w:r>
        <w:rPr>
          <w:rFonts w:hint="eastAsia" w:eastAsia="方正仿宋_GBK"/>
        </w:rPr>
        <w:t>（5）由具有资质的第三方机构出具的专项审计报告，需包含以下内容：①销售公司与关联制造业企业产销分离关系的证明材料：销售公司股权架构图（含所有关联方信息）、销售公司与关联方的关联交易情况（可参照《年度关联业务往来报告表》中《有形资产所有权交易表》）、销售公司向制造业企业关联交易货物采购金额占销售公司全年货物采购金额的比例（计算公式：比例=销售方全年从关联制造业企业采购的货物价款（含税）（应付关联方账款累计发生额）/销售方全年采购货物价款（含税）（应付账款累计发生额）×100%）。以上价款或发生额需要剔除非主营业务相关的数额。需提供销售公司2023年货物采购合同和发票、支付凭证作为佐证材料。②销售公司2023年销售额。</w:t>
      </w:r>
    </w:p>
    <w:p>
      <w:pPr>
        <w:ind w:firstLine="632" w:firstLineChars="200"/>
        <w:rPr>
          <w:rFonts w:eastAsia="方正仿宋_GBK"/>
        </w:rPr>
      </w:pPr>
      <w:r>
        <w:rPr>
          <w:rFonts w:hint="eastAsia" w:eastAsia="方正仿宋_GBK"/>
        </w:rPr>
        <w:t>（6）销售公司已备案的公司章程。</w:t>
      </w:r>
    </w:p>
    <w:p>
      <w:pPr>
        <w:ind w:firstLine="632" w:firstLineChars="200"/>
        <w:rPr>
          <w:rFonts w:ascii="方正楷体_GBK" w:eastAsia="方正楷体_GBK"/>
          <w:b/>
        </w:rPr>
      </w:pPr>
      <w:r>
        <w:rPr>
          <w:rFonts w:hint="eastAsia" w:ascii="方正楷体_GBK" w:eastAsia="方正楷体_GBK"/>
          <w:b/>
        </w:rPr>
        <w:t>（四）支持打造特色商业街区。</w:t>
      </w:r>
    </w:p>
    <w:p>
      <w:pPr>
        <w:ind w:firstLine="632" w:firstLineChars="200"/>
        <w:rPr>
          <w:rFonts w:eastAsia="方正仿宋_GBK"/>
          <w:b/>
        </w:rPr>
      </w:pPr>
      <w:r>
        <w:rPr>
          <w:rFonts w:hint="eastAsia" w:eastAsia="方正仿宋_GBK"/>
          <w:b/>
        </w:rPr>
        <w:t>1．支持对象和条件、奖励标准。</w:t>
      </w:r>
    </w:p>
    <w:p>
      <w:pPr>
        <w:ind w:firstLine="632" w:firstLineChars="200"/>
        <w:rPr>
          <w:rFonts w:eastAsia="方正仿宋_GBK"/>
        </w:rPr>
      </w:pPr>
      <w:r>
        <w:rPr>
          <w:rFonts w:hint="eastAsia" w:eastAsia="方正仿宋_GBK"/>
        </w:rPr>
        <w:t>对2023年期间，新认定为省级示范特色步行街（商圈）所在的镇（街），给予一次性20万元奖励。</w:t>
      </w:r>
    </w:p>
    <w:p>
      <w:pPr>
        <w:ind w:firstLine="632" w:firstLineChars="200"/>
        <w:rPr>
          <w:rFonts w:eastAsia="方正仿宋_GBK"/>
          <w:b/>
        </w:rPr>
      </w:pPr>
      <w:r>
        <w:rPr>
          <w:rFonts w:hint="eastAsia" w:eastAsia="方正仿宋_GBK"/>
          <w:b/>
        </w:rPr>
        <w:t>2．注意事项。</w:t>
      </w:r>
    </w:p>
    <w:p>
      <w:pPr>
        <w:spacing w:line="550" w:lineRule="exact"/>
        <w:ind w:firstLine="608" w:firstLineChars="200"/>
        <w:rPr>
          <w:rFonts w:eastAsia="方正仿宋_GBK"/>
        </w:rPr>
      </w:pPr>
      <w:r>
        <w:rPr>
          <w:rFonts w:hint="eastAsia" w:eastAsia="方正仿宋_GBK"/>
          <w:spacing w:val="-6"/>
        </w:rPr>
        <w:t>（1）本项奖励为一次性奖励，涉及奖励资金由江门市本级财政全额承担，由镇（街）统筹用于省级示范特色步行街（商圈）改造提升，包括加强整体规划布局和商业策划，优化街区（商圈）环境，</w:t>
      </w:r>
      <w:r>
        <w:rPr>
          <w:rFonts w:hint="eastAsia" w:eastAsia="方正仿宋_GBK"/>
        </w:rPr>
        <w:t>提高商业质量，引进知名企业和品牌，增强文化底蕴，规范管理运营，建立优化消费监测体系，鼓励企业纳统，举办促消费活动等项目。获省级示范特色步行街（商圈）改造提升资金扶持的，不享受本项扶持。</w:t>
      </w:r>
    </w:p>
    <w:p>
      <w:pPr>
        <w:spacing w:line="550" w:lineRule="exact"/>
        <w:ind w:firstLine="632" w:firstLineChars="200"/>
        <w:rPr>
          <w:rFonts w:eastAsia="方正仿宋_GBK"/>
        </w:rPr>
      </w:pPr>
      <w:r>
        <w:rPr>
          <w:rFonts w:hint="eastAsia" w:eastAsia="方正仿宋_GBK"/>
        </w:rPr>
        <w:t>（2）不曾以同一事项重复或多头申报财政资金。</w:t>
      </w:r>
    </w:p>
    <w:p>
      <w:pPr>
        <w:spacing w:line="550" w:lineRule="exact"/>
        <w:ind w:firstLine="632" w:firstLineChars="200"/>
        <w:rPr>
          <w:rFonts w:eastAsia="方正仿宋_GBK"/>
          <w:b/>
        </w:rPr>
      </w:pPr>
      <w:r>
        <w:rPr>
          <w:rFonts w:hint="eastAsia" w:eastAsia="方正仿宋_GBK"/>
          <w:b/>
        </w:rPr>
        <w:t>3．申报所需提交的材料。</w:t>
      </w:r>
    </w:p>
    <w:p>
      <w:pPr>
        <w:spacing w:line="550" w:lineRule="exact"/>
        <w:ind w:firstLine="632" w:firstLineChars="200"/>
        <w:rPr>
          <w:rFonts w:eastAsia="方正仿宋_GBK"/>
        </w:rPr>
      </w:pPr>
      <w:r>
        <w:rPr>
          <w:rFonts w:hint="eastAsia" w:eastAsia="方正仿宋_GBK"/>
        </w:rPr>
        <w:t>（1）资金申请表及承诺书（见附件1）；</w:t>
      </w:r>
    </w:p>
    <w:p>
      <w:pPr>
        <w:spacing w:line="550" w:lineRule="exact"/>
        <w:ind w:firstLine="632" w:firstLineChars="200"/>
        <w:rPr>
          <w:rFonts w:eastAsia="方正仿宋_GBK"/>
        </w:rPr>
      </w:pPr>
      <w:r>
        <w:rPr>
          <w:rFonts w:hint="eastAsia" w:eastAsia="方正仿宋_GBK"/>
        </w:rPr>
        <w:t>（2）统一社会信用代码证复印件；</w:t>
      </w:r>
    </w:p>
    <w:p>
      <w:pPr>
        <w:spacing w:line="550" w:lineRule="exact"/>
        <w:ind w:firstLine="632" w:firstLineChars="200"/>
        <w:rPr>
          <w:rFonts w:eastAsia="方正仿宋_GBK"/>
        </w:rPr>
      </w:pPr>
      <w:r>
        <w:rPr>
          <w:rFonts w:hint="eastAsia" w:eastAsia="方正仿宋_GBK"/>
        </w:rPr>
        <w:t>（3）省级商务部门有关授予的示范特色步行街（商圈）荣誉的通报文件。</w:t>
      </w:r>
    </w:p>
    <w:p>
      <w:pPr>
        <w:spacing w:line="550" w:lineRule="exact"/>
        <w:ind w:firstLine="632" w:firstLineChars="200"/>
        <w:rPr>
          <w:rFonts w:ascii="方正楷体_GBK" w:eastAsia="方正楷体_GBK"/>
          <w:b/>
        </w:rPr>
      </w:pPr>
      <w:r>
        <w:rPr>
          <w:rFonts w:hint="eastAsia" w:ascii="方正楷体_GBK" w:eastAsia="方正楷体_GBK"/>
          <w:b/>
        </w:rPr>
        <w:t>（五）支持本地连锁经营企业发展。</w:t>
      </w:r>
    </w:p>
    <w:p>
      <w:pPr>
        <w:spacing w:line="550" w:lineRule="exact"/>
        <w:ind w:firstLine="632" w:firstLineChars="200"/>
        <w:rPr>
          <w:rFonts w:eastAsia="方正仿宋_GBK"/>
          <w:b/>
        </w:rPr>
      </w:pPr>
      <w:r>
        <w:rPr>
          <w:rFonts w:hint="eastAsia" w:eastAsia="方正仿宋_GBK"/>
          <w:b/>
        </w:rPr>
        <w:t>1．支持对象、奖励标准。</w:t>
      </w:r>
    </w:p>
    <w:p>
      <w:pPr>
        <w:spacing w:line="550" w:lineRule="exact"/>
        <w:ind w:firstLine="632" w:firstLineChars="200"/>
        <w:rPr>
          <w:rFonts w:eastAsia="方正仿宋_GBK"/>
        </w:rPr>
      </w:pPr>
      <w:r>
        <w:rPr>
          <w:rFonts w:hint="eastAsia" w:eastAsia="方正仿宋_GBK"/>
        </w:rPr>
        <w:t>对总部设在江门市且已实行统一纳税的零售、餐饮、住宿直营连锁企业，在2023年期间首次累计开业分别达到30家、50家、100家直营店（外地直营店占比不少于20%），一次性分别奖励5万元、10万元、20万元。</w:t>
      </w:r>
    </w:p>
    <w:p>
      <w:pPr>
        <w:spacing w:line="550" w:lineRule="exact"/>
        <w:ind w:firstLine="632" w:firstLineChars="200"/>
        <w:rPr>
          <w:rFonts w:eastAsia="方正仿宋_GBK"/>
        </w:rPr>
      </w:pPr>
      <w:r>
        <w:rPr>
          <w:rFonts w:hint="eastAsia" w:eastAsia="方正仿宋_GBK"/>
        </w:rPr>
        <w:t>对总部设在江门市的零售、餐饮、住宿特许经营连锁企业，在2023年期间首次累计开业分别达到50家、100家、300家连锁加盟店（外地加盟店占比不少于20%），一次性分别奖励5万元、10万元、30万元。</w:t>
      </w:r>
    </w:p>
    <w:p>
      <w:pPr>
        <w:spacing w:line="550" w:lineRule="exact"/>
        <w:ind w:firstLine="632" w:firstLineChars="200"/>
        <w:rPr>
          <w:rFonts w:eastAsia="方正仿宋_GBK"/>
          <w:b/>
        </w:rPr>
      </w:pPr>
      <w:r>
        <w:rPr>
          <w:rFonts w:hint="eastAsia" w:eastAsia="方正仿宋_GBK"/>
          <w:b/>
        </w:rPr>
        <w:t>2．申报条件及注意事项。</w:t>
      </w:r>
    </w:p>
    <w:p>
      <w:pPr>
        <w:spacing w:line="550" w:lineRule="exact"/>
        <w:ind w:firstLine="632" w:firstLineChars="200"/>
        <w:rPr>
          <w:rFonts w:eastAsia="方正仿宋_GBK"/>
        </w:rPr>
      </w:pPr>
      <w:r>
        <w:rPr>
          <w:rFonts w:hint="eastAsia" w:eastAsia="方正仿宋_GBK"/>
        </w:rPr>
        <w:t>（1）申报单位为总部设在江门市，在江门市行政区域内依法经营、依法纳税的连锁经营企业（独立核算法人）。</w:t>
      </w:r>
    </w:p>
    <w:p>
      <w:pPr>
        <w:ind w:firstLine="632" w:firstLineChars="200"/>
        <w:rPr>
          <w:rFonts w:eastAsia="方正仿宋_GBK"/>
        </w:rPr>
      </w:pPr>
      <w:r>
        <w:rPr>
          <w:rFonts w:hint="eastAsia" w:eastAsia="方正仿宋_GBK"/>
        </w:rPr>
        <w:t>（2）截至2023年12月31日，从事零售、餐饮、住宿行业的直营连锁企业累计开业分别达到30家、50家、100家直营店，且外地直营店占比不少于20%。</w:t>
      </w:r>
    </w:p>
    <w:p>
      <w:pPr>
        <w:ind w:firstLine="632" w:firstLineChars="200"/>
        <w:rPr>
          <w:rFonts w:eastAsia="方正仿宋_GBK"/>
        </w:rPr>
      </w:pPr>
      <w:r>
        <w:rPr>
          <w:rFonts w:hint="eastAsia" w:eastAsia="方正仿宋_GBK"/>
        </w:rPr>
        <w:t>（3）截至2023年12月31日，从事零售、餐饮、住宿行业的特许经营连锁企业累计开业分别达到50家、100家、300家加盟店，且外地加盟店占比不少于20%。</w:t>
      </w:r>
    </w:p>
    <w:p>
      <w:pPr>
        <w:ind w:firstLine="632" w:firstLineChars="200"/>
        <w:rPr>
          <w:rFonts w:eastAsia="方正仿宋_GBK"/>
        </w:rPr>
      </w:pPr>
      <w:r>
        <w:rPr>
          <w:rFonts w:hint="eastAsia" w:eastAsia="方正仿宋_GBK"/>
        </w:rPr>
        <w:t>（4）财务管理制度健全，特许经营连锁企业必须在2023年12月31日前在商务部商业特许经营信息管理系统网站注册备案，取得备案号。</w:t>
      </w:r>
    </w:p>
    <w:p>
      <w:pPr>
        <w:ind w:firstLine="632" w:firstLineChars="200"/>
        <w:rPr>
          <w:rFonts w:eastAsia="方正仿宋_GBK"/>
        </w:rPr>
      </w:pPr>
      <w:r>
        <w:rPr>
          <w:rFonts w:hint="eastAsia" w:eastAsia="方正仿宋_GBK"/>
        </w:rPr>
        <w:t>（5）不曾以同一事项重复或多头申报财政资金。</w:t>
      </w:r>
    </w:p>
    <w:p>
      <w:pPr>
        <w:ind w:firstLine="632" w:firstLineChars="200"/>
        <w:rPr>
          <w:rFonts w:eastAsia="方正仿宋_GBK"/>
        </w:rPr>
      </w:pPr>
      <w:r>
        <w:rPr>
          <w:rFonts w:hint="eastAsia" w:eastAsia="方正仿宋_GBK"/>
        </w:rPr>
        <w:t>（6）本项奖励为一次性奖励，涉及奖励资金由江门市本级、企业总部所在县（市、区）两级财政按比例共同承担，其中，市本级与蓬江区、江海区、新会区按税收分成比例分担（市本级与蓬江区分担比例为49∶51，与江海区分担比例为32∶68，与新会区分担比例为22∶78）；市本级与台山市、开平市、鹤山市、恩平市按20∶80比例分担。</w:t>
      </w:r>
    </w:p>
    <w:p>
      <w:pPr>
        <w:ind w:firstLine="632" w:firstLineChars="200"/>
        <w:rPr>
          <w:rFonts w:eastAsia="方正仿宋_GBK"/>
          <w:b/>
        </w:rPr>
      </w:pPr>
      <w:r>
        <w:rPr>
          <w:rFonts w:hint="eastAsia" w:eastAsia="方正仿宋_GBK"/>
        </w:rPr>
        <w:t>（</w:t>
      </w:r>
      <w:r>
        <w:rPr>
          <w:rFonts w:eastAsia="方正仿宋_GBK"/>
        </w:rPr>
        <w:t>7</w:t>
      </w:r>
      <w:r>
        <w:rPr>
          <w:rFonts w:hint="eastAsia" w:eastAsia="方正仿宋_GBK"/>
        </w:rPr>
        <w:t>）申报对象在江门市依法注册登记，合法开展经营，近三年无受到行政处罚、无违法失信等不良行为（以企业信用信息报告为准）。</w:t>
      </w:r>
    </w:p>
    <w:p>
      <w:pPr>
        <w:ind w:firstLine="632" w:firstLineChars="200"/>
        <w:rPr>
          <w:rFonts w:eastAsia="方正仿宋_GBK"/>
          <w:b/>
        </w:rPr>
      </w:pPr>
      <w:r>
        <w:rPr>
          <w:rFonts w:hint="eastAsia" w:eastAsia="方正仿宋_GBK"/>
          <w:b/>
        </w:rPr>
        <w:t>3．申报所需提交的材料。</w:t>
      </w:r>
    </w:p>
    <w:p>
      <w:pPr>
        <w:ind w:firstLine="632" w:firstLineChars="200"/>
        <w:rPr>
          <w:rFonts w:eastAsia="方正仿宋_GBK"/>
        </w:rPr>
      </w:pPr>
      <w:r>
        <w:rPr>
          <w:rFonts w:hint="eastAsia" w:eastAsia="方正仿宋_GBK"/>
        </w:rPr>
        <w:t>（1）直营连锁企业。</w:t>
      </w:r>
    </w:p>
    <w:p>
      <w:pPr>
        <w:ind w:firstLine="632" w:firstLineChars="200"/>
        <w:rPr>
          <w:rFonts w:eastAsia="方正仿宋_GBK"/>
        </w:rPr>
      </w:pPr>
      <w:r>
        <w:rPr>
          <w:rFonts w:hint="eastAsia" w:eastAsia="方正仿宋_GBK"/>
        </w:rPr>
        <w:t>①资金申请表及承诺书（见附件1）；</w:t>
      </w:r>
    </w:p>
    <w:p>
      <w:pPr>
        <w:ind w:firstLine="632" w:firstLineChars="200"/>
        <w:rPr>
          <w:rFonts w:eastAsia="方正仿宋_GBK"/>
        </w:rPr>
      </w:pPr>
      <w:r>
        <w:rPr>
          <w:rFonts w:hint="eastAsia" w:eastAsia="方正仿宋_GBK"/>
        </w:rPr>
        <w:t>②企业总部和直营店（开业在营）有效期内的营业执照复印件；</w:t>
      </w:r>
    </w:p>
    <w:p>
      <w:pPr>
        <w:ind w:firstLine="632" w:firstLineChars="200"/>
        <w:rPr>
          <w:rFonts w:eastAsia="方正仿宋_GBK"/>
        </w:rPr>
      </w:pPr>
      <w:r>
        <w:rPr>
          <w:rFonts w:hint="eastAsia" w:eastAsia="方正仿宋_GBK"/>
        </w:rPr>
        <w:t>③总部企业基本情况介绍及2023年发展情况报告（含2022、2023年各连锁门店明细清单）；</w:t>
      </w:r>
    </w:p>
    <w:p>
      <w:pPr>
        <w:ind w:firstLine="632" w:firstLineChars="200"/>
        <w:rPr>
          <w:rFonts w:eastAsia="方正仿宋_GBK"/>
        </w:rPr>
      </w:pPr>
      <w:r>
        <w:rPr>
          <w:rFonts w:hint="eastAsia" w:eastAsia="方正仿宋_GBK"/>
        </w:rPr>
        <w:t>④商务部门关于直营连锁经营企业认定的批复文件；</w:t>
      </w:r>
    </w:p>
    <w:p>
      <w:pPr>
        <w:ind w:firstLine="632" w:firstLineChars="200"/>
        <w:rPr>
          <w:rFonts w:eastAsia="方正仿宋_GBK"/>
        </w:rPr>
      </w:pPr>
      <w:r>
        <w:rPr>
          <w:rFonts w:hint="eastAsia" w:eastAsia="方正仿宋_GBK"/>
        </w:rPr>
        <w:t>⑤各直营店（开业在营）近一个月银行流水发票；</w:t>
      </w:r>
    </w:p>
    <w:p>
      <w:pPr>
        <w:ind w:firstLine="632" w:firstLineChars="200"/>
        <w:rPr>
          <w:rFonts w:eastAsia="方正仿宋_GBK"/>
        </w:rPr>
      </w:pPr>
      <w:r>
        <w:rPr>
          <w:rFonts w:hint="eastAsia" w:eastAsia="方正仿宋_GBK"/>
        </w:rPr>
        <w:t>⑥近一个月《增值税及附加税费申报表》（含主表及附列资料）和完税证明；</w:t>
      </w:r>
    </w:p>
    <w:p>
      <w:pPr>
        <w:ind w:firstLine="632" w:firstLineChars="200"/>
        <w:rPr>
          <w:rFonts w:eastAsia="方正仿宋_GBK"/>
        </w:rPr>
      </w:pPr>
      <w:r>
        <w:rPr>
          <w:rFonts w:hint="eastAsia" w:eastAsia="方正仿宋_GBK"/>
        </w:rPr>
        <w:t>⑦2023年度财务审计报告；</w:t>
      </w:r>
    </w:p>
    <w:p>
      <w:pPr>
        <w:ind w:firstLine="632" w:firstLineChars="200"/>
        <w:rPr>
          <w:rFonts w:eastAsia="方正仿宋_GBK"/>
        </w:rPr>
      </w:pPr>
      <w:r>
        <w:rPr>
          <w:rFonts w:hint="eastAsia" w:eastAsia="方正仿宋_GBK"/>
        </w:rPr>
        <w:t xml:space="preserve">⑧在“国家企业信用信息公示系统”下载的企业信用信息报告（网址：https://www.gsxt.gov.cn/index.html）。   </w:t>
      </w:r>
    </w:p>
    <w:p>
      <w:pPr>
        <w:ind w:firstLine="632" w:firstLineChars="200"/>
        <w:rPr>
          <w:rFonts w:eastAsia="方正仿宋_GBK"/>
        </w:rPr>
      </w:pPr>
      <w:r>
        <w:rPr>
          <w:rFonts w:hint="eastAsia" w:eastAsia="方正仿宋_GBK"/>
        </w:rPr>
        <w:t>（2）特许经营连锁企业。</w:t>
      </w:r>
    </w:p>
    <w:p>
      <w:pPr>
        <w:ind w:firstLine="632" w:firstLineChars="200"/>
        <w:rPr>
          <w:rFonts w:eastAsia="方正仿宋_GBK"/>
        </w:rPr>
      </w:pPr>
      <w:r>
        <w:rPr>
          <w:rFonts w:hint="eastAsia" w:eastAsia="方正仿宋_GBK"/>
        </w:rPr>
        <w:t>①资金申请表及承诺书（见附件1）；</w:t>
      </w:r>
    </w:p>
    <w:p>
      <w:pPr>
        <w:ind w:firstLine="608" w:firstLineChars="200"/>
        <w:rPr>
          <w:rFonts w:eastAsia="方正仿宋_GBK"/>
          <w:spacing w:val="-6"/>
        </w:rPr>
      </w:pPr>
      <w:r>
        <w:rPr>
          <w:rFonts w:hint="eastAsia" w:eastAsia="方正仿宋_GBK"/>
          <w:spacing w:val="-6"/>
        </w:rPr>
        <w:t>②企业总部及加盟店（开业在营）有效期内的营业执照复印件；</w:t>
      </w:r>
    </w:p>
    <w:p>
      <w:pPr>
        <w:ind w:firstLine="632" w:firstLineChars="200"/>
        <w:rPr>
          <w:rFonts w:eastAsia="方正仿宋_GBK"/>
        </w:rPr>
      </w:pPr>
      <w:r>
        <w:rPr>
          <w:rFonts w:hint="eastAsia" w:eastAsia="方正仿宋_GBK"/>
        </w:rPr>
        <w:t>③企业基本情况介绍及2023年发展情况报告（含2022年、2023年各连锁门店明细清单）；</w:t>
      </w:r>
    </w:p>
    <w:p>
      <w:pPr>
        <w:ind w:firstLine="632" w:firstLineChars="200"/>
        <w:rPr>
          <w:rFonts w:eastAsia="方正仿宋_GBK"/>
        </w:rPr>
      </w:pPr>
      <w:r>
        <w:rPr>
          <w:rFonts w:hint="eastAsia" w:eastAsia="方正仿宋_GBK"/>
        </w:rPr>
        <w:t>④企业在商务部商业特许经营信息管理系统网站注册备案而取得备案号的网页截图；</w:t>
      </w:r>
    </w:p>
    <w:p>
      <w:pPr>
        <w:ind w:firstLine="632" w:firstLineChars="200"/>
        <w:rPr>
          <w:rFonts w:eastAsia="方正仿宋_GBK"/>
        </w:rPr>
      </w:pPr>
      <w:r>
        <w:rPr>
          <w:rFonts w:hint="eastAsia" w:eastAsia="方正仿宋_GBK"/>
        </w:rPr>
        <w:t>⑤特许人与加盟商签订的特许经营合同；</w:t>
      </w:r>
    </w:p>
    <w:p>
      <w:pPr>
        <w:ind w:firstLine="632" w:firstLineChars="200"/>
        <w:rPr>
          <w:rFonts w:eastAsia="方正仿宋_GBK"/>
        </w:rPr>
      </w:pPr>
      <w:r>
        <w:rPr>
          <w:rFonts w:hint="eastAsia" w:eastAsia="方正仿宋_GBK"/>
        </w:rPr>
        <w:t>⑥总部、直营店及加盟店经营场所证明文件（照片、房产证明、房屋租赁合同等）；</w:t>
      </w:r>
    </w:p>
    <w:p>
      <w:pPr>
        <w:ind w:firstLine="632" w:firstLineChars="200"/>
        <w:rPr>
          <w:rFonts w:eastAsia="方正仿宋_GBK"/>
        </w:rPr>
      </w:pPr>
      <w:r>
        <w:rPr>
          <w:rFonts w:hint="eastAsia" w:eastAsia="方正仿宋_GBK"/>
        </w:rPr>
        <w:t>⑦直营店和加盟店近一个月银行流水发票；</w:t>
      </w:r>
    </w:p>
    <w:p>
      <w:pPr>
        <w:ind w:firstLine="632" w:firstLineChars="200"/>
        <w:rPr>
          <w:rFonts w:eastAsia="方正仿宋_GBK"/>
        </w:rPr>
      </w:pPr>
      <w:r>
        <w:rPr>
          <w:rFonts w:hint="eastAsia" w:eastAsia="方正仿宋_GBK"/>
        </w:rPr>
        <w:t>⑧直营店和加盟店近一个月《增值税及附加税费申报表》（含主表及附列资料）和完税证明；</w:t>
      </w:r>
    </w:p>
    <w:p>
      <w:pPr>
        <w:ind w:firstLine="632" w:firstLineChars="200"/>
        <w:rPr>
          <w:rFonts w:eastAsia="方正仿宋_GBK"/>
        </w:rPr>
      </w:pPr>
      <w:r>
        <w:rPr>
          <w:rFonts w:hint="eastAsia" w:eastAsia="方正仿宋_GBK"/>
        </w:rPr>
        <w:t>⑨在“国家企业信用信息公示系统”下载的企业信用信息报告（网址：https://www.gsxt.gov.cn/index.html）。</w:t>
      </w:r>
    </w:p>
    <w:p>
      <w:pPr>
        <w:ind w:firstLine="632" w:firstLineChars="200"/>
        <w:rPr>
          <w:rFonts w:ascii="方正楷体_GBK" w:eastAsia="方正楷体_GBK"/>
          <w:b/>
        </w:rPr>
      </w:pPr>
      <w:r>
        <w:rPr>
          <w:rFonts w:hint="eastAsia" w:ascii="方正楷体_GBK" w:eastAsia="方正楷体_GBK"/>
          <w:b/>
        </w:rPr>
        <w:t>（六）支持外地连锁企业落户江门。</w:t>
      </w:r>
    </w:p>
    <w:p>
      <w:pPr>
        <w:ind w:firstLine="632" w:firstLineChars="200"/>
        <w:rPr>
          <w:rFonts w:eastAsia="方正仿宋_GBK"/>
          <w:b/>
        </w:rPr>
      </w:pPr>
      <w:r>
        <w:rPr>
          <w:rFonts w:hint="eastAsia" w:eastAsia="方正仿宋_GBK"/>
          <w:b/>
        </w:rPr>
        <w:t>1．支持对象、奖励标准。</w:t>
      </w:r>
    </w:p>
    <w:p>
      <w:pPr>
        <w:ind w:firstLine="632" w:firstLineChars="200"/>
        <w:rPr>
          <w:rFonts w:eastAsia="方正仿宋_GBK"/>
        </w:rPr>
      </w:pPr>
      <w:r>
        <w:rPr>
          <w:rFonts w:hint="eastAsia" w:eastAsia="方正仿宋_GBK"/>
        </w:rPr>
        <w:t>对总部设在外市的连锁企业，于2023年期间在江门设立公司（独立核算法人），并依法纳统的奖励5万元；设立当年销售额（营业额）超过入统标准的，超出部分按0.5%追加奖励，最高奖励20万元。</w:t>
      </w:r>
    </w:p>
    <w:p>
      <w:pPr>
        <w:ind w:firstLine="632" w:firstLineChars="200"/>
        <w:rPr>
          <w:rFonts w:eastAsia="方正仿宋_GBK"/>
          <w:b/>
        </w:rPr>
      </w:pPr>
      <w:r>
        <w:rPr>
          <w:rFonts w:hint="eastAsia" w:eastAsia="方正仿宋_GBK"/>
          <w:b/>
        </w:rPr>
        <w:t>2．注意事项。</w:t>
      </w:r>
    </w:p>
    <w:p>
      <w:pPr>
        <w:ind w:firstLine="632" w:firstLineChars="200"/>
        <w:rPr>
          <w:rFonts w:eastAsia="方正仿宋_GBK"/>
        </w:rPr>
      </w:pPr>
      <w:r>
        <w:rPr>
          <w:rFonts w:hint="eastAsia" w:eastAsia="方正仿宋_GBK"/>
        </w:rPr>
        <w:t>（1）申报单位需为独立核算法人，纳入江门市批发业、零售业、住宿业、餐饮业统计，在江门市行政区域内设立直营连锁门店不少于3家。年销售额（营业额）认定以《增值税及附加税费申报表》为准，计算公式见前文图1—3。</w:t>
      </w:r>
    </w:p>
    <w:p>
      <w:pPr>
        <w:ind w:firstLine="632" w:firstLineChars="200"/>
        <w:rPr>
          <w:rFonts w:eastAsia="方正仿宋_GBK"/>
        </w:rPr>
      </w:pPr>
      <w:r>
        <w:rPr>
          <w:rFonts w:hint="eastAsia" w:eastAsia="方正仿宋_GBK"/>
        </w:rPr>
        <w:t>（2）不曾以同一事项重复或多头申报财政资金。</w:t>
      </w:r>
    </w:p>
    <w:p>
      <w:pPr>
        <w:ind w:firstLine="632" w:firstLineChars="200"/>
        <w:rPr>
          <w:rFonts w:eastAsia="方正仿宋_GBK"/>
        </w:rPr>
      </w:pPr>
      <w:r>
        <w:rPr>
          <w:rFonts w:hint="eastAsia" w:eastAsia="方正仿宋_GBK"/>
        </w:rPr>
        <w:t>（3）本项奖励为一次性奖励，涉及资金由江门市本级、各县（市、区）两级财政按比例共同承担，其中，市本级与蓬江区、江海区、新会区按税收分成比例分担（市本级与蓬江区分担比例为49∶51，与江海区分担比例为32∶68，与新会区分担比例为22∶78）；市本级与台山市、开平市、鹤山市、恩平市按20∶80比例分担。</w:t>
      </w:r>
    </w:p>
    <w:p>
      <w:pPr>
        <w:ind w:firstLine="632" w:firstLineChars="200"/>
        <w:rPr>
          <w:rFonts w:eastAsia="方正仿宋_GBK"/>
        </w:rPr>
      </w:pPr>
      <w:r>
        <w:rPr>
          <w:rFonts w:hint="eastAsia" w:eastAsia="方正仿宋_GBK"/>
        </w:rPr>
        <w:t>（4）同时符合本项奖励和“小升规”奖励的申报对象可按“就高不重复”原则自愿选择其中一个申报方向，不可重复享受。</w:t>
      </w:r>
    </w:p>
    <w:p>
      <w:pPr>
        <w:ind w:firstLine="632" w:firstLineChars="200"/>
        <w:rPr>
          <w:rFonts w:eastAsia="方正仿宋_GBK"/>
        </w:rPr>
      </w:pPr>
      <w:r>
        <w:rPr>
          <w:rFonts w:hint="eastAsia" w:eastAsia="方正仿宋_GBK"/>
        </w:rPr>
        <w:t>（</w:t>
      </w:r>
      <w:r>
        <w:rPr>
          <w:rFonts w:eastAsia="方正仿宋_GBK"/>
        </w:rPr>
        <w:t>5</w:t>
      </w:r>
      <w:r>
        <w:rPr>
          <w:rFonts w:hint="eastAsia" w:eastAsia="方正仿宋_GBK"/>
        </w:rPr>
        <w:t>）申报对象在江门市依法注册登记，合法开展经营，近三年无受到行政处罚、无违法失信等不良行为（以企业信用信息报告为准）。</w:t>
      </w:r>
    </w:p>
    <w:p>
      <w:pPr>
        <w:ind w:firstLine="632" w:firstLineChars="200"/>
        <w:rPr>
          <w:rFonts w:eastAsia="方正仿宋_GBK"/>
          <w:b/>
        </w:rPr>
      </w:pPr>
      <w:r>
        <w:rPr>
          <w:rFonts w:hint="eastAsia" w:eastAsia="方正仿宋_GBK"/>
          <w:b/>
        </w:rPr>
        <w:t>3．申报所需提交的材料。</w:t>
      </w:r>
    </w:p>
    <w:p>
      <w:pPr>
        <w:ind w:firstLine="632" w:firstLineChars="200"/>
        <w:rPr>
          <w:rFonts w:eastAsia="方正仿宋_GBK"/>
        </w:rPr>
      </w:pPr>
      <w:r>
        <w:rPr>
          <w:rFonts w:hint="eastAsia" w:eastAsia="方正仿宋_GBK"/>
        </w:rPr>
        <w:t>（1）资金申请表及承诺书（见附件1）；</w:t>
      </w:r>
    </w:p>
    <w:p>
      <w:pPr>
        <w:ind w:firstLine="632" w:firstLineChars="200"/>
        <w:rPr>
          <w:rFonts w:eastAsia="方正仿宋_GBK"/>
        </w:rPr>
      </w:pPr>
      <w:r>
        <w:rPr>
          <w:rFonts w:hint="eastAsia" w:eastAsia="方正仿宋_GBK"/>
        </w:rPr>
        <w:t>（2）江门公司和外市总部营业执照复印件；</w:t>
      </w:r>
    </w:p>
    <w:p>
      <w:pPr>
        <w:ind w:firstLine="632" w:firstLineChars="200"/>
        <w:rPr>
          <w:rFonts w:eastAsia="方正仿宋_GBK"/>
        </w:rPr>
      </w:pPr>
      <w:r>
        <w:rPr>
          <w:rFonts w:hint="eastAsia" w:eastAsia="方正仿宋_GBK"/>
        </w:rPr>
        <w:t>（3）在“国家企业信用信息公示系统”下载的企业信用信息报告（网址：https://www.gsxt.gov.cn/index.html）；</w:t>
      </w:r>
    </w:p>
    <w:p>
      <w:pPr>
        <w:ind w:firstLine="632" w:firstLineChars="200"/>
        <w:rPr>
          <w:rFonts w:eastAsia="方正仿宋_GBK"/>
        </w:rPr>
      </w:pPr>
      <w:r>
        <w:rPr>
          <w:rFonts w:hint="eastAsia" w:eastAsia="方正仿宋_GBK"/>
        </w:rPr>
        <w:t>（4）企业基本情况介绍及2023年发展情况报告；</w:t>
      </w:r>
    </w:p>
    <w:p>
      <w:pPr>
        <w:ind w:firstLine="632" w:firstLineChars="200"/>
        <w:rPr>
          <w:rFonts w:eastAsia="方正仿宋_GBK"/>
        </w:rPr>
      </w:pPr>
      <w:r>
        <w:rPr>
          <w:rFonts w:hint="eastAsia" w:eastAsia="方正仿宋_GBK"/>
        </w:rPr>
        <w:t>（5）由具有资质的第三方机构出具的针对申报要求的专项审计报告；</w:t>
      </w:r>
    </w:p>
    <w:p>
      <w:pPr>
        <w:ind w:firstLine="632" w:firstLineChars="200"/>
        <w:rPr>
          <w:rFonts w:eastAsia="方正仿宋_GBK"/>
        </w:rPr>
      </w:pPr>
      <w:r>
        <w:rPr>
          <w:rFonts w:hint="eastAsia" w:eastAsia="方正仿宋_GBK"/>
        </w:rPr>
        <w:t>（6）申报单位2023年《增值税及附加税费申报表》（含主表及附列资料）。</w:t>
      </w:r>
    </w:p>
    <w:p>
      <w:pPr>
        <w:ind w:firstLine="632" w:firstLineChars="200"/>
        <w:rPr>
          <w:rFonts w:ascii="方正楷体_GBK" w:eastAsia="方正楷体_GBK"/>
          <w:b/>
        </w:rPr>
      </w:pPr>
      <w:r>
        <w:rPr>
          <w:rFonts w:hint="eastAsia" w:ascii="方正楷体_GBK" w:eastAsia="方正楷体_GBK"/>
          <w:b/>
        </w:rPr>
        <w:t>（七）加快发展绿色消费。</w:t>
      </w:r>
    </w:p>
    <w:p>
      <w:pPr>
        <w:ind w:firstLine="632" w:firstLineChars="200"/>
        <w:rPr>
          <w:rFonts w:eastAsia="方正仿宋_GBK"/>
          <w:b/>
        </w:rPr>
      </w:pPr>
      <w:r>
        <w:rPr>
          <w:rFonts w:hint="eastAsia" w:eastAsia="方正仿宋_GBK"/>
          <w:b/>
        </w:rPr>
        <w:t>1．支持对象和条件、奖励标准。</w:t>
      </w:r>
    </w:p>
    <w:p>
      <w:pPr>
        <w:ind w:firstLine="632" w:firstLineChars="200"/>
        <w:rPr>
          <w:rFonts w:eastAsia="方正仿宋_GBK"/>
        </w:rPr>
      </w:pPr>
      <w:r>
        <w:rPr>
          <w:rFonts w:hint="eastAsia" w:eastAsia="方正仿宋_GBK"/>
        </w:rPr>
        <w:t>（1）大力支持企业创建国家、广东省绿色商场，对2023年期间，我市新入选广东省绿色商场创建单位的商贸企业，分别给予一次性5万元奖励。</w:t>
      </w:r>
    </w:p>
    <w:p>
      <w:pPr>
        <w:ind w:firstLine="632" w:firstLineChars="200"/>
        <w:rPr>
          <w:rFonts w:eastAsia="方正仿宋_GBK"/>
        </w:rPr>
      </w:pPr>
      <w:r>
        <w:rPr>
          <w:rFonts w:hint="eastAsia" w:eastAsia="方正仿宋_GBK"/>
        </w:rPr>
        <w:t>（2）支持我市连锁超市等商贸流通企业设立我市对口协作</w:t>
      </w:r>
      <w:r>
        <w:rPr>
          <w:rFonts w:hint="eastAsia" w:eastAsia="方正仿宋_GBK"/>
          <w:spacing w:val="-6"/>
        </w:rPr>
        <w:t>和帮扶地区（广西崇左、黑龙江七台河等）的绿色农产品销售专区，</w:t>
      </w:r>
      <w:r>
        <w:rPr>
          <w:rFonts w:hint="eastAsia" w:eastAsia="方正仿宋_GBK"/>
        </w:rPr>
        <w:t>对2023年期间新设立的帮扶地区产品销售专区，给予装修费用50%的资金支持，单个企业最高奖励10万元。</w:t>
      </w:r>
    </w:p>
    <w:p>
      <w:pPr>
        <w:ind w:firstLine="632" w:firstLineChars="200"/>
        <w:rPr>
          <w:rFonts w:eastAsia="方正仿宋_GBK"/>
          <w:b/>
        </w:rPr>
      </w:pPr>
      <w:r>
        <w:rPr>
          <w:rFonts w:hint="eastAsia" w:eastAsia="方正仿宋_GBK"/>
          <w:b/>
        </w:rPr>
        <w:t>2．注意事项。</w:t>
      </w:r>
    </w:p>
    <w:p>
      <w:pPr>
        <w:ind w:firstLine="632" w:firstLineChars="200"/>
        <w:rPr>
          <w:rFonts w:eastAsia="方正仿宋_GBK"/>
        </w:rPr>
      </w:pPr>
      <w:r>
        <w:rPr>
          <w:rFonts w:hint="eastAsia" w:eastAsia="方正仿宋_GBK"/>
        </w:rPr>
        <w:t>（1）本项奖励为一次性奖励，涉及资金由江门市本级财政全额承担。</w:t>
      </w:r>
    </w:p>
    <w:p>
      <w:pPr>
        <w:ind w:firstLine="632" w:firstLineChars="200"/>
        <w:rPr>
          <w:rFonts w:eastAsia="方正仿宋_GBK"/>
        </w:rPr>
      </w:pPr>
      <w:r>
        <w:rPr>
          <w:rFonts w:hint="eastAsia" w:eastAsia="方正仿宋_GBK"/>
        </w:rPr>
        <w:t>（2）不曾以同一事项重复或多头申报财政资金。</w:t>
      </w:r>
    </w:p>
    <w:p>
      <w:pPr>
        <w:ind w:firstLine="632" w:firstLineChars="200"/>
        <w:rPr>
          <w:rFonts w:eastAsia="方正仿宋_GBK"/>
        </w:rPr>
      </w:pPr>
      <w:r>
        <w:rPr>
          <w:rFonts w:hint="eastAsia" w:eastAsia="方正仿宋_GBK"/>
        </w:rPr>
        <w:t>（</w:t>
      </w:r>
      <w:r>
        <w:rPr>
          <w:rFonts w:eastAsia="方正仿宋_GBK"/>
        </w:rPr>
        <w:t>3</w:t>
      </w:r>
      <w:r>
        <w:rPr>
          <w:rFonts w:hint="eastAsia" w:eastAsia="方正仿宋_GBK"/>
        </w:rPr>
        <w:t>）申报对象在江门市依法注册登记，合法开展经营，近三年无受到行政处罚、无违法失信等不良行为（以企业信用信息报告为准）。</w:t>
      </w:r>
    </w:p>
    <w:p>
      <w:pPr>
        <w:ind w:firstLine="632" w:firstLineChars="200"/>
        <w:rPr>
          <w:rFonts w:eastAsia="方正仿宋_GBK"/>
          <w:b/>
        </w:rPr>
      </w:pPr>
      <w:r>
        <w:rPr>
          <w:rFonts w:hint="eastAsia" w:eastAsia="方正仿宋_GBK"/>
          <w:b/>
        </w:rPr>
        <w:t>3．申报所需提交材料。</w:t>
      </w:r>
    </w:p>
    <w:p>
      <w:pPr>
        <w:ind w:firstLine="632" w:firstLineChars="200"/>
        <w:rPr>
          <w:rFonts w:eastAsia="方正仿宋_GBK"/>
        </w:rPr>
      </w:pPr>
      <w:r>
        <w:rPr>
          <w:rFonts w:hint="eastAsia" w:eastAsia="方正仿宋_GBK"/>
        </w:rPr>
        <w:t>（1）申报省级绿色商场创建单位奖励。</w:t>
      </w:r>
    </w:p>
    <w:p>
      <w:pPr>
        <w:ind w:firstLine="632" w:firstLineChars="200"/>
        <w:rPr>
          <w:rFonts w:eastAsia="方正仿宋_GBK"/>
        </w:rPr>
      </w:pPr>
      <w:r>
        <w:rPr>
          <w:rFonts w:hint="eastAsia" w:eastAsia="方正仿宋_GBK"/>
        </w:rPr>
        <w:t>①资金申请表及承诺书（见附件1）；</w:t>
      </w:r>
    </w:p>
    <w:p>
      <w:pPr>
        <w:ind w:firstLine="632" w:firstLineChars="200"/>
        <w:rPr>
          <w:rFonts w:eastAsia="方正仿宋_GBK"/>
        </w:rPr>
      </w:pPr>
      <w:r>
        <w:rPr>
          <w:rFonts w:hint="eastAsia" w:eastAsia="方正仿宋_GBK"/>
        </w:rPr>
        <w:t>②在“国家企业信用信息公示系统”下载的企业信用信息报告（网址：https://www.gsxt.gov.cn/index.html）；</w:t>
      </w:r>
    </w:p>
    <w:p>
      <w:pPr>
        <w:ind w:firstLine="632" w:firstLineChars="200"/>
        <w:rPr>
          <w:rFonts w:eastAsia="方正仿宋_GBK"/>
        </w:rPr>
      </w:pPr>
      <w:r>
        <w:rPr>
          <w:rFonts w:hint="eastAsia" w:eastAsia="方正仿宋_GBK"/>
        </w:rPr>
        <w:t>③入选省级绿色商场创建单位的通报文件。</w:t>
      </w:r>
    </w:p>
    <w:p>
      <w:pPr>
        <w:ind w:firstLine="632" w:firstLineChars="200"/>
        <w:rPr>
          <w:rFonts w:eastAsia="方正仿宋_GBK"/>
        </w:rPr>
      </w:pPr>
      <w:r>
        <w:rPr>
          <w:rFonts w:hint="eastAsia" w:eastAsia="方正仿宋_GBK"/>
        </w:rPr>
        <w:t>（2）申报江门市对口协作和帮扶地区产品销售专区补贴。</w:t>
      </w:r>
    </w:p>
    <w:p>
      <w:pPr>
        <w:ind w:firstLine="632" w:firstLineChars="200"/>
        <w:rPr>
          <w:rFonts w:eastAsia="方正仿宋_GBK"/>
        </w:rPr>
      </w:pPr>
      <w:r>
        <w:rPr>
          <w:rFonts w:hint="eastAsia" w:eastAsia="方正仿宋_GBK"/>
        </w:rPr>
        <w:t>①资金申请表及承诺书（见附件1）；</w:t>
      </w:r>
    </w:p>
    <w:p>
      <w:pPr>
        <w:ind w:firstLine="632" w:firstLineChars="200"/>
        <w:rPr>
          <w:rFonts w:eastAsia="方正仿宋_GBK"/>
        </w:rPr>
      </w:pPr>
      <w:r>
        <w:rPr>
          <w:rFonts w:hint="eastAsia" w:eastAsia="方正仿宋_GBK"/>
        </w:rPr>
        <w:t>②在“国家企业信用信息公示系统”下载的企业信用信息报告（网址：https://www.gsxt.gov.cn/index.html）；</w:t>
      </w:r>
    </w:p>
    <w:p>
      <w:pPr>
        <w:ind w:firstLine="632" w:firstLineChars="200"/>
        <w:rPr>
          <w:rFonts w:eastAsia="方正仿宋_GBK"/>
        </w:rPr>
      </w:pPr>
      <w:r>
        <w:rPr>
          <w:rFonts w:hint="eastAsia" w:eastAsia="方正仿宋_GBK"/>
        </w:rPr>
        <w:t>③与我市对口协作和帮扶地区产品对接证明材料，含产品采购的合同、发票和对公转账支付凭证，发票开具时间为2023年1月1日至2023年12月31日。</w:t>
      </w:r>
    </w:p>
    <w:p>
      <w:pPr>
        <w:spacing w:line="550" w:lineRule="exact"/>
        <w:ind w:firstLine="632" w:firstLineChars="200"/>
        <w:rPr>
          <w:rFonts w:eastAsia="方正仿宋_GBK"/>
        </w:rPr>
      </w:pPr>
      <w:r>
        <w:rPr>
          <w:rFonts w:hint="eastAsia" w:eastAsia="方正仿宋_GBK"/>
        </w:rPr>
        <w:t>④销售专区装修证明材料，含销售专区现场照片、装修合同、发票和对公转账支付凭证，发票开具时间为2023年1月1日至2023年12月31日。</w:t>
      </w:r>
    </w:p>
    <w:p>
      <w:pPr>
        <w:spacing w:line="550" w:lineRule="exact"/>
        <w:ind w:firstLine="632" w:firstLineChars="200"/>
        <w:rPr>
          <w:rFonts w:ascii="方正黑体_GBK" w:eastAsia="方正黑体_GBK"/>
        </w:rPr>
      </w:pPr>
      <w:r>
        <w:rPr>
          <w:rFonts w:hint="eastAsia" w:ascii="方正黑体_GBK" w:eastAsia="方正黑体_GBK"/>
        </w:rPr>
        <w:t>二、申报、审核及公示流程</w:t>
      </w:r>
    </w:p>
    <w:p>
      <w:pPr>
        <w:spacing w:line="550" w:lineRule="exact"/>
        <w:ind w:firstLine="632" w:firstLineChars="200"/>
        <w:rPr>
          <w:rFonts w:ascii="方正楷体_GBK" w:eastAsia="方正楷体_GBK"/>
          <w:b/>
        </w:rPr>
      </w:pPr>
      <w:r>
        <w:rPr>
          <w:rFonts w:hint="eastAsia" w:ascii="方正楷体_GBK" w:eastAsia="方正楷体_GBK"/>
          <w:b/>
        </w:rPr>
        <w:t>（一）申报提交。</w:t>
      </w:r>
    </w:p>
    <w:p>
      <w:pPr>
        <w:spacing w:line="550" w:lineRule="exact"/>
        <w:ind w:firstLine="632" w:firstLineChars="200"/>
        <w:rPr>
          <w:rFonts w:eastAsia="方正仿宋_GBK"/>
        </w:rPr>
      </w:pPr>
      <w:r>
        <w:rPr>
          <w:rFonts w:hint="eastAsia" w:eastAsia="方正仿宋_GBK"/>
        </w:rPr>
        <w:t>申报单位于2024年6月</w:t>
      </w:r>
      <w:r>
        <w:rPr>
          <w:rFonts w:eastAsia="方正仿宋_GBK"/>
        </w:rPr>
        <w:t>28</w:t>
      </w:r>
      <w:r>
        <w:rPr>
          <w:rFonts w:hint="eastAsia" w:eastAsia="方正仿宋_GBK"/>
        </w:rPr>
        <w:t>日前登陆“江门市财政惠企利民服务平台”（以下简称“江惠通平台”，网址：</w:t>
      </w:r>
      <w:r>
        <w:fldChar w:fldCharType="begin"/>
      </w:r>
      <w:r>
        <w:instrText xml:space="preserve"> HYPERLINK "https://jht.jiangmen.gov.cn/" \l "/home），注册用户，搜索【2024年江门市促进商贸流通业高质量发展资金】项目，在平台填妥《资金申请表及承诺书》（见附件1），按要求上传所需材料，按时完成项目提交。" </w:instrText>
      </w:r>
      <w:r>
        <w:fldChar w:fldCharType="separate"/>
      </w:r>
      <w:r>
        <w:rPr>
          <w:rFonts w:hint="eastAsia" w:eastAsia="方正仿宋_GBK"/>
        </w:rPr>
        <w:t>https://jht.jiangmen.gov.cn/#/home），注册用户，搜索【2024年江门市促进商贸流通业高质量发展资金】项目，在平台填妥《资金申请表及承诺书》（见附件1），按要求上传所需材料，按时完成项目资料提交。</w:t>
      </w:r>
      <w:r>
        <w:rPr>
          <w:rFonts w:hint="eastAsia" w:eastAsia="方正仿宋_GBK"/>
        </w:rPr>
        <w:fldChar w:fldCharType="end"/>
      </w:r>
      <w:r>
        <w:rPr>
          <w:rFonts w:hint="eastAsia" w:eastAsia="方正仿宋_GBK"/>
        </w:rPr>
        <w:t>其中，《资金申报表及承诺书》需在平台填妥后经由平台下载打印并加盖公章，切勿使用空表填写上传。申报单位需同步将纸质版申报材料一式3份，提交到所在镇（街）。提交材料均需真实、完整、清晰并加盖公章。如单份材料多页，需加盖骑缝章。逾期未完成项目提交的，视为放弃申报。（平台账号注册、登录视频教学网址：https://jht.jiangmen.gov.cn/#/help/video）</w:t>
      </w:r>
    </w:p>
    <w:p>
      <w:pPr>
        <w:spacing w:line="550" w:lineRule="exact"/>
        <w:ind w:firstLine="632" w:firstLineChars="200"/>
        <w:rPr>
          <w:rFonts w:ascii="方正楷体_GBK" w:eastAsia="方正楷体_GBK"/>
          <w:b/>
        </w:rPr>
      </w:pPr>
      <w:r>
        <w:rPr>
          <w:rFonts w:hint="eastAsia" w:ascii="方正楷体_GBK" w:eastAsia="方正楷体_GBK"/>
          <w:b/>
        </w:rPr>
        <w:t>（二）项目初审。</w:t>
      </w:r>
    </w:p>
    <w:p>
      <w:pPr>
        <w:spacing w:line="550" w:lineRule="exact"/>
        <w:ind w:firstLine="632" w:firstLineChars="200"/>
        <w:rPr>
          <w:rFonts w:eastAsia="方正仿宋_GBK"/>
        </w:rPr>
      </w:pPr>
      <w:r>
        <w:rPr>
          <w:rFonts w:hint="eastAsia" w:eastAsia="方正仿宋_GBK"/>
        </w:rPr>
        <w:t>各镇（街）组织符合条件的申报主体申报资金，于2024年</w:t>
      </w:r>
      <w:r>
        <w:rPr>
          <w:rFonts w:eastAsia="方正仿宋_GBK"/>
        </w:rPr>
        <w:t>7</w:t>
      </w:r>
      <w:r>
        <w:rPr>
          <w:rFonts w:hint="eastAsia" w:eastAsia="方正仿宋_GBK"/>
        </w:rPr>
        <w:t>月2日前完成项目材料初审，向所在县（市、区）商务主管部门报送材料：1、《扶持推荐项目汇总表》[见附件2，需加盖镇（街）公章]；2、推荐项目纸质版申报材料2份，其中《资金申请表及承诺书》需填妥初审意见并加盖镇（街）公章。各镇（街）需同步登陆“江惠通平台”完成初审操作。</w:t>
      </w:r>
    </w:p>
    <w:p>
      <w:pPr>
        <w:ind w:firstLine="632" w:firstLineChars="200"/>
        <w:rPr>
          <w:rFonts w:ascii="方正楷体_GBK" w:eastAsia="方正楷体_GBK"/>
          <w:b/>
        </w:rPr>
      </w:pPr>
      <w:r>
        <w:rPr>
          <w:rFonts w:hint="eastAsia" w:ascii="方正楷体_GBK" w:eastAsia="方正楷体_GBK"/>
          <w:b/>
        </w:rPr>
        <w:t>（三）项目复审。</w:t>
      </w:r>
    </w:p>
    <w:p>
      <w:pPr>
        <w:ind w:firstLine="632" w:firstLineChars="200"/>
        <w:rPr>
          <w:rFonts w:eastAsia="方正仿宋_GBK"/>
        </w:rPr>
      </w:pPr>
      <w:r>
        <w:rPr>
          <w:rFonts w:hint="eastAsia" w:eastAsia="方正仿宋_GBK"/>
        </w:rPr>
        <w:t>各县（市、区）商务主管部门于2024年7月</w:t>
      </w:r>
      <w:r>
        <w:rPr>
          <w:rFonts w:eastAsia="方正仿宋_GBK"/>
        </w:rPr>
        <w:t>9</w:t>
      </w:r>
      <w:r>
        <w:rPr>
          <w:rFonts w:hint="eastAsia" w:eastAsia="方正仿宋_GBK"/>
        </w:rPr>
        <w:t>日前完成项目材料复审，经局党组会议或局务会议审议同意后，向市商务局报送材料：1、《扶持推荐项目汇总表》（见附件2，需加盖县级商务主管部门公章）；2、推荐项目纸质版申报材料1份，其中《资金申请表及承诺书》需填妥复审意见并加盖公章。各县（市、区）商务主管部门同时登陆“江惠通平台”完成复审操作。</w:t>
      </w:r>
    </w:p>
    <w:p>
      <w:pPr>
        <w:ind w:firstLine="632" w:firstLineChars="200"/>
        <w:rPr>
          <w:rFonts w:ascii="方正楷体_GBK" w:eastAsia="方正楷体_GBK"/>
          <w:b/>
        </w:rPr>
      </w:pPr>
      <w:r>
        <w:rPr>
          <w:rFonts w:hint="eastAsia" w:ascii="方正楷体_GBK" w:eastAsia="方正楷体_GBK"/>
          <w:b/>
        </w:rPr>
        <w:t>（四）项目终审。</w:t>
      </w:r>
    </w:p>
    <w:p>
      <w:pPr>
        <w:ind w:firstLine="632" w:firstLineChars="200"/>
        <w:rPr>
          <w:rFonts w:eastAsia="方正仿宋_GBK"/>
        </w:rPr>
      </w:pPr>
      <w:r>
        <w:rPr>
          <w:rFonts w:hint="eastAsia" w:eastAsia="方正仿宋_GBK"/>
        </w:rPr>
        <w:t>市商务局组织第三方机构对各县（市、区）推荐项目进行终审，征询市统计局等有关部门意见，完成项目终审，形成拟支持对象名单和拟分配金额。</w:t>
      </w:r>
    </w:p>
    <w:p>
      <w:pPr>
        <w:ind w:firstLine="632" w:firstLineChars="200"/>
        <w:rPr>
          <w:rFonts w:ascii="方正楷体_GBK" w:eastAsia="方正楷体_GBK"/>
          <w:b/>
        </w:rPr>
      </w:pPr>
      <w:r>
        <w:rPr>
          <w:rFonts w:hint="eastAsia" w:ascii="方正楷体_GBK" w:eastAsia="方正楷体_GBK"/>
          <w:b/>
        </w:rPr>
        <w:t>（五）结果公示。</w:t>
      </w:r>
    </w:p>
    <w:p>
      <w:pPr>
        <w:ind w:firstLine="632" w:firstLineChars="200"/>
        <w:rPr>
          <w:rFonts w:eastAsia="方正仿宋_GBK"/>
        </w:rPr>
      </w:pPr>
      <w:r>
        <w:rPr>
          <w:rFonts w:hint="eastAsia" w:eastAsia="方正仿宋_GBK"/>
        </w:rPr>
        <w:t>市商务局将拟支持对象名单和拟分配金额在市商务局政务网站上公示。</w:t>
      </w:r>
    </w:p>
    <w:p>
      <w:pPr>
        <w:ind w:firstLine="632" w:firstLineChars="200"/>
        <w:rPr>
          <w:rFonts w:ascii="方正黑体_GBK" w:eastAsia="方正黑体_GBK"/>
        </w:rPr>
      </w:pPr>
      <w:r>
        <w:rPr>
          <w:rFonts w:hint="eastAsia" w:ascii="方正黑体_GBK" w:eastAsia="方正黑体_GBK"/>
        </w:rPr>
        <w:t>三、工作分工</w:t>
      </w:r>
    </w:p>
    <w:p>
      <w:pPr>
        <w:ind w:firstLine="632" w:firstLineChars="200"/>
        <w:rPr>
          <w:rFonts w:eastAsia="方正仿宋_GBK"/>
        </w:rPr>
      </w:pPr>
      <w:r>
        <w:rPr>
          <w:rFonts w:hint="eastAsia" w:eastAsia="方正仿宋_GBK"/>
        </w:rPr>
        <w:t>（一）市商务局负责编制申报指南，组织开展资金申报和审核、公示等工作，并会同市财政局落实市本级承担资金，协助做好市本级承担资金拨付。</w:t>
      </w:r>
    </w:p>
    <w:p>
      <w:pPr>
        <w:ind w:firstLine="632" w:firstLineChars="200"/>
        <w:rPr>
          <w:rFonts w:eastAsia="方正仿宋_GBK"/>
        </w:rPr>
      </w:pPr>
      <w:r>
        <w:rPr>
          <w:rFonts w:hint="eastAsia" w:eastAsia="方正仿宋_GBK"/>
        </w:rPr>
        <w:t>（二）市财政局负责落实市本级财政需承担资金，做好市本级承担资金拨付。</w:t>
      </w:r>
    </w:p>
    <w:p>
      <w:pPr>
        <w:ind w:firstLine="632" w:firstLineChars="200"/>
        <w:rPr>
          <w:rFonts w:eastAsia="方正仿宋_GBK"/>
        </w:rPr>
      </w:pPr>
      <w:r>
        <w:rPr>
          <w:rFonts w:hint="eastAsia" w:eastAsia="方正仿宋_GBK"/>
        </w:rPr>
        <w:t>（三）市统计局负责核对申报单位的入库纳统情况，包括入库批次、行业等情况。</w:t>
      </w:r>
    </w:p>
    <w:p>
      <w:pPr>
        <w:ind w:firstLine="632" w:firstLineChars="200"/>
        <w:rPr>
          <w:rFonts w:eastAsia="方正仿宋_GBK"/>
        </w:rPr>
      </w:pPr>
      <w:r>
        <w:rPr>
          <w:rFonts w:hint="eastAsia" w:eastAsia="方正仿宋_GBK"/>
        </w:rPr>
        <w:t>（四）各县（市、区）商务主管部门负责开展政策宣传，组织发动本地区符合申报条件的单位按时申报资金；履行项目复审职责，把好审核关，按时向市商务局报送经复审推荐项目材料；会同同级财政主管部门做好江门市本级及县级承担资金拨付工作。</w:t>
      </w:r>
    </w:p>
    <w:p>
      <w:pPr>
        <w:ind w:firstLine="632" w:firstLineChars="200"/>
        <w:rPr>
          <w:rFonts w:eastAsia="方正仿宋_GBK"/>
        </w:rPr>
      </w:pPr>
      <w:r>
        <w:rPr>
          <w:rFonts w:hint="eastAsia" w:eastAsia="方正仿宋_GBK"/>
        </w:rPr>
        <w:t>（五）各镇（街）负责开展政策宣传，积极发动辖区符合申报条件的单位按时申报资金；履行项目初审职责，把好审核关，按时向所在县（市、区）商务主管部门报送经初审推荐项目材料。</w:t>
      </w:r>
    </w:p>
    <w:p>
      <w:pPr>
        <w:ind w:firstLine="632" w:firstLineChars="200"/>
        <w:rPr>
          <w:rFonts w:ascii="方正黑体_GBK" w:eastAsia="方正黑体_GBK"/>
        </w:rPr>
      </w:pPr>
      <w:r>
        <w:rPr>
          <w:rFonts w:hint="eastAsia" w:ascii="方正黑体_GBK" w:eastAsia="方正黑体_GBK"/>
        </w:rPr>
        <w:t>四、其他事项</w:t>
      </w:r>
    </w:p>
    <w:p>
      <w:pPr>
        <w:ind w:firstLine="632" w:firstLineChars="200"/>
        <w:rPr>
          <w:rFonts w:eastAsia="方正仿宋_GBK"/>
        </w:rPr>
      </w:pPr>
      <w:r>
        <w:rPr>
          <w:rFonts w:hint="eastAsia" w:eastAsia="方正仿宋_GBK"/>
        </w:rPr>
        <w:t>（一）各有关单位收到项目资金后，应按照财务制度规定作相应的财务及会计处理，建立完善的项目和财务档案管理制度，自觉接受市商务局、市财政局等部门对项目资金使用情况的监督和检查。</w:t>
      </w:r>
    </w:p>
    <w:p>
      <w:pPr>
        <w:ind w:firstLine="632" w:firstLineChars="200"/>
        <w:rPr>
          <w:rFonts w:eastAsia="方正仿宋_GBK"/>
        </w:rPr>
      </w:pPr>
      <w:r>
        <w:rPr>
          <w:rFonts w:hint="eastAsia" w:eastAsia="方正仿宋_GBK"/>
        </w:rPr>
        <w:t>（二）任何单位和个人不得挤占、截留、挪用或擅自改变资金用途。对违反财经纪律、出具虚假材料、凭证，骗取资金的单位，将收回财政资助资金。构成犯罪的，依法追究刑事责任。</w:t>
      </w:r>
    </w:p>
    <w:p>
      <w:pPr>
        <w:ind w:firstLine="632" w:firstLineChars="200"/>
        <w:rPr>
          <w:rFonts w:eastAsia="方正仿宋_GBK"/>
        </w:rPr>
      </w:pPr>
      <w:r>
        <w:rPr>
          <w:rFonts w:hint="eastAsia" w:eastAsia="方正仿宋_GBK"/>
        </w:rPr>
        <w:t>江惠通平台操作咨询QQ群号：677814686。</w:t>
      </w:r>
    </w:p>
    <w:p>
      <w:pPr>
        <w:ind w:firstLine="632" w:firstLineChars="200"/>
        <w:rPr>
          <w:rFonts w:eastAsia="方正仿宋_GBK"/>
        </w:rPr>
      </w:pPr>
      <w:r>
        <w:rPr>
          <w:rFonts w:hint="eastAsia" w:eastAsia="方正仿宋_GBK"/>
        </w:rPr>
        <w:t>政策业务咨询电话：</w:t>
      </w:r>
    </w:p>
    <w:p>
      <w:pPr>
        <w:ind w:firstLine="632" w:firstLineChars="200"/>
        <w:rPr>
          <w:rFonts w:eastAsia="方正仿宋_GBK"/>
        </w:rPr>
      </w:pPr>
      <w:r>
        <w:rPr>
          <w:rFonts w:hint="eastAsia" w:eastAsia="方正仿宋_GBK"/>
        </w:rPr>
        <w:t>蓬江区，0750</w:t>
      </w:r>
      <w:r>
        <w:rPr>
          <w:rFonts w:hint="eastAsia" w:ascii="方正仿宋_GBK" w:eastAsia="方正仿宋_GBK"/>
        </w:rPr>
        <w:t>-</w:t>
      </w:r>
      <w:r>
        <w:rPr>
          <w:rFonts w:hint="eastAsia" w:eastAsia="方正仿宋_GBK"/>
        </w:rPr>
        <w:t>3833007；</w:t>
      </w:r>
    </w:p>
    <w:p>
      <w:pPr>
        <w:ind w:firstLine="632" w:firstLineChars="200"/>
        <w:rPr>
          <w:rFonts w:eastAsia="方正仿宋_GBK"/>
        </w:rPr>
      </w:pPr>
      <w:r>
        <w:rPr>
          <w:rFonts w:hint="eastAsia" w:eastAsia="方正仿宋_GBK"/>
        </w:rPr>
        <w:t>江海区，0750</w:t>
      </w:r>
      <w:r>
        <w:rPr>
          <w:rFonts w:hint="eastAsia" w:ascii="方正仿宋_GBK" w:eastAsia="方正仿宋_GBK"/>
        </w:rPr>
        <w:t>-</w:t>
      </w:r>
      <w:r>
        <w:rPr>
          <w:rFonts w:eastAsia="方正仿宋_GBK"/>
        </w:rPr>
        <w:t>3861724</w:t>
      </w:r>
      <w:r>
        <w:rPr>
          <w:rFonts w:hint="eastAsia" w:eastAsia="方正仿宋_GBK"/>
        </w:rPr>
        <w:t>；</w:t>
      </w:r>
    </w:p>
    <w:p>
      <w:pPr>
        <w:ind w:firstLine="632" w:firstLineChars="200"/>
        <w:rPr>
          <w:rFonts w:eastAsia="方正仿宋_GBK"/>
        </w:rPr>
      </w:pPr>
      <w:r>
        <w:rPr>
          <w:rFonts w:hint="eastAsia" w:eastAsia="方正仿宋_GBK"/>
        </w:rPr>
        <w:t>新会区，0750</w:t>
      </w:r>
      <w:r>
        <w:rPr>
          <w:rFonts w:hint="eastAsia" w:ascii="方正仿宋_GBK" w:eastAsia="方正仿宋_GBK"/>
        </w:rPr>
        <w:t>-</w:t>
      </w:r>
      <w:r>
        <w:rPr>
          <w:rFonts w:hint="eastAsia" w:eastAsia="方正仿宋_GBK"/>
        </w:rPr>
        <w:t>6631067；</w:t>
      </w:r>
    </w:p>
    <w:p>
      <w:pPr>
        <w:ind w:firstLine="632" w:firstLineChars="200"/>
        <w:rPr>
          <w:rFonts w:eastAsia="方正仿宋_GBK"/>
        </w:rPr>
      </w:pPr>
      <w:r>
        <w:rPr>
          <w:rFonts w:hint="eastAsia" w:eastAsia="方正仿宋_GBK"/>
        </w:rPr>
        <w:t>开平市，0750</w:t>
      </w:r>
      <w:r>
        <w:rPr>
          <w:rFonts w:hint="eastAsia" w:ascii="方正仿宋_GBK" w:eastAsia="方正仿宋_GBK"/>
        </w:rPr>
        <w:t>-</w:t>
      </w:r>
      <w:r>
        <w:rPr>
          <w:rFonts w:hint="eastAsia" w:eastAsia="方正仿宋_GBK"/>
        </w:rPr>
        <w:t>2380795；</w:t>
      </w:r>
    </w:p>
    <w:p>
      <w:pPr>
        <w:ind w:firstLine="632" w:firstLineChars="200"/>
        <w:rPr>
          <w:rFonts w:eastAsia="方正仿宋_GBK"/>
        </w:rPr>
      </w:pPr>
      <w:r>
        <w:rPr>
          <w:rFonts w:hint="eastAsia" w:eastAsia="方正仿宋_GBK"/>
        </w:rPr>
        <w:t>台山市，0750</w:t>
      </w:r>
      <w:r>
        <w:rPr>
          <w:rFonts w:hint="eastAsia" w:ascii="方正仿宋_GBK" w:eastAsia="方正仿宋_GBK"/>
        </w:rPr>
        <w:t>-</w:t>
      </w:r>
      <w:r>
        <w:rPr>
          <w:rFonts w:hint="eastAsia" w:eastAsia="方正仿宋_GBK"/>
        </w:rPr>
        <w:t>5533309；</w:t>
      </w:r>
    </w:p>
    <w:p>
      <w:pPr>
        <w:ind w:firstLine="632" w:firstLineChars="200"/>
        <w:rPr>
          <w:rFonts w:eastAsia="方正仿宋_GBK"/>
        </w:rPr>
      </w:pPr>
      <w:r>
        <w:rPr>
          <w:rFonts w:hint="eastAsia" w:eastAsia="方正仿宋_GBK"/>
        </w:rPr>
        <w:t>鹤山市，0750</w:t>
      </w:r>
      <w:r>
        <w:rPr>
          <w:rFonts w:hint="eastAsia" w:ascii="方正仿宋_GBK" w:eastAsia="方正仿宋_GBK"/>
        </w:rPr>
        <w:t>-</w:t>
      </w:r>
      <w:r>
        <w:rPr>
          <w:rFonts w:hint="eastAsia" w:eastAsia="方正仿宋_GBK"/>
        </w:rPr>
        <w:t>8888692；</w:t>
      </w:r>
    </w:p>
    <w:p>
      <w:pPr>
        <w:ind w:firstLine="632" w:firstLineChars="200"/>
        <w:rPr>
          <w:rFonts w:eastAsia="方正仿宋_GBK"/>
        </w:rPr>
      </w:pPr>
      <w:r>
        <w:rPr>
          <w:rFonts w:hint="eastAsia" w:eastAsia="方正仿宋_GBK"/>
        </w:rPr>
        <w:t>恩平市，0750</w:t>
      </w:r>
      <w:r>
        <w:rPr>
          <w:rFonts w:hint="eastAsia" w:ascii="方正仿宋_GBK" w:eastAsia="方正仿宋_GBK"/>
        </w:rPr>
        <w:t>-</w:t>
      </w:r>
      <w:r>
        <w:rPr>
          <w:rFonts w:hint="eastAsia" w:eastAsia="方正仿宋_GBK"/>
        </w:rPr>
        <w:t>7123980。</w:t>
      </w:r>
    </w:p>
    <w:p>
      <w:pPr>
        <w:ind w:firstLine="632" w:firstLineChars="200"/>
        <w:rPr>
          <w:rFonts w:eastAsia="方正仿宋_GBK"/>
        </w:rPr>
      </w:pPr>
    </w:p>
    <w:p>
      <w:pPr>
        <w:ind w:firstLine="608" w:firstLineChars="200"/>
        <w:rPr>
          <w:rFonts w:eastAsia="方正仿宋_GBK"/>
          <w:spacing w:val="-6"/>
        </w:rPr>
      </w:pPr>
      <w:r>
        <w:rPr>
          <w:rFonts w:hint="eastAsia" w:eastAsia="方正仿宋_GBK"/>
          <w:spacing w:val="-6"/>
        </w:rPr>
        <w:t>附件：1．资金申请表及承诺书（由企业在申报平台填写）</w:t>
      </w:r>
    </w:p>
    <w:p>
      <w:pPr>
        <w:ind w:firstLine="1520" w:firstLineChars="500"/>
        <w:rPr>
          <w:rFonts w:eastAsia="方正仿宋_GBK"/>
          <w:spacing w:val="-6"/>
        </w:rPr>
      </w:pPr>
      <w:r>
        <w:rPr>
          <w:rFonts w:hint="eastAsia" w:eastAsia="方正仿宋_GBK"/>
          <w:spacing w:val="-6"/>
        </w:rPr>
        <w:t>2．扶持推荐项目汇总表（审核部门汇总填写）</w:t>
      </w:r>
    </w:p>
    <w:p>
      <w:pPr>
        <w:ind w:firstLine="1520" w:firstLineChars="500"/>
        <w:rPr>
          <w:rFonts w:eastAsia="方正仿宋_GBK"/>
          <w:spacing w:val="-6"/>
        </w:rPr>
      </w:pPr>
      <w:r>
        <w:rPr>
          <w:rFonts w:hint="eastAsia" w:eastAsia="方正仿宋_GBK"/>
          <w:spacing w:val="-6"/>
        </w:rPr>
        <w:t>3．专项审计报告模板（鼓励批零住餐业增收）</w:t>
      </w:r>
    </w:p>
    <w:p>
      <w:pPr>
        <w:ind w:firstLine="1520" w:firstLineChars="500"/>
        <w:rPr>
          <w:rFonts w:eastAsia="方正仿宋_GBK"/>
          <w:spacing w:val="-6"/>
        </w:rPr>
      </w:pPr>
      <w:r>
        <w:rPr>
          <w:rFonts w:hint="eastAsia" w:eastAsia="方正仿宋_GBK"/>
          <w:spacing w:val="-6"/>
        </w:rPr>
        <w:t>4．专项审计报告模板（支持制造业企业建立销售公司）</w:t>
      </w:r>
    </w:p>
    <w:p>
      <w:pPr>
        <w:ind w:firstLine="1520" w:firstLineChars="500"/>
        <w:rPr>
          <w:rFonts w:eastAsia="方正仿宋_GBK" w:cstheme="minorBidi"/>
          <w:spacing w:val="-6"/>
        </w:rPr>
      </w:pPr>
    </w:p>
    <w:p>
      <w:pPr>
        <w:ind w:firstLine="1520" w:firstLineChars="500"/>
        <w:rPr>
          <w:rFonts w:eastAsia="方正仿宋_GBK" w:cstheme="minorBidi"/>
          <w:spacing w:val="-6"/>
        </w:rPr>
      </w:pPr>
    </w:p>
    <w:p>
      <w:pPr>
        <w:ind w:firstLine="1520" w:firstLineChars="500"/>
        <w:rPr>
          <w:rFonts w:eastAsia="方正仿宋_GBK" w:cstheme="minorBidi"/>
          <w:spacing w:val="-6"/>
        </w:rPr>
      </w:pPr>
    </w:p>
    <w:p>
      <w:pPr>
        <w:ind w:firstLine="1520" w:firstLineChars="500"/>
        <w:rPr>
          <w:rFonts w:eastAsia="方正仿宋_GBK" w:cstheme="minorBidi"/>
          <w:spacing w:val="-6"/>
        </w:rPr>
      </w:pPr>
    </w:p>
    <w:p>
      <w:pPr>
        <w:ind w:firstLine="1520" w:firstLineChars="500"/>
        <w:rPr>
          <w:rFonts w:eastAsia="方正仿宋_GBK" w:cstheme="minorBidi"/>
          <w:spacing w:val="-6"/>
        </w:rPr>
      </w:pPr>
    </w:p>
    <w:p>
      <w:pPr>
        <w:ind w:firstLine="1520" w:firstLineChars="500"/>
        <w:rPr>
          <w:rFonts w:eastAsia="方正仿宋_GBK" w:cstheme="minorBidi"/>
          <w:spacing w:val="-6"/>
        </w:rPr>
      </w:pPr>
    </w:p>
    <w:p>
      <w:pPr>
        <w:ind w:firstLine="1520" w:firstLineChars="500"/>
        <w:rPr>
          <w:rFonts w:eastAsia="方正仿宋_GBK" w:cstheme="minorBidi"/>
          <w:spacing w:val="-6"/>
        </w:rPr>
      </w:pPr>
    </w:p>
    <w:p>
      <w:pPr>
        <w:ind w:firstLine="1520" w:firstLineChars="500"/>
        <w:rPr>
          <w:rFonts w:eastAsia="方正仿宋_GBK" w:cstheme="minorBidi"/>
          <w:spacing w:val="-6"/>
        </w:rPr>
      </w:pPr>
    </w:p>
    <w:p>
      <w:pPr>
        <w:ind w:firstLine="1520" w:firstLineChars="500"/>
        <w:rPr>
          <w:rFonts w:eastAsia="方正仿宋_GBK" w:cstheme="minorBidi"/>
          <w:spacing w:val="-6"/>
        </w:rPr>
      </w:pPr>
    </w:p>
    <w:p>
      <w:pPr>
        <w:ind w:firstLine="1520" w:firstLineChars="500"/>
        <w:rPr>
          <w:rFonts w:eastAsia="方正仿宋_GBK" w:cstheme="minorBidi"/>
          <w:spacing w:val="-6"/>
        </w:rPr>
      </w:pPr>
      <w:bookmarkStart w:id="0" w:name="_GoBack"/>
      <w:bookmarkEnd w:id="0"/>
    </w:p>
    <w:p>
      <w:pPr>
        <w:rPr>
          <w:rFonts w:eastAsia="方正仿宋_GBK"/>
        </w:rPr>
      </w:pPr>
      <w:r>
        <w:rPr>
          <w:rFonts w:hint="eastAsia" w:eastAsia="方正黑体_GBK"/>
        </w:rPr>
        <w:t>公开方式：</w:t>
      </w:r>
      <w:r>
        <w:rPr>
          <w:rFonts w:hint="eastAsia" w:eastAsia="方正仿宋_GBK"/>
        </w:rPr>
        <w:t>主动公开</w:t>
      </w:r>
    </w:p>
    <w:p>
      <w:pPr>
        <w:rPr>
          <w:rFonts w:eastAsia="方正仿宋_GBK"/>
        </w:rPr>
      </w:pPr>
    </w:p>
    <w:p>
      <w:pPr>
        <w:pBdr>
          <w:top w:val="single" w:color="auto" w:sz="6" w:space="1"/>
          <w:bottom w:val="single" w:color="auto" w:sz="6" w:space="1"/>
        </w:pBdr>
        <w:ind w:firstLine="288" w:firstLineChars="100"/>
        <w:rPr>
          <w:rFonts w:eastAsia="方正仿宋_GBK"/>
          <w:sz w:val="28"/>
          <w:szCs w:val="28"/>
        </w:rPr>
      </w:pPr>
      <w:r>
        <w:rPr>
          <w:rFonts w:hint="eastAsia" w:eastAsia="方正仿宋_GBK"/>
          <w:spacing w:val="6"/>
          <w:sz w:val="28"/>
          <w:szCs w:val="28"/>
        </w:rPr>
        <w:t>抄送：</w:t>
      </w:r>
      <w:r>
        <w:rPr>
          <w:rFonts w:hint="eastAsia" w:eastAsia="方正仿宋_GBK"/>
          <w:sz w:val="28"/>
          <w:szCs w:val="28"/>
        </w:rPr>
        <w:t>市财政局、市统计局，本局领导（冯、梁）、市场建设管理科、</w:t>
      </w:r>
    </w:p>
    <w:p>
      <w:pPr>
        <w:pBdr>
          <w:top w:val="single" w:color="auto" w:sz="6" w:space="1"/>
          <w:bottom w:val="single" w:color="auto" w:sz="6" w:space="1"/>
        </w:pBdr>
        <w:ind w:firstLine="1240" w:firstLineChars="449"/>
        <w:rPr>
          <w:rFonts w:ascii="方正仿宋_GBK" w:eastAsia="方正仿宋_GBK"/>
          <w:color w:val="000000" w:themeColor="text1"/>
          <w14:textFill>
            <w14:solidFill>
              <w14:schemeClr w14:val="tx1"/>
            </w14:solidFill>
          </w14:textFill>
        </w:rPr>
      </w:pPr>
      <w:r>
        <w:rPr>
          <w:rFonts w:hint="eastAsia" w:eastAsia="方正仿宋_GBK"/>
          <w:sz w:val="28"/>
          <w:szCs w:val="28"/>
        </w:rPr>
        <w:t>服务贸易科。</w:t>
      </w:r>
    </w:p>
    <w:sectPr>
      <w:footerReference r:id="rId4" w:type="default"/>
      <w:headerReference r:id="rId3" w:type="even"/>
      <w:footerReference r:id="rId5" w:type="even"/>
      <w:pgSz w:w="11906" w:h="16838"/>
      <w:pgMar w:top="2098" w:right="1474" w:bottom="1985" w:left="1588" w:header="851" w:footer="1531" w:gutter="0"/>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A00002EF" w:usb1="4000207B" w:usb2="00000000" w:usb3="00000000" w:csb0="2000019F" w:csb1="00000000"/>
  </w:font>
  <w:font w:name="方正仿宋简体">
    <w:panose1 w:val="02000000000000000000"/>
    <w:charset w:val="86"/>
    <w:family w:val="auto"/>
    <w:pitch w:val="default"/>
    <w:sig w:usb0="A00002BF" w:usb1="184F6CFA" w:usb2="00000012" w:usb3="00000000" w:csb0="00040001" w:csb1="00000000"/>
  </w:font>
  <w:font w:name="Cambria">
    <w:panose1 w:val="02040503050406030204"/>
    <w:charset w:val="00"/>
    <w:family w:val="roman"/>
    <w:pitch w:val="default"/>
    <w:sig w:usb0="E00002FF" w:usb1="400004FF" w:usb2="00000000" w:usb3="00000000" w:csb0="2000019F" w:csb1="00000000"/>
  </w:font>
  <w:font w:name="方正黑体_GBK">
    <w:panose1 w:val="03000509000000000000"/>
    <w:charset w:val="86"/>
    <w:family w:val="script"/>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2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outside" w:y="1"/>
      <w:rPr>
        <w:rStyle w:val="25"/>
        <w:rFonts w:asciiTheme="minorEastAsia" w:hAnsiTheme="minorEastAsia" w:eastAsiaTheme="minorEastAsia"/>
        <w:sz w:val="24"/>
        <w:szCs w:val="24"/>
      </w:rPr>
    </w:pPr>
    <w:r>
      <w:rPr>
        <w:rStyle w:val="25"/>
        <w:rFonts w:hint="eastAsia" w:asciiTheme="minorEastAsia" w:hAnsiTheme="minorEastAsia" w:eastAsiaTheme="minorEastAsia"/>
        <w:sz w:val="24"/>
        <w:szCs w:val="24"/>
      </w:rPr>
      <w:t xml:space="preserve">— </w:t>
    </w:r>
    <w:r>
      <w:rPr>
        <w:rStyle w:val="25"/>
        <w:rFonts w:hint="eastAsia" w:asciiTheme="minorEastAsia" w:hAnsiTheme="minorEastAsia" w:eastAsiaTheme="minorEastAsia"/>
        <w:sz w:val="24"/>
        <w:szCs w:val="24"/>
      </w:rPr>
      <w:fldChar w:fldCharType="begin"/>
    </w:r>
    <w:r>
      <w:rPr>
        <w:rStyle w:val="25"/>
        <w:rFonts w:hint="eastAsia" w:asciiTheme="minorEastAsia" w:hAnsiTheme="minorEastAsia" w:eastAsiaTheme="minorEastAsia"/>
        <w:sz w:val="24"/>
        <w:szCs w:val="24"/>
      </w:rPr>
      <w:instrText xml:space="preserve">PAGE  </w:instrText>
    </w:r>
    <w:r>
      <w:rPr>
        <w:rStyle w:val="25"/>
        <w:rFonts w:hint="eastAsia" w:asciiTheme="minorEastAsia" w:hAnsiTheme="minorEastAsia" w:eastAsiaTheme="minorEastAsia"/>
        <w:sz w:val="24"/>
        <w:szCs w:val="24"/>
      </w:rPr>
      <w:fldChar w:fldCharType="separate"/>
    </w:r>
    <w:r>
      <w:rPr>
        <w:rStyle w:val="25"/>
        <w:rFonts w:asciiTheme="minorEastAsia" w:hAnsiTheme="minorEastAsia" w:eastAsiaTheme="minorEastAsia"/>
        <w:sz w:val="24"/>
        <w:szCs w:val="24"/>
      </w:rPr>
      <w:t>11</w:t>
    </w:r>
    <w:r>
      <w:rPr>
        <w:rStyle w:val="25"/>
        <w:rFonts w:hint="eastAsia" w:asciiTheme="minorEastAsia" w:hAnsiTheme="minorEastAsia" w:eastAsiaTheme="minorEastAsia"/>
        <w:sz w:val="24"/>
        <w:szCs w:val="24"/>
      </w:rPr>
      <w:fldChar w:fldCharType="end"/>
    </w:r>
    <w:r>
      <w:rPr>
        <w:rStyle w:val="25"/>
        <w:rFonts w:hint="eastAsia" w:asciiTheme="minorEastAsia" w:hAnsiTheme="minorEastAsia" w:eastAsiaTheme="minorEastAsia"/>
        <w:sz w:val="24"/>
        <w:szCs w:val="24"/>
      </w:rPr>
      <w:t xml:space="preserve"> —</w:t>
    </w:r>
  </w:p>
  <w:p>
    <w:pPr>
      <w:pStyle w:val="1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outside" w:y="1"/>
      <w:rPr>
        <w:rStyle w:val="25"/>
      </w:rPr>
    </w:pPr>
    <w:r>
      <w:rPr>
        <w:rStyle w:val="25"/>
      </w:rPr>
      <w:fldChar w:fldCharType="begin"/>
    </w:r>
    <w:r>
      <w:rPr>
        <w:rStyle w:val="25"/>
      </w:rPr>
      <w:instrText xml:space="preserve">PAGE  </w:instrText>
    </w:r>
    <w:r>
      <w:rPr>
        <w:rStyle w:val="25"/>
      </w:rPr>
      <w:fldChar w:fldCharType="end"/>
    </w:r>
  </w:p>
  <w:p>
    <w:pPr>
      <w:pStyle w:val="1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7E9EF4"/>
    <w:multiLevelType w:val="singleLevel"/>
    <w:tmpl w:val="7B7E9EF4"/>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64"/>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mMDA0MGE5NWQ2YzNkYWIyYzczNmNhYzlkZTMyMTkifQ=="/>
    <w:docVar w:name="KSO_WPS_MARK_KEY" w:val="68ac49d7-71bb-4600-8027-81ae8f1f6d65"/>
  </w:docVars>
  <w:rsids>
    <w:rsidRoot w:val="009E3D4B"/>
    <w:rsid w:val="00002C5E"/>
    <w:rsid w:val="00006612"/>
    <w:rsid w:val="00007D8A"/>
    <w:rsid w:val="0001246F"/>
    <w:rsid w:val="0001292A"/>
    <w:rsid w:val="0001608C"/>
    <w:rsid w:val="00016689"/>
    <w:rsid w:val="0001747F"/>
    <w:rsid w:val="00020A86"/>
    <w:rsid w:val="00021897"/>
    <w:rsid w:val="000229FD"/>
    <w:rsid w:val="00022CA4"/>
    <w:rsid w:val="0002531C"/>
    <w:rsid w:val="0002734F"/>
    <w:rsid w:val="00032CB7"/>
    <w:rsid w:val="000358FE"/>
    <w:rsid w:val="00037F2D"/>
    <w:rsid w:val="000402F5"/>
    <w:rsid w:val="000409FB"/>
    <w:rsid w:val="00040A43"/>
    <w:rsid w:val="00043551"/>
    <w:rsid w:val="000435ED"/>
    <w:rsid w:val="00043BD6"/>
    <w:rsid w:val="00043E95"/>
    <w:rsid w:val="00044946"/>
    <w:rsid w:val="00045231"/>
    <w:rsid w:val="00050520"/>
    <w:rsid w:val="00050879"/>
    <w:rsid w:val="00057BE6"/>
    <w:rsid w:val="00060E54"/>
    <w:rsid w:val="00061C7E"/>
    <w:rsid w:val="00062A1D"/>
    <w:rsid w:val="00062A7A"/>
    <w:rsid w:val="00064A63"/>
    <w:rsid w:val="00066DB6"/>
    <w:rsid w:val="00067327"/>
    <w:rsid w:val="00067BD0"/>
    <w:rsid w:val="00073615"/>
    <w:rsid w:val="0007431D"/>
    <w:rsid w:val="00074D44"/>
    <w:rsid w:val="00074D53"/>
    <w:rsid w:val="000754CB"/>
    <w:rsid w:val="000760DC"/>
    <w:rsid w:val="00082385"/>
    <w:rsid w:val="0008441A"/>
    <w:rsid w:val="00084CE5"/>
    <w:rsid w:val="00084D09"/>
    <w:rsid w:val="00086490"/>
    <w:rsid w:val="0008651F"/>
    <w:rsid w:val="00086E32"/>
    <w:rsid w:val="00087D21"/>
    <w:rsid w:val="0009101B"/>
    <w:rsid w:val="000929EB"/>
    <w:rsid w:val="000953A7"/>
    <w:rsid w:val="000969FE"/>
    <w:rsid w:val="000974DD"/>
    <w:rsid w:val="000A578C"/>
    <w:rsid w:val="000A5EBD"/>
    <w:rsid w:val="000A7474"/>
    <w:rsid w:val="000B16F8"/>
    <w:rsid w:val="000B1A96"/>
    <w:rsid w:val="000B4672"/>
    <w:rsid w:val="000C0781"/>
    <w:rsid w:val="000C0DD7"/>
    <w:rsid w:val="000C25EF"/>
    <w:rsid w:val="000C50C7"/>
    <w:rsid w:val="000C5935"/>
    <w:rsid w:val="000D0A94"/>
    <w:rsid w:val="000D258E"/>
    <w:rsid w:val="000D27A7"/>
    <w:rsid w:val="000D5004"/>
    <w:rsid w:val="000D7F23"/>
    <w:rsid w:val="000E0031"/>
    <w:rsid w:val="000E0A0D"/>
    <w:rsid w:val="000E6D7A"/>
    <w:rsid w:val="000F17D8"/>
    <w:rsid w:val="000F59DB"/>
    <w:rsid w:val="000F5E1E"/>
    <w:rsid w:val="000F6AD1"/>
    <w:rsid w:val="000F6E99"/>
    <w:rsid w:val="000F7141"/>
    <w:rsid w:val="000F7C4D"/>
    <w:rsid w:val="000F7E65"/>
    <w:rsid w:val="001004A2"/>
    <w:rsid w:val="001032E9"/>
    <w:rsid w:val="00105A4F"/>
    <w:rsid w:val="00105A70"/>
    <w:rsid w:val="00106399"/>
    <w:rsid w:val="00106748"/>
    <w:rsid w:val="001078B3"/>
    <w:rsid w:val="001127EE"/>
    <w:rsid w:val="001132FE"/>
    <w:rsid w:val="001133B2"/>
    <w:rsid w:val="00114C07"/>
    <w:rsid w:val="00115A54"/>
    <w:rsid w:val="00115FC9"/>
    <w:rsid w:val="001179A0"/>
    <w:rsid w:val="00121D12"/>
    <w:rsid w:val="00122E9B"/>
    <w:rsid w:val="00123081"/>
    <w:rsid w:val="00123E01"/>
    <w:rsid w:val="00125056"/>
    <w:rsid w:val="00130B2D"/>
    <w:rsid w:val="001311DE"/>
    <w:rsid w:val="00133AC0"/>
    <w:rsid w:val="00135973"/>
    <w:rsid w:val="00135AAF"/>
    <w:rsid w:val="00136D51"/>
    <w:rsid w:val="001376B3"/>
    <w:rsid w:val="001378C9"/>
    <w:rsid w:val="00137EF9"/>
    <w:rsid w:val="0014060B"/>
    <w:rsid w:val="00143B57"/>
    <w:rsid w:val="001461F5"/>
    <w:rsid w:val="00146AB3"/>
    <w:rsid w:val="00147F41"/>
    <w:rsid w:val="00150961"/>
    <w:rsid w:val="00152A47"/>
    <w:rsid w:val="00154B69"/>
    <w:rsid w:val="00154B84"/>
    <w:rsid w:val="0015553C"/>
    <w:rsid w:val="001605D4"/>
    <w:rsid w:val="00160767"/>
    <w:rsid w:val="00161F17"/>
    <w:rsid w:val="00162528"/>
    <w:rsid w:val="001659A1"/>
    <w:rsid w:val="00166550"/>
    <w:rsid w:val="001666BE"/>
    <w:rsid w:val="00173D80"/>
    <w:rsid w:val="00177671"/>
    <w:rsid w:val="001814C6"/>
    <w:rsid w:val="00181EB2"/>
    <w:rsid w:val="0018268B"/>
    <w:rsid w:val="0019021B"/>
    <w:rsid w:val="00190AED"/>
    <w:rsid w:val="00191BDB"/>
    <w:rsid w:val="00194566"/>
    <w:rsid w:val="0019535A"/>
    <w:rsid w:val="00195726"/>
    <w:rsid w:val="00196EF8"/>
    <w:rsid w:val="001A0954"/>
    <w:rsid w:val="001A2584"/>
    <w:rsid w:val="001A2E9A"/>
    <w:rsid w:val="001A5A25"/>
    <w:rsid w:val="001A621A"/>
    <w:rsid w:val="001A7080"/>
    <w:rsid w:val="001A7ECF"/>
    <w:rsid w:val="001B1590"/>
    <w:rsid w:val="001B43E4"/>
    <w:rsid w:val="001B78FE"/>
    <w:rsid w:val="001C0752"/>
    <w:rsid w:val="001C1F09"/>
    <w:rsid w:val="001D020E"/>
    <w:rsid w:val="001D16A8"/>
    <w:rsid w:val="001D3220"/>
    <w:rsid w:val="001D472F"/>
    <w:rsid w:val="001D7E45"/>
    <w:rsid w:val="001E0E84"/>
    <w:rsid w:val="001F118B"/>
    <w:rsid w:val="001F22EE"/>
    <w:rsid w:val="001F276E"/>
    <w:rsid w:val="001F6547"/>
    <w:rsid w:val="001F69D5"/>
    <w:rsid w:val="001F7368"/>
    <w:rsid w:val="002018DA"/>
    <w:rsid w:val="00202FC9"/>
    <w:rsid w:val="00203559"/>
    <w:rsid w:val="00211819"/>
    <w:rsid w:val="002151CF"/>
    <w:rsid w:val="0021567E"/>
    <w:rsid w:val="002158A3"/>
    <w:rsid w:val="002162F5"/>
    <w:rsid w:val="00216E0A"/>
    <w:rsid w:val="00220B0B"/>
    <w:rsid w:val="002215A1"/>
    <w:rsid w:val="00221D6A"/>
    <w:rsid w:val="00222601"/>
    <w:rsid w:val="002229C8"/>
    <w:rsid w:val="002231F8"/>
    <w:rsid w:val="00224C39"/>
    <w:rsid w:val="0022700D"/>
    <w:rsid w:val="002273EF"/>
    <w:rsid w:val="00230208"/>
    <w:rsid w:val="002316F7"/>
    <w:rsid w:val="002325E5"/>
    <w:rsid w:val="00232BB3"/>
    <w:rsid w:val="0023342A"/>
    <w:rsid w:val="002343A9"/>
    <w:rsid w:val="0023620E"/>
    <w:rsid w:val="00237024"/>
    <w:rsid w:val="00240467"/>
    <w:rsid w:val="00241BEA"/>
    <w:rsid w:val="0024402C"/>
    <w:rsid w:val="00245DC6"/>
    <w:rsid w:val="00255281"/>
    <w:rsid w:val="00260519"/>
    <w:rsid w:val="00261D9B"/>
    <w:rsid w:val="0026216D"/>
    <w:rsid w:val="00265A3A"/>
    <w:rsid w:val="002663C3"/>
    <w:rsid w:val="002706CA"/>
    <w:rsid w:val="00270B52"/>
    <w:rsid w:val="002710E9"/>
    <w:rsid w:val="00271717"/>
    <w:rsid w:val="00272244"/>
    <w:rsid w:val="002740C8"/>
    <w:rsid w:val="00276B8A"/>
    <w:rsid w:val="00276EFE"/>
    <w:rsid w:val="00277367"/>
    <w:rsid w:val="00280010"/>
    <w:rsid w:val="002805A0"/>
    <w:rsid w:val="00284B53"/>
    <w:rsid w:val="00285B7D"/>
    <w:rsid w:val="00287A3A"/>
    <w:rsid w:val="002921AA"/>
    <w:rsid w:val="00292C36"/>
    <w:rsid w:val="002930C9"/>
    <w:rsid w:val="002942D7"/>
    <w:rsid w:val="00294C09"/>
    <w:rsid w:val="00297B24"/>
    <w:rsid w:val="002A0430"/>
    <w:rsid w:val="002A04FC"/>
    <w:rsid w:val="002A1B5B"/>
    <w:rsid w:val="002A1B7F"/>
    <w:rsid w:val="002A32F9"/>
    <w:rsid w:val="002A38E3"/>
    <w:rsid w:val="002A6CE7"/>
    <w:rsid w:val="002A6CEB"/>
    <w:rsid w:val="002A7A41"/>
    <w:rsid w:val="002B02BC"/>
    <w:rsid w:val="002B0ACC"/>
    <w:rsid w:val="002B2E6D"/>
    <w:rsid w:val="002B3AA2"/>
    <w:rsid w:val="002B3E4D"/>
    <w:rsid w:val="002C357F"/>
    <w:rsid w:val="002D1A33"/>
    <w:rsid w:val="002D1F95"/>
    <w:rsid w:val="002D2151"/>
    <w:rsid w:val="002D36FB"/>
    <w:rsid w:val="002D5B66"/>
    <w:rsid w:val="002D66AB"/>
    <w:rsid w:val="002D76D6"/>
    <w:rsid w:val="002E1CCC"/>
    <w:rsid w:val="002E25D0"/>
    <w:rsid w:val="002E2BFC"/>
    <w:rsid w:val="002E3C84"/>
    <w:rsid w:val="002E3F44"/>
    <w:rsid w:val="002E40F9"/>
    <w:rsid w:val="002E6DEC"/>
    <w:rsid w:val="002E7A99"/>
    <w:rsid w:val="002F26FE"/>
    <w:rsid w:val="002F46D6"/>
    <w:rsid w:val="002F4D4E"/>
    <w:rsid w:val="002F595E"/>
    <w:rsid w:val="002F6CC2"/>
    <w:rsid w:val="002F70A1"/>
    <w:rsid w:val="00301602"/>
    <w:rsid w:val="00303F7B"/>
    <w:rsid w:val="00304537"/>
    <w:rsid w:val="00304F90"/>
    <w:rsid w:val="0030594E"/>
    <w:rsid w:val="00305E21"/>
    <w:rsid w:val="003138B3"/>
    <w:rsid w:val="00320870"/>
    <w:rsid w:val="00321647"/>
    <w:rsid w:val="0033127A"/>
    <w:rsid w:val="00332204"/>
    <w:rsid w:val="00332558"/>
    <w:rsid w:val="0033339F"/>
    <w:rsid w:val="0033483F"/>
    <w:rsid w:val="00340CEF"/>
    <w:rsid w:val="00340ECF"/>
    <w:rsid w:val="003419CD"/>
    <w:rsid w:val="0034449B"/>
    <w:rsid w:val="00345BB8"/>
    <w:rsid w:val="0034781B"/>
    <w:rsid w:val="0034792A"/>
    <w:rsid w:val="00347E39"/>
    <w:rsid w:val="0035063C"/>
    <w:rsid w:val="0035265A"/>
    <w:rsid w:val="00356F63"/>
    <w:rsid w:val="00360F76"/>
    <w:rsid w:val="00361906"/>
    <w:rsid w:val="00362D9C"/>
    <w:rsid w:val="00365A51"/>
    <w:rsid w:val="00365F50"/>
    <w:rsid w:val="00366B59"/>
    <w:rsid w:val="00370DB0"/>
    <w:rsid w:val="00371813"/>
    <w:rsid w:val="003718C8"/>
    <w:rsid w:val="003760A2"/>
    <w:rsid w:val="003760B9"/>
    <w:rsid w:val="00377119"/>
    <w:rsid w:val="003811F2"/>
    <w:rsid w:val="00382354"/>
    <w:rsid w:val="00382BDC"/>
    <w:rsid w:val="00382E17"/>
    <w:rsid w:val="00382E95"/>
    <w:rsid w:val="00383334"/>
    <w:rsid w:val="003844E4"/>
    <w:rsid w:val="00385A18"/>
    <w:rsid w:val="00385A64"/>
    <w:rsid w:val="00387D81"/>
    <w:rsid w:val="00390E59"/>
    <w:rsid w:val="00392A57"/>
    <w:rsid w:val="00392DCC"/>
    <w:rsid w:val="00393CB6"/>
    <w:rsid w:val="003962E4"/>
    <w:rsid w:val="003A106D"/>
    <w:rsid w:val="003A1444"/>
    <w:rsid w:val="003A1EE0"/>
    <w:rsid w:val="003A541D"/>
    <w:rsid w:val="003A56C7"/>
    <w:rsid w:val="003A58FE"/>
    <w:rsid w:val="003B0D62"/>
    <w:rsid w:val="003B0E57"/>
    <w:rsid w:val="003B2E7D"/>
    <w:rsid w:val="003B3384"/>
    <w:rsid w:val="003B4254"/>
    <w:rsid w:val="003B4DE7"/>
    <w:rsid w:val="003B54C0"/>
    <w:rsid w:val="003B5CE0"/>
    <w:rsid w:val="003C41D1"/>
    <w:rsid w:val="003C42A2"/>
    <w:rsid w:val="003C4A50"/>
    <w:rsid w:val="003C4E28"/>
    <w:rsid w:val="003C4F40"/>
    <w:rsid w:val="003C5678"/>
    <w:rsid w:val="003C5F19"/>
    <w:rsid w:val="003C6ADC"/>
    <w:rsid w:val="003C7B3F"/>
    <w:rsid w:val="003D0273"/>
    <w:rsid w:val="003D153D"/>
    <w:rsid w:val="003D4B26"/>
    <w:rsid w:val="003E0817"/>
    <w:rsid w:val="003E0E1C"/>
    <w:rsid w:val="003E2E2D"/>
    <w:rsid w:val="003E3751"/>
    <w:rsid w:val="003E56FC"/>
    <w:rsid w:val="003F3DFE"/>
    <w:rsid w:val="003F4DCD"/>
    <w:rsid w:val="00400F5A"/>
    <w:rsid w:val="0040403F"/>
    <w:rsid w:val="0040429C"/>
    <w:rsid w:val="00405F53"/>
    <w:rsid w:val="004108B7"/>
    <w:rsid w:val="004135ED"/>
    <w:rsid w:val="00413B9A"/>
    <w:rsid w:val="004167D9"/>
    <w:rsid w:val="00417633"/>
    <w:rsid w:val="00420FB2"/>
    <w:rsid w:val="004219BF"/>
    <w:rsid w:val="00422F10"/>
    <w:rsid w:val="00423558"/>
    <w:rsid w:val="00423925"/>
    <w:rsid w:val="00423960"/>
    <w:rsid w:val="00423E38"/>
    <w:rsid w:val="00425CF1"/>
    <w:rsid w:val="00425F5B"/>
    <w:rsid w:val="00426269"/>
    <w:rsid w:val="00426E5B"/>
    <w:rsid w:val="00427838"/>
    <w:rsid w:val="00432341"/>
    <w:rsid w:val="0043241A"/>
    <w:rsid w:val="0043244E"/>
    <w:rsid w:val="00433645"/>
    <w:rsid w:val="0043499E"/>
    <w:rsid w:val="004354C4"/>
    <w:rsid w:val="0043613D"/>
    <w:rsid w:val="00437EE1"/>
    <w:rsid w:val="00440A9B"/>
    <w:rsid w:val="00441726"/>
    <w:rsid w:val="00441B05"/>
    <w:rsid w:val="00445172"/>
    <w:rsid w:val="00445D08"/>
    <w:rsid w:val="0045064B"/>
    <w:rsid w:val="00450AE7"/>
    <w:rsid w:val="00451943"/>
    <w:rsid w:val="00454A1A"/>
    <w:rsid w:val="0045572F"/>
    <w:rsid w:val="00455BA5"/>
    <w:rsid w:val="00461B38"/>
    <w:rsid w:val="00463F75"/>
    <w:rsid w:val="004673A3"/>
    <w:rsid w:val="00472C89"/>
    <w:rsid w:val="00473179"/>
    <w:rsid w:val="00474E7F"/>
    <w:rsid w:val="00474F94"/>
    <w:rsid w:val="0047694A"/>
    <w:rsid w:val="00476F65"/>
    <w:rsid w:val="0048023A"/>
    <w:rsid w:val="0048057C"/>
    <w:rsid w:val="00482979"/>
    <w:rsid w:val="00484F11"/>
    <w:rsid w:val="0048586B"/>
    <w:rsid w:val="00486A65"/>
    <w:rsid w:val="00486EA9"/>
    <w:rsid w:val="004900EE"/>
    <w:rsid w:val="00490239"/>
    <w:rsid w:val="004963FC"/>
    <w:rsid w:val="004968B7"/>
    <w:rsid w:val="00497517"/>
    <w:rsid w:val="004A0642"/>
    <w:rsid w:val="004A1804"/>
    <w:rsid w:val="004A18D8"/>
    <w:rsid w:val="004A2BDF"/>
    <w:rsid w:val="004A3E58"/>
    <w:rsid w:val="004A6028"/>
    <w:rsid w:val="004A77D6"/>
    <w:rsid w:val="004B0850"/>
    <w:rsid w:val="004B498B"/>
    <w:rsid w:val="004B5B42"/>
    <w:rsid w:val="004B6055"/>
    <w:rsid w:val="004B60BD"/>
    <w:rsid w:val="004B6B10"/>
    <w:rsid w:val="004C14A6"/>
    <w:rsid w:val="004C342A"/>
    <w:rsid w:val="004C7F35"/>
    <w:rsid w:val="004D0BBE"/>
    <w:rsid w:val="004D1906"/>
    <w:rsid w:val="004D2958"/>
    <w:rsid w:val="004D325D"/>
    <w:rsid w:val="004D3ED8"/>
    <w:rsid w:val="004D4286"/>
    <w:rsid w:val="004D79C7"/>
    <w:rsid w:val="004E345C"/>
    <w:rsid w:val="004E4243"/>
    <w:rsid w:val="004E6C06"/>
    <w:rsid w:val="004F0095"/>
    <w:rsid w:val="004F02AB"/>
    <w:rsid w:val="004F0584"/>
    <w:rsid w:val="004F0D30"/>
    <w:rsid w:val="004F48A4"/>
    <w:rsid w:val="004F5008"/>
    <w:rsid w:val="004F5555"/>
    <w:rsid w:val="004F5BFB"/>
    <w:rsid w:val="004F6821"/>
    <w:rsid w:val="004F6C1E"/>
    <w:rsid w:val="004F7CC0"/>
    <w:rsid w:val="004F7EAF"/>
    <w:rsid w:val="005004C6"/>
    <w:rsid w:val="005022F8"/>
    <w:rsid w:val="005034B7"/>
    <w:rsid w:val="00503766"/>
    <w:rsid w:val="00505173"/>
    <w:rsid w:val="005072AD"/>
    <w:rsid w:val="00507B2B"/>
    <w:rsid w:val="0051010A"/>
    <w:rsid w:val="00513E64"/>
    <w:rsid w:val="00514C09"/>
    <w:rsid w:val="005153A0"/>
    <w:rsid w:val="00515979"/>
    <w:rsid w:val="005201C0"/>
    <w:rsid w:val="00520C1F"/>
    <w:rsid w:val="00526614"/>
    <w:rsid w:val="00530A9B"/>
    <w:rsid w:val="00531630"/>
    <w:rsid w:val="00532916"/>
    <w:rsid w:val="005334E4"/>
    <w:rsid w:val="00537516"/>
    <w:rsid w:val="00537D41"/>
    <w:rsid w:val="005404B9"/>
    <w:rsid w:val="00542520"/>
    <w:rsid w:val="005436B7"/>
    <w:rsid w:val="00543960"/>
    <w:rsid w:val="00545AE5"/>
    <w:rsid w:val="00547598"/>
    <w:rsid w:val="00550C22"/>
    <w:rsid w:val="00552675"/>
    <w:rsid w:val="0055508C"/>
    <w:rsid w:val="00555319"/>
    <w:rsid w:val="005571BA"/>
    <w:rsid w:val="00562F63"/>
    <w:rsid w:val="005630F4"/>
    <w:rsid w:val="005638B3"/>
    <w:rsid w:val="00563B3C"/>
    <w:rsid w:val="0056594A"/>
    <w:rsid w:val="00566C95"/>
    <w:rsid w:val="00570159"/>
    <w:rsid w:val="0057099E"/>
    <w:rsid w:val="00571239"/>
    <w:rsid w:val="005738CA"/>
    <w:rsid w:val="00573C65"/>
    <w:rsid w:val="00574979"/>
    <w:rsid w:val="00575555"/>
    <w:rsid w:val="0057701D"/>
    <w:rsid w:val="00577450"/>
    <w:rsid w:val="005778F3"/>
    <w:rsid w:val="00582195"/>
    <w:rsid w:val="00582D6F"/>
    <w:rsid w:val="0058395B"/>
    <w:rsid w:val="00583B06"/>
    <w:rsid w:val="00584D02"/>
    <w:rsid w:val="00586F1B"/>
    <w:rsid w:val="00593CDE"/>
    <w:rsid w:val="00593F4C"/>
    <w:rsid w:val="00595359"/>
    <w:rsid w:val="00597A01"/>
    <w:rsid w:val="00597D97"/>
    <w:rsid w:val="005A1528"/>
    <w:rsid w:val="005A1817"/>
    <w:rsid w:val="005A1C41"/>
    <w:rsid w:val="005A265A"/>
    <w:rsid w:val="005A2DA1"/>
    <w:rsid w:val="005A3F97"/>
    <w:rsid w:val="005A440C"/>
    <w:rsid w:val="005B186F"/>
    <w:rsid w:val="005B1C35"/>
    <w:rsid w:val="005B3AB2"/>
    <w:rsid w:val="005B4937"/>
    <w:rsid w:val="005B4E1C"/>
    <w:rsid w:val="005B76F0"/>
    <w:rsid w:val="005B77E1"/>
    <w:rsid w:val="005C0242"/>
    <w:rsid w:val="005C093C"/>
    <w:rsid w:val="005C12D7"/>
    <w:rsid w:val="005C3C4E"/>
    <w:rsid w:val="005C45D6"/>
    <w:rsid w:val="005C48B4"/>
    <w:rsid w:val="005C5383"/>
    <w:rsid w:val="005C77F8"/>
    <w:rsid w:val="005C79A9"/>
    <w:rsid w:val="005D0938"/>
    <w:rsid w:val="005D4937"/>
    <w:rsid w:val="005D5198"/>
    <w:rsid w:val="005D6595"/>
    <w:rsid w:val="005D72EB"/>
    <w:rsid w:val="005D758F"/>
    <w:rsid w:val="005E2F2D"/>
    <w:rsid w:val="005E4DAF"/>
    <w:rsid w:val="005E5E0F"/>
    <w:rsid w:val="005E6D6D"/>
    <w:rsid w:val="005F17D4"/>
    <w:rsid w:val="005F2870"/>
    <w:rsid w:val="005F3A0E"/>
    <w:rsid w:val="005F5F9F"/>
    <w:rsid w:val="005F68BF"/>
    <w:rsid w:val="005F71BA"/>
    <w:rsid w:val="0060002B"/>
    <w:rsid w:val="00602EF3"/>
    <w:rsid w:val="0060516F"/>
    <w:rsid w:val="006051F8"/>
    <w:rsid w:val="00605A19"/>
    <w:rsid w:val="0061318B"/>
    <w:rsid w:val="006135FF"/>
    <w:rsid w:val="006136A1"/>
    <w:rsid w:val="00613E22"/>
    <w:rsid w:val="00615698"/>
    <w:rsid w:val="00617883"/>
    <w:rsid w:val="00620528"/>
    <w:rsid w:val="00622773"/>
    <w:rsid w:val="00626042"/>
    <w:rsid w:val="00627EA8"/>
    <w:rsid w:val="00627FD4"/>
    <w:rsid w:val="00630C54"/>
    <w:rsid w:val="0063500F"/>
    <w:rsid w:val="00635CFC"/>
    <w:rsid w:val="00640FF8"/>
    <w:rsid w:val="00642E39"/>
    <w:rsid w:val="006431CC"/>
    <w:rsid w:val="006435C0"/>
    <w:rsid w:val="0064387D"/>
    <w:rsid w:val="00644344"/>
    <w:rsid w:val="006462E7"/>
    <w:rsid w:val="00646D95"/>
    <w:rsid w:val="0064795E"/>
    <w:rsid w:val="006534BC"/>
    <w:rsid w:val="00655779"/>
    <w:rsid w:val="0065663E"/>
    <w:rsid w:val="00663F38"/>
    <w:rsid w:val="006679BB"/>
    <w:rsid w:val="00667F2E"/>
    <w:rsid w:val="00676A24"/>
    <w:rsid w:val="00676B3B"/>
    <w:rsid w:val="00680905"/>
    <w:rsid w:val="006813C8"/>
    <w:rsid w:val="006816EC"/>
    <w:rsid w:val="0068575B"/>
    <w:rsid w:val="00691EA6"/>
    <w:rsid w:val="0069400E"/>
    <w:rsid w:val="00694EEF"/>
    <w:rsid w:val="00695E6B"/>
    <w:rsid w:val="00697759"/>
    <w:rsid w:val="00697871"/>
    <w:rsid w:val="006A098C"/>
    <w:rsid w:val="006A2C7B"/>
    <w:rsid w:val="006A2C8D"/>
    <w:rsid w:val="006A32AB"/>
    <w:rsid w:val="006A3A73"/>
    <w:rsid w:val="006A4AA1"/>
    <w:rsid w:val="006A4D6E"/>
    <w:rsid w:val="006A4E78"/>
    <w:rsid w:val="006A5CD9"/>
    <w:rsid w:val="006A6804"/>
    <w:rsid w:val="006A6FD1"/>
    <w:rsid w:val="006B0A37"/>
    <w:rsid w:val="006B115A"/>
    <w:rsid w:val="006B119D"/>
    <w:rsid w:val="006B454D"/>
    <w:rsid w:val="006B45A4"/>
    <w:rsid w:val="006C0D9B"/>
    <w:rsid w:val="006C55E8"/>
    <w:rsid w:val="006D1978"/>
    <w:rsid w:val="006D23A2"/>
    <w:rsid w:val="006D3636"/>
    <w:rsid w:val="006D4B51"/>
    <w:rsid w:val="006D599F"/>
    <w:rsid w:val="006D6EC4"/>
    <w:rsid w:val="006F1FC6"/>
    <w:rsid w:val="006F3271"/>
    <w:rsid w:val="006F3F73"/>
    <w:rsid w:val="006F592E"/>
    <w:rsid w:val="00700A8D"/>
    <w:rsid w:val="00704409"/>
    <w:rsid w:val="00704E04"/>
    <w:rsid w:val="00705A30"/>
    <w:rsid w:val="007068E6"/>
    <w:rsid w:val="0071005C"/>
    <w:rsid w:val="00710EC0"/>
    <w:rsid w:val="00712DD9"/>
    <w:rsid w:val="00712F3D"/>
    <w:rsid w:val="00713AC2"/>
    <w:rsid w:val="007155B1"/>
    <w:rsid w:val="00716F48"/>
    <w:rsid w:val="007172EF"/>
    <w:rsid w:val="00721D42"/>
    <w:rsid w:val="0072655D"/>
    <w:rsid w:val="00726B01"/>
    <w:rsid w:val="00727972"/>
    <w:rsid w:val="00727B40"/>
    <w:rsid w:val="0073490B"/>
    <w:rsid w:val="00735167"/>
    <w:rsid w:val="007363EA"/>
    <w:rsid w:val="007407CC"/>
    <w:rsid w:val="00741727"/>
    <w:rsid w:val="007418BC"/>
    <w:rsid w:val="00741DBB"/>
    <w:rsid w:val="007422C0"/>
    <w:rsid w:val="007434AD"/>
    <w:rsid w:val="00744186"/>
    <w:rsid w:val="0074461C"/>
    <w:rsid w:val="00751033"/>
    <w:rsid w:val="00751A3F"/>
    <w:rsid w:val="00752425"/>
    <w:rsid w:val="007529BA"/>
    <w:rsid w:val="007533F0"/>
    <w:rsid w:val="007558E7"/>
    <w:rsid w:val="00760EFA"/>
    <w:rsid w:val="00761FF3"/>
    <w:rsid w:val="0076259F"/>
    <w:rsid w:val="00763BA2"/>
    <w:rsid w:val="00765393"/>
    <w:rsid w:val="007669D4"/>
    <w:rsid w:val="007711FC"/>
    <w:rsid w:val="00771450"/>
    <w:rsid w:val="0077167F"/>
    <w:rsid w:val="00773712"/>
    <w:rsid w:val="007811C2"/>
    <w:rsid w:val="00782F69"/>
    <w:rsid w:val="007852DB"/>
    <w:rsid w:val="007859B9"/>
    <w:rsid w:val="00787E3C"/>
    <w:rsid w:val="007900D0"/>
    <w:rsid w:val="0079046B"/>
    <w:rsid w:val="00791F8A"/>
    <w:rsid w:val="007929F4"/>
    <w:rsid w:val="00793592"/>
    <w:rsid w:val="007947BF"/>
    <w:rsid w:val="007956E2"/>
    <w:rsid w:val="00795AE5"/>
    <w:rsid w:val="00795C92"/>
    <w:rsid w:val="007963FD"/>
    <w:rsid w:val="007A1053"/>
    <w:rsid w:val="007A6240"/>
    <w:rsid w:val="007A68FC"/>
    <w:rsid w:val="007A7573"/>
    <w:rsid w:val="007B3149"/>
    <w:rsid w:val="007B433E"/>
    <w:rsid w:val="007B4440"/>
    <w:rsid w:val="007B4E01"/>
    <w:rsid w:val="007B7F9C"/>
    <w:rsid w:val="007C0021"/>
    <w:rsid w:val="007C18DB"/>
    <w:rsid w:val="007C50B6"/>
    <w:rsid w:val="007C6FB7"/>
    <w:rsid w:val="007C7744"/>
    <w:rsid w:val="007D4882"/>
    <w:rsid w:val="007D6DB6"/>
    <w:rsid w:val="007D7781"/>
    <w:rsid w:val="007E0392"/>
    <w:rsid w:val="007E0945"/>
    <w:rsid w:val="007E3AC4"/>
    <w:rsid w:val="007E7367"/>
    <w:rsid w:val="007F06B5"/>
    <w:rsid w:val="007F1D46"/>
    <w:rsid w:val="007F24C5"/>
    <w:rsid w:val="007F3A54"/>
    <w:rsid w:val="007F4F48"/>
    <w:rsid w:val="007F5269"/>
    <w:rsid w:val="00800824"/>
    <w:rsid w:val="00801614"/>
    <w:rsid w:val="00802016"/>
    <w:rsid w:val="00803A8A"/>
    <w:rsid w:val="00803D0D"/>
    <w:rsid w:val="00806921"/>
    <w:rsid w:val="00807DF0"/>
    <w:rsid w:val="00811881"/>
    <w:rsid w:val="00811DC4"/>
    <w:rsid w:val="00811E50"/>
    <w:rsid w:val="008132F2"/>
    <w:rsid w:val="0081336D"/>
    <w:rsid w:val="00813BBB"/>
    <w:rsid w:val="00814C14"/>
    <w:rsid w:val="008170BA"/>
    <w:rsid w:val="00821586"/>
    <w:rsid w:val="0082162E"/>
    <w:rsid w:val="00822133"/>
    <w:rsid w:val="0082442E"/>
    <w:rsid w:val="00824ACB"/>
    <w:rsid w:val="00825E37"/>
    <w:rsid w:val="00826660"/>
    <w:rsid w:val="00826BF7"/>
    <w:rsid w:val="008273A8"/>
    <w:rsid w:val="00830376"/>
    <w:rsid w:val="0083293C"/>
    <w:rsid w:val="008335A9"/>
    <w:rsid w:val="008346CE"/>
    <w:rsid w:val="0083558D"/>
    <w:rsid w:val="0083590B"/>
    <w:rsid w:val="008379B9"/>
    <w:rsid w:val="00840B20"/>
    <w:rsid w:val="0084556D"/>
    <w:rsid w:val="00847336"/>
    <w:rsid w:val="00847948"/>
    <w:rsid w:val="00847A14"/>
    <w:rsid w:val="008525BC"/>
    <w:rsid w:val="00853F2A"/>
    <w:rsid w:val="008542D7"/>
    <w:rsid w:val="0086052A"/>
    <w:rsid w:val="00860F7E"/>
    <w:rsid w:val="008610AE"/>
    <w:rsid w:val="00861334"/>
    <w:rsid w:val="00864E68"/>
    <w:rsid w:val="008655B4"/>
    <w:rsid w:val="00865734"/>
    <w:rsid w:val="008658BF"/>
    <w:rsid w:val="0087115D"/>
    <w:rsid w:val="0087293F"/>
    <w:rsid w:val="0087299D"/>
    <w:rsid w:val="008759E2"/>
    <w:rsid w:val="00876878"/>
    <w:rsid w:val="00880CA2"/>
    <w:rsid w:val="0088377D"/>
    <w:rsid w:val="00884728"/>
    <w:rsid w:val="00884E17"/>
    <w:rsid w:val="008861D0"/>
    <w:rsid w:val="008862EA"/>
    <w:rsid w:val="008864FF"/>
    <w:rsid w:val="0088656B"/>
    <w:rsid w:val="00886C27"/>
    <w:rsid w:val="00891681"/>
    <w:rsid w:val="00894072"/>
    <w:rsid w:val="00895DA6"/>
    <w:rsid w:val="008978C9"/>
    <w:rsid w:val="00897C3C"/>
    <w:rsid w:val="008A0BBC"/>
    <w:rsid w:val="008A1C42"/>
    <w:rsid w:val="008A3AD0"/>
    <w:rsid w:val="008A6EE2"/>
    <w:rsid w:val="008B11B0"/>
    <w:rsid w:val="008B4008"/>
    <w:rsid w:val="008B4B94"/>
    <w:rsid w:val="008C29CD"/>
    <w:rsid w:val="008C5500"/>
    <w:rsid w:val="008C593F"/>
    <w:rsid w:val="008C72E9"/>
    <w:rsid w:val="008C797F"/>
    <w:rsid w:val="008C7FFA"/>
    <w:rsid w:val="008D2300"/>
    <w:rsid w:val="008D343B"/>
    <w:rsid w:val="008D5C26"/>
    <w:rsid w:val="008D6B92"/>
    <w:rsid w:val="008D769D"/>
    <w:rsid w:val="008D7C53"/>
    <w:rsid w:val="008E1F39"/>
    <w:rsid w:val="008E3C1E"/>
    <w:rsid w:val="008E6235"/>
    <w:rsid w:val="008E6786"/>
    <w:rsid w:val="008E679A"/>
    <w:rsid w:val="008E6AA3"/>
    <w:rsid w:val="008F01B0"/>
    <w:rsid w:val="008F0214"/>
    <w:rsid w:val="008F0E42"/>
    <w:rsid w:val="008F165E"/>
    <w:rsid w:val="008F3866"/>
    <w:rsid w:val="008F7540"/>
    <w:rsid w:val="008F7EDC"/>
    <w:rsid w:val="009044B8"/>
    <w:rsid w:val="0090542C"/>
    <w:rsid w:val="009054C7"/>
    <w:rsid w:val="0090686C"/>
    <w:rsid w:val="00906AD2"/>
    <w:rsid w:val="00907594"/>
    <w:rsid w:val="009118F8"/>
    <w:rsid w:val="00911EC4"/>
    <w:rsid w:val="009124DA"/>
    <w:rsid w:val="00912DD1"/>
    <w:rsid w:val="00913485"/>
    <w:rsid w:val="00914FD3"/>
    <w:rsid w:val="009200FF"/>
    <w:rsid w:val="009203F6"/>
    <w:rsid w:val="009223EC"/>
    <w:rsid w:val="00922A18"/>
    <w:rsid w:val="009245FB"/>
    <w:rsid w:val="00924C6E"/>
    <w:rsid w:val="00926332"/>
    <w:rsid w:val="009278A2"/>
    <w:rsid w:val="00927B42"/>
    <w:rsid w:val="00930D80"/>
    <w:rsid w:val="00931705"/>
    <w:rsid w:val="009339ED"/>
    <w:rsid w:val="009360A7"/>
    <w:rsid w:val="00937F2C"/>
    <w:rsid w:val="009410BA"/>
    <w:rsid w:val="00943798"/>
    <w:rsid w:val="00943E74"/>
    <w:rsid w:val="00943EA9"/>
    <w:rsid w:val="00950D92"/>
    <w:rsid w:val="0095209F"/>
    <w:rsid w:val="0095259B"/>
    <w:rsid w:val="00954EDA"/>
    <w:rsid w:val="00955237"/>
    <w:rsid w:val="009555CE"/>
    <w:rsid w:val="00956925"/>
    <w:rsid w:val="009615AA"/>
    <w:rsid w:val="00961C2B"/>
    <w:rsid w:val="0096496C"/>
    <w:rsid w:val="00964A1F"/>
    <w:rsid w:val="00965561"/>
    <w:rsid w:val="00966945"/>
    <w:rsid w:val="0097155B"/>
    <w:rsid w:val="00976095"/>
    <w:rsid w:val="00983693"/>
    <w:rsid w:val="00983ED0"/>
    <w:rsid w:val="00984C09"/>
    <w:rsid w:val="00984EBB"/>
    <w:rsid w:val="00990CDC"/>
    <w:rsid w:val="00991545"/>
    <w:rsid w:val="00991DD8"/>
    <w:rsid w:val="009932FF"/>
    <w:rsid w:val="00993548"/>
    <w:rsid w:val="00995D87"/>
    <w:rsid w:val="00996FB8"/>
    <w:rsid w:val="009A02F7"/>
    <w:rsid w:val="009A3E9C"/>
    <w:rsid w:val="009A6730"/>
    <w:rsid w:val="009B0E6A"/>
    <w:rsid w:val="009B2B85"/>
    <w:rsid w:val="009B32DA"/>
    <w:rsid w:val="009B364A"/>
    <w:rsid w:val="009B44D8"/>
    <w:rsid w:val="009B4B49"/>
    <w:rsid w:val="009C0D55"/>
    <w:rsid w:val="009C1555"/>
    <w:rsid w:val="009C469C"/>
    <w:rsid w:val="009C4BBC"/>
    <w:rsid w:val="009C5CD2"/>
    <w:rsid w:val="009C6406"/>
    <w:rsid w:val="009C77F5"/>
    <w:rsid w:val="009D1B34"/>
    <w:rsid w:val="009D1E74"/>
    <w:rsid w:val="009D246B"/>
    <w:rsid w:val="009D6571"/>
    <w:rsid w:val="009D6ED6"/>
    <w:rsid w:val="009E2B31"/>
    <w:rsid w:val="009E3D4B"/>
    <w:rsid w:val="009E41D6"/>
    <w:rsid w:val="009E5B30"/>
    <w:rsid w:val="009E6327"/>
    <w:rsid w:val="009E6FC5"/>
    <w:rsid w:val="009E7133"/>
    <w:rsid w:val="009F2A26"/>
    <w:rsid w:val="009F7083"/>
    <w:rsid w:val="00A002D7"/>
    <w:rsid w:val="00A0134E"/>
    <w:rsid w:val="00A014D0"/>
    <w:rsid w:val="00A033BD"/>
    <w:rsid w:val="00A0659B"/>
    <w:rsid w:val="00A0739C"/>
    <w:rsid w:val="00A07B9D"/>
    <w:rsid w:val="00A108C3"/>
    <w:rsid w:val="00A1396E"/>
    <w:rsid w:val="00A149F2"/>
    <w:rsid w:val="00A1695E"/>
    <w:rsid w:val="00A17303"/>
    <w:rsid w:val="00A17493"/>
    <w:rsid w:val="00A20B4E"/>
    <w:rsid w:val="00A24E30"/>
    <w:rsid w:val="00A312C2"/>
    <w:rsid w:val="00A31951"/>
    <w:rsid w:val="00A32333"/>
    <w:rsid w:val="00A36213"/>
    <w:rsid w:val="00A4295B"/>
    <w:rsid w:val="00A4408D"/>
    <w:rsid w:val="00A4411C"/>
    <w:rsid w:val="00A44649"/>
    <w:rsid w:val="00A4624B"/>
    <w:rsid w:val="00A46ADB"/>
    <w:rsid w:val="00A46BBB"/>
    <w:rsid w:val="00A47204"/>
    <w:rsid w:val="00A50597"/>
    <w:rsid w:val="00A50B9C"/>
    <w:rsid w:val="00A51A20"/>
    <w:rsid w:val="00A52F27"/>
    <w:rsid w:val="00A55464"/>
    <w:rsid w:val="00A557E4"/>
    <w:rsid w:val="00A56EFC"/>
    <w:rsid w:val="00A61C6C"/>
    <w:rsid w:val="00A63108"/>
    <w:rsid w:val="00A6639B"/>
    <w:rsid w:val="00A66781"/>
    <w:rsid w:val="00A66DC4"/>
    <w:rsid w:val="00A67432"/>
    <w:rsid w:val="00A674D8"/>
    <w:rsid w:val="00A716C4"/>
    <w:rsid w:val="00A72BAF"/>
    <w:rsid w:val="00A72E0F"/>
    <w:rsid w:val="00A73719"/>
    <w:rsid w:val="00A73F27"/>
    <w:rsid w:val="00A74682"/>
    <w:rsid w:val="00A75F56"/>
    <w:rsid w:val="00A77C08"/>
    <w:rsid w:val="00A80FE0"/>
    <w:rsid w:val="00A819FC"/>
    <w:rsid w:val="00A838F7"/>
    <w:rsid w:val="00A85188"/>
    <w:rsid w:val="00A85B56"/>
    <w:rsid w:val="00A87ECB"/>
    <w:rsid w:val="00A90802"/>
    <w:rsid w:val="00A918B3"/>
    <w:rsid w:val="00A93698"/>
    <w:rsid w:val="00A95BF2"/>
    <w:rsid w:val="00AA14BB"/>
    <w:rsid w:val="00AA23BA"/>
    <w:rsid w:val="00AA4D7B"/>
    <w:rsid w:val="00AB19DF"/>
    <w:rsid w:val="00AB1CED"/>
    <w:rsid w:val="00AB37B5"/>
    <w:rsid w:val="00AB39B3"/>
    <w:rsid w:val="00AB52E2"/>
    <w:rsid w:val="00AB5B42"/>
    <w:rsid w:val="00AB648C"/>
    <w:rsid w:val="00AB6754"/>
    <w:rsid w:val="00AC006F"/>
    <w:rsid w:val="00AC2C93"/>
    <w:rsid w:val="00AC393A"/>
    <w:rsid w:val="00AC57B9"/>
    <w:rsid w:val="00AC622A"/>
    <w:rsid w:val="00AC62F8"/>
    <w:rsid w:val="00AC7EDF"/>
    <w:rsid w:val="00AD25E4"/>
    <w:rsid w:val="00AD34A5"/>
    <w:rsid w:val="00AD3547"/>
    <w:rsid w:val="00AD3A50"/>
    <w:rsid w:val="00AD3D1A"/>
    <w:rsid w:val="00AD4604"/>
    <w:rsid w:val="00AD5E0C"/>
    <w:rsid w:val="00AE198E"/>
    <w:rsid w:val="00AE2C9C"/>
    <w:rsid w:val="00AE3B9D"/>
    <w:rsid w:val="00AE5870"/>
    <w:rsid w:val="00AE5F8D"/>
    <w:rsid w:val="00AE6230"/>
    <w:rsid w:val="00AF077E"/>
    <w:rsid w:val="00AF11FA"/>
    <w:rsid w:val="00AF161D"/>
    <w:rsid w:val="00AF2211"/>
    <w:rsid w:val="00AF2DC1"/>
    <w:rsid w:val="00AF46F1"/>
    <w:rsid w:val="00AF501E"/>
    <w:rsid w:val="00AF5277"/>
    <w:rsid w:val="00B01480"/>
    <w:rsid w:val="00B01D17"/>
    <w:rsid w:val="00B03118"/>
    <w:rsid w:val="00B076A4"/>
    <w:rsid w:val="00B106AF"/>
    <w:rsid w:val="00B11128"/>
    <w:rsid w:val="00B12FA3"/>
    <w:rsid w:val="00B13A13"/>
    <w:rsid w:val="00B15461"/>
    <w:rsid w:val="00B20BF4"/>
    <w:rsid w:val="00B23E7D"/>
    <w:rsid w:val="00B242F9"/>
    <w:rsid w:val="00B27015"/>
    <w:rsid w:val="00B277E1"/>
    <w:rsid w:val="00B27863"/>
    <w:rsid w:val="00B27DB7"/>
    <w:rsid w:val="00B30BB0"/>
    <w:rsid w:val="00B31DA9"/>
    <w:rsid w:val="00B32790"/>
    <w:rsid w:val="00B3317A"/>
    <w:rsid w:val="00B33394"/>
    <w:rsid w:val="00B3391B"/>
    <w:rsid w:val="00B34512"/>
    <w:rsid w:val="00B35209"/>
    <w:rsid w:val="00B36738"/>
    <w:rsid w:val="00B40651"/>
    <w:rsid w:val="00B409FD"/>
    <w:rsid w:val="00B4117D"/>
    <w:rsid w:val="00B41BEA"/>
    <w:rsid w:val="00B44B7E"/>
    <w:rsid w:val="00B452ED"/>
    <w:rsid w:val="00B47A7F"/>
    <w:rsid w:val="00B5032C"/>
    <w:rsid w:val="00B51C4D"/>
    <w:rsid w:val="00B52FD2"/>
    <w:rsid w:val="00B531BC"/>
    <w:rsid w:val="00B55A23"/>
    <w:rsid w:val="00B55F39"/>
    <w:rsid w:val="00B604B6"/>
    <w:rsid w:val="00B6177E"/>
    <w:rsid w:val="00B632A8"/>
    <w:rsid w:val="00B6335E"/>
    <w:rsid w:val="00B647B7"/>
    <w:rsid w:val="00B64A3B"/>
    <w:rsid w:val="00B64E65"/>
    <w:rsid w:val="00B65B0A"/>
    <w:rsid w:val="00B661C9"/>
    <w:rsid w:val="00B67453"/>
    <w:rsid w:val="00B6745B"/>
    <w:rsid w:val="00B73241"/>
    <w:rsid w:val="00B7437E"/>
    <w:rsid w:val="00B7492C"/>
    <w:rsid w:val="00B74F9A"/>
    <w:rsid w:val="00B75D99"/>
    <w:rsid w:val="00B770FB"/>
    <w:rsid w:val="00B77634"/>
    <w:rsid w:val="00B80AF5"/>
    <w:rsid w:val="00B81A2C"/>
    <w:rsid w:val="00B8205E"/>
    <w:rsid w:val="00B820B2"/>
    <w:rsid w:val="00B851FC"/>
    <w:rsid w:val="00B85542"/>
    <w:rsid w:val="00B86B89"/>
    <w:rsid w:val="00B86C86"/>
    <w:rsid w:val="00B87289"/>
    <w:rsid w:val="00B90191"/>
    <w:rsid w:val="00BA15A4"/>
    <w:rsid w:val="00BA5AE4"/>
    <w:rsid w:val="00BA6DB6"/>
    <w:rsid w:val="00BA7ADF"/>
    <w:rsid w:val="00BB3D55"/>
    <w:rsid w:val="00BB3E60"/>
    <w:rsid w:val="00BB3E9A"/>
    <w:rsid w:val="00BB6961"/>
    <w:rsid w:val="00BC0A07"/>
    <w:rsid w:val="00BC1D23"/>
    <w:rsid w:val="00BC1D5E"/>
    <w:rsid w:val="00BC1F48"/>
    <w:rsid w:val="00BC2BD2"/>
    <w:rsid w:val="00BC5190"/>
    <w:rsid w:val="00BD191C"/>
    <w:rsid w:val="00BD6F62"/>
    <w:rsid w:val="00BD72E4"/>
    <w:rsid w:val="00BE24BE"/>
    <w:rsid w:val="00BE3BF0"/>
    <w:rsid w:val="00BE5B35"/>
    <w:rsid w:val="00BE5B44"/>
    <w:rsid w:val="00BE6041"/>
    <w:rsid w:val="00BF0DFE"/>
    <w:rsid w:val="00BF1370"/>
    <w:rsid w:val="00BF4A8C"/>
    <w:rsid w:val="00C0168E"/>
    <w:rsid w:val="00C040E7"/>
    <w:rsid w:val="00C06159"/>
    <w:rsid w:val="00C0774F"/>
    <w:rsid w:val="00C121BB"/>
    <w:rsid w:val="00C12B26"/>
    <w:rsid w:val="00C20B83"/>
    <w:rsid w:val="00C22F44"/>
    <w:rsid w:val="00C26B94"/>
    <w:rsid w:val="00C31964"/>
    <w:rsid w:val="00C331AF"/>
    <w:rsid w:val="00C334D9"/>
    <w:rsid w:val="00C34334"/>
    <w:rsid w:val="00C353D9"/>
    <w:rsid w:val="00C3728C"/>
    <w:rsid w:val="00C43071"/>
    <w:rsid w:val="00C44EE2"/>
    <w:rsid w:val="00C46B95"/>
    <w:rsid w:val="00C52119"/>
    <w:rsid w:val="00C54383"/>
    <w:rsid w:val="00C54BD1"/>
    <w:rsid w:val="00C57F28"/>
    <w:rsid w:val="00C6052A"/>
    <w:rsid w:val="00C61E58"/>
    <w:rsid w:val="00C63D36"/>
    <w:rsid w:val="00C63F1F"/>
    <w:rsid w:val="00C6442F"/>
    <w:rsid w:val="00C645C1"/>
    <w:rsid w:val="00C6520F"/>
    <w:rsid w:val="00C657BD"/>
    <w:rsid w:val="00C6608B"/>
    <w:rsid w:val="00C71956"/>
    <w:rsid w:val="00C73157"/>
    <w:rsid w:val="00C75484"/>
    <w:rsid w:val="00C759EE"/>
    <w:rsid w:val="00C763AE"/>
    <w:rsid w:val="00C767EC"/>
    <w:rsid w:val="00C76CF5"/>
    <w:rsid w:val="00C77AFA"/>
    <w:rsid w:val="00C8072C"/>
    <w:rsid w:val="00C83038"/>
    <w:rsid w:val="00C85164"/>
    <w:rsid w:val="00C85A41"/>
    <w:rsid w:val="00C867C7"/>
    <w:rsid w:val="00C87B23"/>
    <w:rsid w:val="00C906FE"/>
    <w:rsid w:val="00C94EFB"/>
    <w:rsid w:val="00CA0092"/>
    <w:rsid w:val="00CA0F40"/>
    <w:rsid w:val="00CA159E"/>
    <w:rsid w:val="00CA1F11"/>
    <w:rsid w:val="00CA27AD"/>
    <w:rsid w:val="00CA2ECA"/>
    <w:rsid w:val="00CA3168"/>
    <w:rsid w:val="00CA4C1D"/>
    <w:rsid w:val="00CA53E6"/>
    <w:rsid w:val="00CB0DD2"/>
    <w:rsid w:val="00CB2C3E"/>
    <w:rsid w:val="00CB2FFD"/>
    <w:rsid w:val="00CB55D9"/>
    <w:rsid w:val="00CB7624"/>
    <w:rsid w:val="00CB79BA"/>
    <w:rsid w:val="00CC0D54"/>
    <w:rsid w:val="00CC278D"/>
    <w:rsid w:val="00CC4876"/>
    <w:rsid w:val="00CC5891"/>
    <w:rsid w:val="00CC6FDF"/>
    <w:rsid w:val="00CD0B78"/>
    <w:rsid w:val="00CD1673"/>
    <w:rsid w:val="00CD449E"/>
    <w:rsid w:val="00CD4FC6"/>
    <w:rsid w:val="00CD5330"/>
    <w:rsid w:val="00CD5C8E"/>
    <w:rsid w:val="00CD5D7B"/>
    <w:rsid w:val="00CE118D"/>
    <w:rsid w:val="00CE1E74"/>
    <w:rsid w:val="00CE2CF5"/>
    <w:rsid w:val="00CE4B7A"/>
    <w:rsid w:val="00CE58EF"/>
    <w:rsid w:val="00CE7045"/>
    <w:rsid w:val="00CF03AE"/>
    <w:rsid w:val="00CF0540"/>
    <w:rsid w:val="00CF1BDD"/>
    <w:rsid w:val="00CF4CB9"/>
    <w:rsid w:val="00CF6CB3"/>
    <w:rsid w:val="00D00D42"/>
    <w:rsid w:val="00D02A65"/>
    <w:rsid w:val="00D02A8C"/>
    <w:rsid w:val="00D0481B"/>
    <w:rsid w:val="00D04E32"/>
    <w:rsid w:val="00D055EF"/>
    <w:rsid w:val="00D05DFA"/>
    <w:rsid w:val="00D060EE"/>
    <w:rsid w:val="00D06466"/>
    <w:rsid w:val="00D0757E"/>
    <w:rsid w:val="00D07890"/>
    <w:rsid w:val="00D1016F"/>
    <w:rsid w:val="00D1099D"/>
    <w:rsid w:val="00D11411"/>
    <w:rsid w:val="00D115B8"/>
    <w:rsid w:val="00D128B6"/>
    <w:rsid w:val="00D12F49"/>
    <w:rsid w:val="00D131CC"/>
    <w:rsid w:val="00D14534"/>
    <w:rsid w:val="00D17866"/>
    <w:rsid w:val="00D20E6D"/>
    <w:rsid w:val="00D23AD8"/>
    <w:rsid w:val="00D24E91"/>
    <w:rsid w:val="00D24F7B"/>
    <w:rsid w:val="00D27CD8"/>
    <w:rsid w:val="00D306AC"/>
    <w:rsid w:val="00D31E83"/>
    <w:rsid w:val="00D32DDC"/>
    <w:rsid w:val="00D33514"/>
    <w:rsid w:val="00D34B67"/>
    <w:rsid w:val="00D34B76"/>
    <w:rsid w:val="00D3574C"/>
    <w:rsid w:val="00D361DF"/>
    <w:rsid w:val="00D36400"/>
    <w:rsid w:val="00D40EA0"/>
    <w:rsid w:val="00D414CD"/>
    <w:rsid w:val="00D42101"/>
    <w:rsid w:val="00D423F1"/>
    <w:rsid w:val="00D44DC7"/>
    <w:rsid w:val="00D4506C"/>
    <w:rsid w:val="00D52F45"/>
    <w:rsid w:val="00D53887"/>
    <w:rsid w:val="00D544E0"/>
    <w:rsid w:val="00D57651"/>
    <w:rsid w:val="00D57A2A"/>
    <w:rsid w:val="00D57BF7"/>
    <w:rsid w:val="00D626E3"/>
    <w:rsid w:val="00D6350D"/>
    <w:rsid w:val="00D667CD"/>
    <w:rsid w:val="00D66ED5"/>
    <w:rsid w:val="00D71FAA"/>
    <w:rsid w:val="00D735AE"/>
    <w:rsid w:val="00D73773"/>
    <w:rsid w:val="00D7697E"/>
    <w:rsid w:val="00D77CE9"/>
    <w:rsid w:val="00D80B73"/>
    <w:rsid w:val="00D81354"/>
    <w:rsid w:val="00D82941"/>
    <w:rsid w:val="00D85304"/>
    <w:rsid w:val="00D85DA9"/>
    <w:rsid w:val="00D87D6D"/>
    <w:rsid w:val="00D9012B"/>
    <w:rsid w:val="00D90185"/>
    <w:rsid w:val="00D92A5B"/>
    <w:rsid w:val="00D942DE"/>
    <w:rsid w:val="00D9649B"/>
    <w:rsid w:val="00D97003"/>
    <w:rsid w:val="00D979C0"/>
    <w:rsid w:val="00DA17FA"/>
    <w:rsid w:val="00DA1949"/>
    <w:rsid w:val="00DA2597"/>
    <w:rsid w:val="00DA43CE"/>
    <w:rsid w:val="00DA47D7"/>
    <w:rsid w:val="00DA48D3"/>
    <w:rsid w:val="00DA62AB"/>
    <w:rsid w:val="00DB2253"/>
    <w:rsid w:val="00DB3A04"/>
    <w:rsid w:val="00DB4616"/>
    <w:rsid w:val="00DB6220"/>
    <w:rsid w:val="00DB630F"/>
    <w:rsid w:val="00DB63BC"/>
    <w:rsid w:val="00DC24EB"/>
    <w:rsid w:val="00DC27FF"/>
    <w:rsid w:val="00DC3594"/>
    <w:rsid w:val="00DC43A0"/>
    <w:rsid w:val="00DC4947"/>
    <w:rsid w:val="00DC6BD1"/>
    <w:rsid w:val="00DC7E1C"/>
    <w:rsid w:val="00DD0106"/>
    <w:rsid w:val="00DD0D15"/>
    <w:rsid w:val="00DD11BC"/>
    <w:rsid w:val="00DD1EC8"/>
    <w:rsid w:val="00DD48DA"/>
    <w:rsid w:val="00DD4C86"/>
    <w:rsid w:val="00DD75C6"/>
    <w:rsid w:val="00DE00BA"/>
    <w:rsid w:val="00DE1A24"/>
    <w:rsid w:val="00DE3418"/>
    <w:rsid w:val="00DE4FA5"/>
    <w:rsid w:val="00DE5C78"/>
    <w:rsid w:val="00DF1F63"/>
    <w:rsid w:val="00DF31A3"/>
    <w:rsid w:val="00DF53BE"/>
    <w:rsid w:val="00DF74A3"/>
    <w:rsid w:val="00E01A80"/>
    <w:rsid w:val="00E02793"/>
    <w:rsid w:val="00E0306B"/>
    <w:rsid w:val="00E037D0"/>
    <w:rsid w:val="00E03DA3"/>
    <w:rsid w:val="00E04816"/>
    <w:rsid w:val="00E04B1B"/>
    <w:rsid w:val="00E04E9E"/>
    <w:rsid w:val="00E06C58"/>
    <w:rsid w:val="00E07625"/>
    <w:rsid w:val="00E07E7E"/>
    <w:rsid w:val="00E10C8A"/>
    <w:rsid w:val="00E11469"/>
    <w:rsid w:val="00E14F6C"/>
    <w:rsid w:val="00E17534"/>
    <w:rsid w:val="00E17AE0"/>
    <w:rsid w:val="00E22479"/>
    <w:rsid w:val="00E232A5"/>
    <w:rsid w:val="00E25433"/>
    <w:rsid w:val="00E3004B"/>
    <w:rsid w:val="00E30770"/>
    <w:rsid w:val="00E31B11"/>
    <w:rsid w:val="00E33A5C"/>
    <w:rsid w:val="00E33AD6"/>
    <w:rsid w:val="00E34A2B"/>
    <w:rsid w:val="00E357B4"/>
    <w:rsid w:val="00E36B72"/>
    <w:rsid w:val="00E36F8C"/>
    <w:rsid w:val="00E4104D"/>
    <w:rsid w:val="00E41A1D"/>
    <w:rsid w:val="00E461C4"/>
    <w:rsid w:val="00E46B44"/>
    <w:rsid w:val="00E5081B"/>
    <w:rsid w:val="00E50BA5"/>
    <w:rsid w:val="00E50C59"/>
    <w:rsid w:val="00E5315D"/>
    <w:rsid w:val="00E5351C"/>
    <w:rsid w:val="00E53527"/>
    <w:rsid w:val="00E545F0"/>
    <w:rsid w:val="00E54DCF"/>
    <w:rsid w:val="00E558EB"/>
    <w:rsid w:val="00E57C22"/>
    <w:rsid w:val="00E608CE"/>
    <w:rsid w:val="00E615A0"/>
    <w:rsid w:val="00E6396E"/>
    <w:rsid w:val="00E77A2B"/>
    <w:rsid w:val="00E826B6"/>
    <w:rsid w:val="00E838B9"/>
    <w:rsid w:val="00E867C9"/>
    <w:rsid w:val="00E9075E"/>
    <w:rsid w:val="00E90824"/>
    <w:rsid w:val="00E91201"/>
    <w:rsid w:val="00E9194F"/>
    <w:rsid w:val="00E92961"/>
    <w:rsid w:val="00E938A4"/>
    <w:rsid w:val="00E93EE2"/>
    <w:rsid w:val="00EA0FFA"/>
    <w:rsid w:val="00EA1A5A"/>
    <w:rsid w:val="00EA350A"/>
    <w:rsid w:val="00EB0283"/>
    <w:rsid w:val="00EB1FDE"/>
    <w:rsid w:val="00EB2EE3"/>
    <w:rsid w:val="00EB394D"/>
    <w:rsid w:val="00EB40D9"/>
    <w:rsid w:val="00EB4704"/>
    <w:rsid w:val="00EB5B5E"/>
    <w:rsid w:val="00EB6B7C"/>
    <w:rsid w:val="00EB7353"/>
    <w:rsid w:val="00EB7529"/>
    <w:rsid w:val="00EC09BC"/>
    <w:rsid w:val="00EC16AB"/>
    <w:rsid w:val="00EC26BB"/>
    <w:rsid w:val="00EC6207"/>
    <w:rsid w:val="00EC7771"/>
    <w:rsid w:val="00ED12B1"/>
    <w:rsid w:val="00ED252D"/>
    <w:rsid w:val="00ED5B50"/>
    <w:rsid w:val="00ED6A31"/>
    <w:rsid w:val="00EE035A"/>
    <w:rsid w:val="00EE1489"/>
    <w:rsid w:val="00EE173E"/>
    <w:rsid w:val="00EE399A"/>
    <w:rsid w:val="00EE4E14"/>
    <w:rsid w:val="00EE55C4"/>
    <w:rsid w:val="00EF17FE"/>
    <w:rsid w:val="00EF306E"/>
    <w:rsid w:val="00EF40F1"/>
    <w:rsid w:val="00EF4192"/>
    <w:rsid w:val="00EF55D0"/>
    <w:rsid w:val="00EF718A"/>
    <w:rsid w:val="00EF7E5B"/>
    <w:rsid w:val="00F00E45"/>
    <w:rsid w:val="00F02444"/>
    <w:rsid w:val="00F0320B"/>
    <w:rsid w:val="00F04314"/>
    <w:rsid w:val="00F06968"/>
    <w:rsid w:val="00F0780D"/>
    <w:rsid w:val="00F12C03"/>
    <w:rsid w:val="00F15871"/>
    <w:rsid w:val="00F211A5"/>
    <w:rsid w:val="00F21C3B"/>
    <w:rsid w:val="00F22AD4"/>
    <w:rsid w:val="00F237E9"/>
    <w:rsid w:val="00F25DAD"/>
    <w:rsid w:val="00F26483"/>
    <w:rsid w:val="00F30E4F"/>
    <w:rsid w:val="00F30FDF"/>
    <w:rsid w:val="00F320E4"/>
    <w:rsid w:val="00F325C8"/>
    <w:rsid w:val="00F32B51"/>
    <w:rsid w:val="00F35CC8"/>
    <w:rsid w:val="00F36811"/>
    <w:rsid w:val="00F37E90"/>
    <w:rsid w:val="00F44189"/>
    <w:rsid w:val="00F4585D"/>
    <w:rsid w:val="00F45987"/>
    <w:rsid w:val="00F46A11"/>
    <w:rsid w:val="00F51EEC"/>
    <w:rsid w:val="00F53A14"/>
    <w:rsid w:val="00F548AD"/>
    <w:rsid w:val="00F54A8F"/>
    <w:rsid w:val="00F60757"/>
    <w:rsid w:val="00F6205C"/>
    <w:rsid w:val="00F622ED"/>
    <w:rsid w:val="00F64C7B"/>
    <w:rsid w:val="00F65178"/>
    <w:rsid w:val="00F6624E"/>
    <w:rsid w:val="00F66F48"/>
    <w:rsid w:val="00F67A0D"/>
    <w:rsid w:val="00F67EF5"/>
    <w:rsid w:val="00F70DF7"/>
    <w:rsid w:val="00F7491C"/>
    <w:rsid w:val="00F74CEF"/>
    <w:rsid w:val="00F74CFC"/>
    <w:rsid w:val="00F75849"/>
    <w:rsid w:val="00F75BDF"/>
    <w:rsid w:val="00F766AD"/>
    <w:rsid w:val="00F80022"/>
    <w:rsid w:val="00F80D7F"/>
    <w:rsid w:val="00F865D6"/>
    <w:rsid w:val="00F877E9"/>
    <w:rsid w:val="00F878D7"/>
    <w:rsid w:val="00F906D3"/>
    <w:rsid w:val="00F908F8"/>
    <w:rsid w:val="00F9172C"/>
    <w:rsid w:val="00F9332C"/>
    <w:rsid w:val="00F93959"/>
    <w:rsid w:val="00F93EE3"/>
    <w:rsid w:val="00F95462"/>
    <w:rsid w:val="00F97203"/>
    <w:rsid w:val="00F9756B"/>
    <w:rsid w:val="00FA016E"/>
    <w:rsid w:val="00FA2608"/>
    <w:rsid w:val="00FA3FAC"/>
    <w:rsid w:val="00FA41AC"/>
    <w:rsid w:val="00FA73C1"/>
    <w:rsid w:val="00FB18EF"/>
    <w:rsid w:val="00FB48DF"/>
    <w:rsid w:val="00FC0212"/>
    <w:rsid w:val="00FC06DC"/>
    <w:rsid w:val="00FC20EB"/>
    <w:rsid w:val="00FC32C6"/>
    <w:rsid w:val="00FC3B05"/>
    <w:rsid w:val="00FC3EC2"/>
    <w:rsid w:val="00FC76C0"/>
    <w:rsid w:val="00FC7D1E"/>
    <w:rsid w:val="00FD0734"/>
    <w:rsid w:val="00FD0DA9"/>
    <w:rsid w:val="00FD1530"/>
    <w:rsid w:val="00FD1538"/>
    <w:rsid w:val="00FD2513"/>
    <w:rsid w:val="00FE00E6"/>
    <w:rsid w:val="00FE1F32"/>
    <w:rsid w:val="00FE2446"/>
    <w:rsid w:val="00FE3D13"/>
    <w:rsid w:val="00FE4B03"/>
    <w:rsid w:val="00FE6ECE"/>
    <w:rsid w:val="00FF23A1"/>
    <w:rsid w:val="00FF28B0"/>
    <w:rsid w:val="00FF39E6"/>
    <w:rsid w:val="00FF3BB9"/>
    <w:rsid w:val="00FF4F3F"/>
    <w:rsid w:val="1A3D78A6"/>
    <w:rsid w:val="36EE2EA9"/>
    <w:rsid w:val="5F796F2C"/>
    <w:rsid w:val="7BC7451B"/>
    <w:rsid w:val="7FF98725"/>
    <w:rsid w:val="9AFD166E"/>
    <w:rsid w:val="F4FB4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28"/>
    <w:qFormat/>
    <w:uiPriority w:val="0"/>
    <w:pPr>
      <w:widowControl/>
      <w:ind w:firstLine="640" w:firstLineChars="200"/>
      <w:jc w:val="left"/>
      <w:outlineLvl w:val="0"/>
    </w:pPr>
    <w:rPr>
      <w:rFonts w:ascii="黑体" w:hAnsi="黑体" w:eastAsia="黑体" w:cs="宋体"/>
      <w:kern w:val="0"/>
    </w:rPr>
  </w:style>
  <w:style w:type="paragraph" w:styleId="3">
    <w:name w:val="heading 2"/>
    <w:basedOn w:val="1"/>
    <w:next w:val="1"/>
    <w:link w:val="29"/>
    <w:autoRedefine/>
    <w:qFormat/>
    <w:uiPriority w:val="0"/>
    <w:pPr>
      <w:widowControl/>
      <w:ind w:firstLine="640" w:firstLineChars="200"/>
      <w:jc w:val="left"/>
      <w:outlineLvl w:val="1"/>
    </w:pPr>
    <w:rPr>
      <w:rFonts w:ascii="楷体" w:hAnsi="楷体" w:eastAsia="楷体" w:cs="宋体"/>
      <w:kern w:val="0"/>
    </w:rPr>
  </w:style>
  <w:style w:type="paragraph" w:styleId="4">
    <w:name w:val="heading 3"/>
    <w:basedOn w:val="1"/>
    <w:next w:val="1"/>
    <w:autoRedefine/>
    <w:qFormat/>
    <w:uiPriority w:val="0"/>
    <w:pPr>
      <w:keepNext/>
      <w:keepLines/>
      <w:spacing w:before="260" w:after="260" w:line="416" w:lineRule="auto"/>
      <w:outlineLvl w:val="2"/>
    </w:pPr>
    <w:rPr>
      <w:b/>
      <w:bCs/>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5">
    <w:name w:val="Normal Indent"/>
    <w:basedOn w:val="1"/>
    <w:autoRedefine/>
    <w:unhideWhenUsed/>
    <w:qFormat/>
    <w:uiPriority w:val="99"/>
    <w:pPr>
      <w:ind w:firstLine="420" w:firstLineChars="200"/>
    </w:pPr>
    <w:rPr>
      <w:rFonts w:eastAsia="方正仿宋_GBK"/>
      <w:color w:val="000000" w:themeColor="text1"/>
      <w:szCs w:val="22"/>
      <w14:textFill>
        <w14:solidFill>
          <w14:schemeClr w14:val="tx1"/>
        </w14:solidFill>
      </w14:textFill>
    </w:rPr>
  </w:style>
  <w:style w:type="paragraph" w:styleId="6">
    <w:name w:val="annotation text"/>
    <w:basedOn w:val="1"/>
    <w:link w:val="45"/>
    <w:autoRedefine/>
    <w:qFormat/>
    <w:uiPriority w:val="0"/>
    <w:pPr>
      <w:suppressAutoHyphens/>
      <w:jc w:val="left"/>
    </w:pPr>
    <w:rPr>
      <w:rFonts w:ascii="Calibri" w:hAnsi="Calibri" w:eastAsia="宋体"/>
      <w:sz w:val="21"/>
      <w:szCs w:val="24"/>
    </w:rPr>
  </w:style>
  <w:style w:type="paragraph" w:styleId="7">
    <w:name w:val="Salutation"/>
    <w:basedOn w:val="1"/>
    <w:next w:val="1"/>
    <w:link w:val="46"/>
    <w:autoRedefine/>
    <w:qFormat/>
    <w:uiPriority w:val="0"/>
    <w:pPr>
      <w:suppressAutoHyphens/>
    </w:pPr>
    <w:rPr>
      <w:rFonts w:ascii="Calibri" w:hAnsi="Calibri" w:eastAsia="PMingLiU" w:cs="Calibri"/>
      <w:sz w:val="28"/>
      <w:szCs w:val="28"/>
      <w:lang w:eastAsia="zh-TW"/>
    </w:rPr>
  </w:style>
  <w:style w:type="paragraph" w:styleId="8">
    <w:name w:val="Body Text"/>
    <w:basedOn w:val="1"/>
    <w:link w:val="44"/>
    <w:autoRedefine/>
    <w:qFormat/>
    <w:uiPriority w:val="0"/>
    <w:pPr>
      <w:spacing w:after="120"/>
    </w:pPr>
  </w:style>
  <w:style w:type="paragraph" w:styleId="9">
    <w:name w:val="Body Text Indent"/>
    <w:basedOn w:val="1"/>
    <w:autoRedefine/>
    <w:qFormat/>
    <w:uiPriority w:val="0"/>
    <w:pPr>
      <w:ind w:firstLine="420"/>
    </w:pPr>
    <w:rPr>
      <w:rFonts w:ascii="仿宋_GB2312"/>
      <w:sz w:val="30"/>
    </w:rPr>
  </w:style>
  <w:style w:type="paragraph" w:styleId="10">
    <w:name w:val="Plain Text"/>
    <w:basedOn w:val="1"/>
    <w:autoRedefine/>
    <w:qFormat/>
    <w:uiPriority w:val="0"/>
    <w:pPr>
      <w:jc w:val="left"/>
    </w:pPr>
    <w:rPr>
      <w:rFonts w:ascii="宋体" w:hAnsi="Courier New" w:eastAsia="Times New Roman" w:cs="Courier New"/>
      <w:color w:val="000000"/>
      <w:kern w:val="0"/>
      <w:sz w:val="24"/>
      <w:szCs w:val="21"/>
      <w:lang w:eastAsia="en-US"/>
    </w:rPr>
  </w:style>
  <w:style w:type="paragraph" w:styleId="11">
    <w:name w:val="Date"/>
    <w:basedOn w:val="1"/>
    <w:next w:val="1"/>
    <w:autoRedefine/>
    <w:qFormat/>
    <w:uiPriority w:val="0"/>
    <w:pPr>
      <w:ind w:left="100" w:leftChars="2500"/>
    </w:pPr>
  </w:style>
  <w:style w:type="paragraph" w:styleId="12">
    <w:name w:val="Body Text Indent 2"/>
    <w:basedOn w:val="1"/>
    <w:autoRedefine/>
    <w:qFormat/>
    <w:uiPriority w:val="0"/>
    <w:pPr>
      <w:spacing w:after="120" w:line="480" w:lineRule="auto"/>
      <w:ind w:left="420" w:leftChars="200"/>
    </w:pPr>
  </w:style>
  <w:style w:type="paragraph" w:styleId="13">
    <w:name w:val="Balloon Text"/>
    <w:basedOn w:val="1"/>
    <w:autoRedefine/>
    <w:semiHidden/>
    <w:qFormat/>
    <w:uiPriority w:val="0"/>
    <w:rPr>
      <w:sz w:val="18"/>
      <w:szCs w:val="18"/>
    </w:rPr>
  </w:style>
  <w:style w:type="paragraph" w:styleId="14">
    <w:name w:val="footer"/>
    <w:basedOn w:val="1"/>
    <w:autoRedefine/>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spacing w:after="120"/>
      <w:ind w:left="420" w:leftChars="200"/>
    </w:pPr>
    <w:rPr>
      <w:rFonts w:eastAsia="宋体"/>
      <w:sz w:val="16"/>
      <w:szCs w:val="16"/>
    </w:rPr>
  </w:style>
  <w:style w:type="paragraph" w:styleId="17">
    <w:name w:val="toc 2"/>
    <w:basedOn w:val="1"/>
    <w:next w:val="1"/>
    <w:autoRedefine/>
    <w:qFormat/>
    <w:uiPriority w:val="0"/>
    <w:pPr>
      <w:widowControl/>
      <w:spacing w:before="100" w:beforeAutospacing="1" w:after="100" w:afterAutospacing="1" w:line="300" w:lineRule="auto"/>
      <w:ind w:left="220"/>
      <w:jc w:val="left"/>
    </w:pPr>
    <w:rPr>
      <w:rFonts w:ascii="华文中宋" w:hAnsi="华文中宋" w:eastAsia="华文中宋"/>
      <w:kern w:val="0"/>
      <w:sz w:val="28"/>
      <w:szCs w:val="28"/>
    </w:rPr>
  </w:style>
  <w:style w:type="paragraph" w:styleId="18">
    <w:name w:val="Body Text 2"/>
    <w:basedOn w:val="1"/>
    <w:link w:val="47"/>
    <w:uiPriority w:val="0"/>
    <w:pPr>
      <w:spacing w:after="120" w:line="480" w:lineRule="auto"/>
    </w:pPr>
  </w:style>
  <w:style w:type="paragraph" w:styleId="19">
    <w:name w:val="Normal (Web)"/>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autoRedefine/>
    <w:qFormat/>
    <w:uiPriority w:val="10"/>
    <w:pPr>
      <w:spacing w:before="240" w:after="60"/>
      <w:jc w:val="center"/>
      <w:outlineLvl w:val="0"/>
    </w:pPr>
    <w:rPr>
      <w:rFonts w:ascii="Calibri Light" w:hAnsi="Calibri Light" w:eastAsia="宋体"/>
      <w:b/>
      <w:bCs/>
      <w:sz w:val="21"/>
      <w:szCs w:val="20"/>
    </w:rPr>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rFonts w:cs="Times New Roman"/>
      <w:b/>
      <w:bCs/>
    </w:rPr>
  </w:style>
  <w:style w:type="character" w:styleId="25">
    <w:name w:val="page number"/>
    <w:basedOn w:val="23"/>
    <w:autoRedefine/>
    <w:qFormat/>
    <w:uiPriority w:val="0"/>
  </w:style>
  <w:style w:type="character" w:styleId="26">
    <w:name w:val="Hyperlink"/>
    <w:basedOn w:val="23"/>
    <w:qFormat/>
    <w:uiPriority w:val="0"/>
    <w:rPr>
      <w:color w:val="0000FF"/>
      <w:u w:val="single"/>
    </w:rPr>
  </w:style>
  <w:style w:type="character" w:styleId="27">
    <w:name w:val="annotation reference"/>
    <w:autoRedefine/>
    <w:qFormat/>
    <w:uiPriority w:val="0"/>
    <w:rPr>
      <w:sz w:val="21"/>
      <w:szCs w:val="21"/>
    </w:rPr>
  </w:style>
  <w:style w:type="character" w:customStyle="1" w:styleId="28">
    <w:name w:val="标题 1 Char"/>
    <w:link w:val="2"/>
    <w:autoRedefine/>
    <w:qFormat/>
    <w:uiPriority w:val="0"/>
    <w:rPr>
      <w:rFonts w:ascii="黑体" w:hAnsi="黑体" w:eastAsia="黑体" w:cs="宋体"/>
      <w:sz w:val="32"/>
      <w:szCs w:val="32"/>
      <w:lang w:val="en-US" w:eastAsia="zh-CN" w:bidi="ar-SA"/>
    </w:rPr>
  </w:style>
  <w:style w:type="character" w:customStyle="1" w:styleId="29">
    <w:name w:val="标题 2 Char1"/>
    <w:link w:val="3"/>
    <w:qFormat/>
    <w:uiPriority w:val="0"/>
    <w:rPr>
      <w:rFonts w:ascii="楷体" w:hAnsi="楷体" w:eastAsia="楷体" w:cs="宋体"/>
      <w:sz w:val="32"/>
      <w:szCs w:val="32"/>
      <w:lang w:val="en-US" w:eastAsia="zh-CN" w:bidi="ar-SA"/>
    </w:rPr>
  </w:style>
  <w:style w:type="paragraph" w:customStyle="1" w:styleId="30">
    <w:name w:val="Char Char"/>
    <w:basedOn w:val="1"/>
    <w:autoRedefine/>
    <w:qFormat/>
    <w:uiPriority w:val="0"/>
    <w:rPr>
      <w:rFonts w:ascii="宋体" w:hAnsi="宋体" w:cs="Courier New"/>
    </w:rPr>
  </w:style>
  <w:style w:type="paragraph" w:customStyle="1" w:styleId="31">
    <w:name w:val="Char1"/>
    <w:basedOn w:val="1"/>
    <w:autoRedefine/>
    <w:qFormat/>
    <w:uiPriority w:val="0"/>
    <w:pPr>
      <w:tabs>
        <w:tab w:val="left" w:pos="425"/>
      </w:tabs>
      <w:ind w:left="425" w:hanging="425"/>
    </w:pPr>
    <w:rPr>
      <w:rFonts w:eastAsia="方正仿宋简体"/>
      <w:kern w:val="24"/>
      <w:sz w:val="24"/>
      <w:szCs w:val="28"/>
    </w:rPr>
  </w:style>
  <w:style w:type="paragraph" w:customStyle="1" w:styleId="32">
    <w:name w:val="Char Char Char Char"/>
    <w:basedOn w:val="1"/>
    <w:autoRedefine/>
    <w:qFormat/>
    <w:uiPriority w:val="0"/>
    <w:rPr>
      <w:rFonts w:ascii="宋体" w:hAnsi="宋体" w:cs="Courier New"/>
    </w:rPr>
  </w:style>
  <w:style w:type="paragraph" w:customStyle="1" w:styleId="33">
    <w:name w:val="列出段落1"/>
    <w:basedOn w:val="1"/>
    <w:autoRedefine/>
    <w:qFormat/>
    <w:uiPriority w:val="0"/>
    <w:pPr>
      <w:ind w:firstLine="420" w:firstLineChars="200"/>
    </w:pPr>
    <w:rPr>
      <w:rFonts w:ascii="Calibri" w:hAnsi="Calibri" w:eastAsia="宋体"/>
      <w:sz w:val="21"/>
      <w:szCs w:val="22"/>
    </w:rPr>
  </w:style>
  <w:style w:type="paragraph" w:customStyle="1" w:styleId="34">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5">
    <w:name w:val="正文 A"/>
    <w:autoRedefine/>
    <w:qFormat/>
    <w:uiPriority w:val="0"/>
    <w:pPr>
      <w:widowControl w:val="0"/>
      <w:jc w:val="both"/>
    </w:pPr>
    <w:rPr>
      <w:rFonts w:ascii="Calibri" w:hAnsi="Calibri" w:eastAsia="Times New Roman" w:cs="Calibri"/>
      <w:color w:val="000000"/>
      <w:kern w:val="2"/>
      <w:sz w:val="21"/>
      <w:szCs w:val="21"/>
      <w:lang w:val="en-US" w:eastAsia="zh-CN" w:bidi="ar-SA"/>
    </w:rPr>
  </w:style>
  <w:style w:type="paragraph" w:customStyle="1" w:styleId="36">
    <w:name w:val="正文文本缩进1"/>
    <w:basedOn w:val="1"/>
    <w:autoRedefine/>
    <w:qFormat/>
    <w:uiPriority w:val="0"/>
    <w:pPr>
      <w:ind w:firstLine="600" w:firstLineChars="200"/>
    </w:pPr>
    <w:rPr>
      <w:rFonts w:ascii="Calibri" w:hAnsi="Calibri" w:eastAsia="宋体" w:cs="黑体"/>
      <w:sz w:val="30"/>
      <w:szCs w:val="20"/>
    </w:rPr>
  </w:style>
  <w:style w:type="character" w:customStyle="1" w:styleId="37">
    <w:name w:val="标题 2 Char"/>
    <w:autoRedefine/>
    <w:qFormat/>
    <w:uiPriority w:val="0"/>
    <w:rPr>
      <w:rFonts w:ascii="楷体" w:hAnsi="楷体" w:eastAsia="楷体" w:cs="Times New Roman"/>
      <w:sz w:val="32"/>
      <w:szCs w:val="32"/>
    </w:rPr>
  </w:style>
  <w:style w:type="paragraph" w:styleId="38">
    <w:name w:val="List Paragraph"/>
    <w:basedOn w:val="1"/>
    <w:autoRedefine/>
    <w:qFormat/>
    <w:uiPriority w:val="0"/>
    <w:pPr>
      <w:ind w:firstLine="420" w:firstLineChars="200"/>
    </w:pPr>
    <w:rPr>
      <w:rFonts w:ascii="Calibri" w:hAnsi="Calibri" w:eastAsia="宋体"/>
      <w:sz w:val="21"/>
      <w:szCs w:val="24"/>
    </w:rPr>
  </w:style>
  <w:style w:type="character" w:customStyle="1" w:styleId="39">
    <w:name w:val="Heading 1 Char"/>
    <w:basedOn w:val="23"/>
    <w:autoRedefine/>
    <w:qFormat/>
    <w:locked/>
    <w:uiPriority w:val="0"/>
    <w:rPr>
      <w:rFonts w:ascii="Cambria" w:hAnsi="Cambria" w:eastAsia="宋体" w:cs="Times New Roman"/>
      <w:b/>
      <w:bCs/>
      <w:color w:val="365F91"/>
      <w:kern w:val="44"/>
      <w:sz w:val="24"/>
      <w:szCs w:val="24"/>
      <w:lang w:eastAsia="en-US"/>
    </w:rPr>
  </w:style>
  <w:style w:type="character" w:customStyle="1" w:styleId="40">
    <w:name w:val="font12"/>
    <w:basedOn w:val="23"/>
    <w:autoRedefine/>
    <w:qFormat/>
    <w:uiPriority w:val="0"/>
    <w:rPr>
      <w:rFonts w:ascii="Times New Roman" w:hAnsi="Times New Roman" w:cs="Times New Roman"/>
      <w:b/>
      <w:bCs/>
      <w:color w:val="000000"/>
      <w:sz w:val="28"/>
      <w:szCs w:val="28"/>
      <w:u w:val="none"/>
    </w:rPr>
  </w:style>
  <w:style w:type="character" w:customStyle="1" w:styleId="41">
    <w:name w:val="font111"/>
    <w:basedOn w:val="23"/>
    <w:qFormat/>
    <w:uiPriority w:val="0"/>
    <w:rPr>
      <w:rFonts w:ascii="宋体" w:hAnsi="宋体" w:eastAsia="宋体" w:cs="宋体"/>
      <w:b/>
      <w:bCs/>
      <w:color w:val="000000"/>
      <w:sz w:val="28"/>
      <w:szCs w:val="28"/>
      <w:u w:val="none"/>
    </w:rPr>
  </w:style>
  <w:style w:type="character" w:customStyle="1" w:styleId="42">
    <w:name w:val="font151"/>
    <w:basedOn w:val="23"/>
    <w:autoRedefine/>
    <w:qFormat/>
    <w:uiPriority w:val="0"/>
    <w:rPr>
      <w:rFonts w:ascii="Times New Roman" w:hAnsi="Times New Roman" w:cs="Times New Roman"/>
      <w:color w:val="000000"/>
      <w:sz w:val="18"/>
      <w:szCs w:val="18"/>
      <w:u w:val="none"/>
    </w:rPr>
  </w:style>
  <w:style w:type="paragraph" w:customStyle="1" w:styleId="43">
    <w:name w:val="Char Char1"/>
    <w:basedOn w:val="1"/>
    <w:autoRedefine/>
    <w:qFormat/>
    <w:uiPriority w:val="0"/>
    <w:rPr>
      <w:rFonts w:ascii="宋体" w:hAnsi="宋体" w:cs="Courier New"/>
    </w:rPr>
  </w:style>
  <w:style w:type="character" w:customStyle="1" w:styleId="44">
    <w:name w:val="正文文本 Char"/>
    <w:basedOn w:val="23"/>
    <w:link w:val="8"/>
    <w:autoRedefine/>
    <w:qFormat/>
    <w:uiPriority w:val="0"/>
    <w:rPr>
      <w:rFonts w:eastAsia="仿宋_GB2312"/>
      <w:kern w:val="2"/>
      <w:sz w:val="32"/>
      <w:szCs w:val="32"/>
    </w:rPr>
  </w:style>
  <w:style w:type="character" w:customStyle="1" w:styleId="45">
    <w:name w:val="批注文字 Char"/>
    <w:basedOn w:val="23"/>
    <w:link w:val="6"/>
    <w:autoRedefine/>
    <w:qFormat/>
    <w:uiPriority w:val="0"/>
    <w:rPr>
      <w:rFonts w:ascii="Calibri" w:hAnsi="Calibri"/>
      <w:kern w:val="2"/>
      <w:sz w:val="21"/>
      <w:szCs w:val="24"/>
    </w:rPr>
  </w:style>
  <w:style w:type="character" w:customStyle="1" w:styleId="46">
    <w:name w:val="称呼 Char"/>
    <w:basedOn w:val="23"/>
    <w:link w:val="7"/>
    <w:autoRedefine/>
    <w:qFormat/>
    <w:uiPriority w:val="0"/>
    <w:rPr>
      <w:rFonts w:ascii="Calibri" w:hAnsi="Calibri" w:eastAsia="PMingLiU" w:cs="Calibri"/>
      <w:kern w:val="2"/>
      <w:sz w:val="28"/>
      <w:szCs w:val="28"/>
      <w:lang w:eastAsia="zh-TW"/>
    </w:rPr>
  </w:style>
  <w:style w:type="character" w:customStyle="1" w:styleId="47">
    <w:name w:val="正文文本 2 Char"/>
    <w:basedOn w:val="23"/>
    <w:link w:val="18"/>
    <w:uiPriority w:val="0"/>
    <w:rPr>
      <w:rFonts w:eastAsia="仿宋_GB2312"/>
      <w:kern w:val="2"/>
      <w:sz w:val="32"/>
      <w:szCs w:val="32"/>
    </w:rPr>
  </w:style>
  <w:style w:type="paragraph" w:customStyle="1" w:styleId="48">
    <w:name w:val="正文1"/>
    <w:uiPriority w:val="0"/>
    <w:pPr>
      <w:jc w:val="both"/>
    </w:pPr>
    <w:rPr>
      <w:rFonts w:ascii="Calibri" w:hAnsi="Calibri" w:eastAsia="宋体" w:cs="Calibri"/>
      <w:kern w:val="2"/>
      <w:sz w:val="21"/>
      <w:szCs w:val="21"/>
      <w:lang w:val="en-US" w:eastAsia="zh-CN" w:bidi="ar-SA"/>
    </w:rPr>
  </w:style>
  <w:style w:type="table" w:customStyle="1" w:styleId="49">
    <w:name w:val="网格型1"/>
    <w:basedOn w:val="21"/>
    <w:unhideWhenUsed/>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AAD670-FEDC-4124-9BE3-04C0DE0C47B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21</Pages>
  <Words>7545</Words>
  <Characters>8344</Characters>
  <Lines>62</Lines>
  <Paragraphs>17</Paragraphs>
  <TotalTime>27</TotalTime>
  <ScaleCrop>false</ScaleCrop>
  <LinksUpToDate>false</LinksUpToDate>
  <CharactersWithSpaces>8383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2024-06-14T02:25:00Z</dcterms:created>
  <dc:creator>hao</dc:creator>
  <cp:lastModifiedBy>张皓宇</cp:lastModifiedBy>
  <cp:lastPrinted>2024-05-11T08:14:00Z</cp:lastPrinted>
  <dcterms:modified xsi:type="dcterms:W3CDTF">2024-06-14T07:32:17Z</dcterms:modified>
  <dc:title>关于办理加拿大签证有关事宜的通知</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18179A7834C140E0B376590C4D8BDED2</vt:lpwstr>
  </property>
</Properties>
</file>