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附件3</w:t>
      </w:r>
    </w:p>
    <w:tbl>
      <w:tblPr>
        <w:tblStyle w:val="2"/>
        <w:tblW w:w="906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426"/>
        <w:gridCol w:w="2156"/>
        <w:gridCol w:w="54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36"/>
                <w:highlight w:val="none"/>
                <w:u w:val="none"/>
              </w:rPr>
            </w:pPr>
            <w:r>
              <w:rPr>
                <w:rFonts w:hint="eastAsia" w:ascii="方正黑体_GBK" w:hAnsi="方正黑体_GBK" w:eastAsia="方正黑体_GBK" w:cs="方正黑体_GBK"/>
                <w:sz w:val="28"/>
                <w:szCs w:val="36"/>
                <w:highlight w:val="none"/>
                <w:u w:val="none"/>
              </w:rPr>
              <w:t>评审因素</w:t>
            </w:r>
          </w:p>
        </w:tc>
        <w:tc>
          <w:tcPr>
            <w:tcW w:w="76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sz w:val="28"/>
                <w:szCs w:val="36"/>
                <w:highlight w:val="none"/>
                <w:u w:val="none"/>
              </w:rPr>
            </w:pPr>
            <w:r>
              <w:rPr>
                <w:rFonts w:hint="eastAsia" w:ascii="方正黑体_GBK" w:hAnsi="方正黑体_GBK" w:eastAsia="方正黑体_GBK" w:cs="方正黑体_GBK"/>
                <w:sz w:val="28"/>
                <w:szCs w:val="36"/>
                <w:highlight w:val="none"/>
                <w:u w:val="none"/>
              </w:rP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分值构成</w:t>
            </w:r>
          </w:p>
        </w:tc>
        <w:tc>
          <w:tcPr>
            <w:tcW w:w="763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36"/>
                <w:highlight w:val="none"/>
                <w:u w:val="none"/>
                <w:lang w:eastAsia="zh-CN"/>
              </w:rPr>
            </w:pPr>
            <w:r>
              <w:rPr>
                <w:rFonts w:hint="default" w:ascii="Times New Roman" w:hAnsi="Times New Roman" w:eastAsia="方正仿宋_GBK" w:cs="Times New Roman"/>
                <w:sz w:val="28"/>
                <w:szCs w:val="36"/>
                <w:highlight w:val="none"/>
                <w:u w:val="none"/>
              </w:rPr>
              <w:t>商务部分</w:t>
            </w:r>
            <w:r>
              <w:rPr>
                <w:rFonts w:hint="eastAsia" w:ascii="Times New Roman" w:hAnsi="Times New Roman" w:eastAsia="方正仿宋_GBK" w:cs="Times New Roman"/>
                <w:sz w:val="28"/>
                <w:szCs w:val="36"/>
                <w:highlight w:val="none"/>
                <w:u w:val="none"/>
                <w:lang w:val="en-US" w:eastAsia="zh-CN"/>
              </w:rPr>
              <w:t>55</w:t>
            </w:r>
            <w:r>
              <w:rPr>
                <w:rFonts w:hint="default" w:ascii="Times New Roman" w:hAnsi="Times New Roman" w:eastAsia="方正仿宋_GBK" w:cs="Times New Roman"/>
                <w:sz w:val="28"/>
                <w:szCs w:val="36"/>
                <w:highlight w:val="none"/>
                <w:u w:val="none"/>
              </w:rPr>
              <w:t>分</w:t>
            </w:r>
            <w:r>
              <w:rPr>
                <w:rFonts w:hint="default" w:ascii="Times New Roman" w:hAnsi="Times New Roman" w:eastAsia="方正仿宋_GBK" w:cs="Times New Roman"/>
                <w:sz w:val="28"/>
                <w:szCs w:val="36"/>
                <w:highlight w:val="none"/>
                <w:u w:val="none"/>
                <w:lang w:eastAsia="zh-CN"/>
              </w:rPr>
              <w:t>，</w:t>
            </w:r>
            <w:r>
              <w:rPr>
                <w:rFonts w:hint="default" w:ascii="Times New Roman" w:hAnsi="Times New Roman" w:eastAsia="方正仿宋_GBK" w:cs="Times New Roman"/>
                <w:sz w:val="28"/>
                <w:szCs w:val="36"/>
                <w:highlight w:val="none"/>
                <w:u w:val="none"/>
              </w:rPr>
              <w:t>技术部分</w:t>
            </w:r>
            <w:r>
              <w:rPr>
                <w:rFonts w:hint="eastAsia" w:ascii="Times New Roman" w:hAnsi="Times New Roman" w:eastAsia="方正仿宋_GBK" w:cs="Times New Roman"/>
                <w:sz w:val="28"/>
                <w:szCs w:val="36"/>
                <w:highlight w:val="none"/>
                <w:u w:val="none"/>
                <w:lang w:val="en-US" w:eastAsia="zh-CN"/>
              </w:rPr>
              <w:t>45</w:t>
            </w:r>
            <w:r>
              <w:rPr>
                <w:rFonts w:hint="default" w:ascii="Times New Roman" w:hAnsi="Times New Roman" w:eastAsia="方正仿宋_GBK" w:cs="Times New Roman"/>
                <w:sz w:val="28"/>
                <w:szCs w:val="36"/>
                <w:highlight w:val="none"/>
                <w:u w:val="none"/>
              </w:rPr>
              <w:t>分</w:t>
            </w:r>
            <w:r>
              <w:rPr>
                <w:rFonts w:hint="default" w:ascii="Times New Roman" w:hAnsi="Times New Roman" w:eastAsia="方正仿宋_GBK" w:cs="Times New Roman"/>
                <w:sz w:val="28"/>
                <w:szCs w:val="36"/>
                <w:highlight w:val="none"/>
                <w:u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技术部分</w:t>
            </w: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项目理解及需求、重点难点分析 (5分)，（等次分值选择：</w:t>
            </w:r>
            <w:r>
              <w:rPr>
                <w:rFonts w:hint="eastAsia" w:ascii="Times New Roman" w:hAnsi="Times New Roman" w:eastAsia="方正仿宋_GBK" w:cs="Times New Roman"/>
                <w:sz w:val="28"/>
                <w:szCs w:val="36"/>
                <w:highlight w:val="none"/>
                <w:u w:val="none"/>
                <w:lang w:val="en-US" w:eastAsia="zh-CN"/>
              </w:rPr>
              <w:t>0、3、4、5</w:t>
            </w:r>
            <w:r>
              <w:rPr>
                <w:rFonts w:hint="default" w:ascii="Times New Roman" w:hAnsi="Times New Roman" w:eastAsia="方正仿宋_GBK" w:cs="Times New Roman"/>
                <w:sz w:val="28"/>
                <w:szCs w:val="36"/>
                <w:highlight w:val="none"/>
                <w:u w:val="none"/>
              </w:rPr>
              <w:t>）</w:t>
            </w:r>
          </w:p>
        </w:tc>
        <w:tc>
          <w:tcPr>
            <w:tcW w:w="5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根据供应商对项目理解及需求、重点难点分析情况进行评审，包括供应商是否深刻理解项目背景、意义和内容，对项目需求分析是否准确透彻、条理清晰，对项目与重点与难点的分析是否准确到位、应对措施是否可行和高效，以及对磋商文件技术要求的响应程度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优：项目需求分析准确透彻、条理清晰，重点与难点分析准确到位、应对措施可行和高效的，得5分；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良：项目需求分析准确，重点与难点分析到位、应对措施较好的，得4分；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中：项目需求分析合理，重点与难点分析到位、应对措施可行的，得3分。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注：没有提供得0分。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36"/>
                <w:highlight w:val="none"/>
                <w:u w:val="none"/>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策划执行方案 (5分)，（等次分值选择：0</w:t>
            </w:r>
            <w:r>
              <w:rPr>
                <w:rFonts w:hint="eastAsia" w:ascii="Times New Roman" w:hAnsi="Times New Roman" w:eastAsia="方正仿宋_GBK" w:cs="Times New Roman"/>
                <w:sz w:val="28"/>
                <w:szCs w:val="36"/>
                <w:highlight w:val="none"/>
                <w:u w:val="none"/>
                <w:lang w:eastAsia="zh-CN"/>
              </w:rPr>
              <w:t>、</w:t>
            </w:r>
            <w:r>
              <w:rPr>
                <w:rFonts w:hint="eastAsia" w:ascii="Times New Roman" w:hAnsi="Times New Roman" w:eastAsia="方正仿宋_GBK" w:cs="Times New Roman"/>
                <w:sz w:val="28"/>
                <w:szCs w:val="36"/>
                <w:highlight w:val="none"/>
                <w:u w:val="none"/>
                <w:lang w:val="en-US" w:eastAsia="zh-CN"/>
              </w:rPr>
              <w:t>3、4、5</w:t>
            </w:r>
            <w:r>
              <w:rPr>
                <w:rFonts w:hint="default" w:ascii="Times New Roman" w:hAnsi="Times New Roman" w:eastAsia="方正仿宋_GBK" w:cs="Times New Roman"/>
                <w:sz w:val="28"/>
                <w:szCs w:val="36"/>
                <w:highlight w:val="none"/>
                <w:u w:val="none"/>
              </w:rPr>
              <w:t>）</w:t>
            </w:r>
          </w:p>
        </w:tc>
        <w:tc>
          <w:tcPr>
            <w:tcW w:w="5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根据供应商的策划执行方案进行评审，包括方案是否全面完整、进度是否合理、组织能力是否能实现、内容是否详实、条理性和可操作性是否强、是否详细阐述各阶段的工作等。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优：方案全面完整、进度合理、组织能力能实现、内容详实、条理性和可操作性强的，得5分；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良：方案全面合理、组织能力好、具有条理性和可操作性的，得4分；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中：方案可行、组织能力一般、条理性和可操作性一般的，得3分。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注：没有提供得0分。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36"/>
                <w:highlight w:val="none"/>
                <w:u w:val="none"/>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考核评价 (</w:t>
            </w:r>
            <w:r>
              <w:rPr>
                <w:rFonts w:hint="eastAsia" w:ascii="Times New Roman" w:hAnsi="Times New Roman" w:eastAsia="方正仿宋_GBK" w:cs="Times New Roman"/>
                <w:sz w:val="28"/>
                <w:szCs w:val="36"/>
                <w:highlight w:val="none"/>
                <w:u w:val="none"/>
                <w:lang w:val="en-US" w:eastAsia="zh-CN"/>
              </w:rPr>
              <w:t>2</w:t>
            </w:r>
            <w:r>
              <w:rPr>
                <w:rFonts w:hint="default" w:ascii="Times New Roman" w:hAnsi="Times New Roman" w:eastAsia="方正仿宋_GBK" w:cs="Times New Roman"/>
                <w:sz w:val="28"/>
                <w:szCs w:val="36"/>
                <w:highlight w:val="none"/>
                <w:u w:val="none"/>
              </w:rPr>
              <w:t>0分)</w:t>
            </w:r>
          </w:p>
        </w:tc>
        <w:tc>
          <w:tcPr>
            <w:tcW w:w="5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人才消费结算同类业绩经验中（含总公司与分公司），考核评价为优或满意或同等评价的每提供1项得1</w:t>
            </w:r>
            <w:r>
              <w:rPr>
                <w:rFonts w:hint="eastAsia" w:ascii="Times New Roman" w:hAnsi="Times New Roman" w:eastAsia="方正仿宋_GBK" w:cs="Times New Roman"/>
                <w:sz w:val="28"/>
                <w:szCs w:val="36"/>
                <w:highlight w:val="none"/>
                <w:u w:val="none"/>
                <w:lang w:val="en-US" w:eastAsia="zh-CN"/>
              </w:rPr>
              <w:t>0</w:t>
            </w:r>
            <w:r>
              <w:rPr>
                <w:rFonts w:hint="default" w:ascii="Times New Roman" w:hAnsi="Times New Roman" w:eastAsia="方正仿宋_GBK" w:cs="Times New Roman"/>
                <w:sz w:val="28"/>
                <w:szCs w:val="36"/>
                <w:highlight w:val="none"/>
                <w:u w:val="none"/>
              </w:rPr>
              <w:t>分，满分</w:t>
            </w:r>
            <w:r>
              <w:rPr>
                <w:rFonts w:hint="eastAsia" w:ascii="Times New Roman" w:hAnsi="Times New Roman" w:eastAsia="方正仿宋_GBK" w:cs="Times New Roman"/>
                <w:sz w:val="28"/>
                <w:szCs w:val="36"/>
                <w:highlight w:val="none"/>
                <w:u w:val="none"/>
                <w:lang w:val="en-US" w:eastAsia="zh-CN"/>
              </w:rPr>
              <w:t>20</w:t>
            </w:r>
            <w:r>
              <w:rPr>
                <w:rFonts w:hint="default" w:ascii="Times New Roman" w:hAnsi="Times New Roman" w:eastAsia="方正仿宋_GBK" w:cs="Times New Roman"/>
                <w:sz w:val="28"/>
                <w:szCs w:val="36"/>
                <w:highlight w:val="none"/>
                <w:u w:val="none"/>
              </w:rPr>
              <w:t>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注：须提供以上项目合同关键页及盖有用户单位公章的履约评价扫描件，不提供或提供不全不得分。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0" w:hRule="atLeast"/>
          <w:jc w:val="center"/>
        </w:trPr>
        <w:tc>
          <w:tcPr>
            <w:tcW w:w="142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36"/>
                <w:highlight w:val="none"/>
                <w:u w:val="none"/>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36"/>
                <w:highlight w:val="none"/>
                <w:u w:val="none"/>
                <w:lang w:val="en-US" w:eastAsia="zh-CN"/>
              </w:rPr>
            </w:pPr>
            <w:r>
              <w:rPr>
                <w:rFonts w:hint="eastAsia" w:ascii="Times New Roman" w:hAnsi="Times New Roman" w:eastAsia="方正仿宋_GBK" w:cs="Times New Roman"/>
                <w:sz w:val="28"/>
                <w:szCs w:val="36"/>
                <w:highlight w:val="none"/>
                <w:u w:val="none"/>
                <w:lang w:val="en-US" w:eastAsia="zh-CN"/>
              </w:rPr>
              <w:t>平台运营经验（10分）</w:t>
            </w:r>
          </w:p>
        </w:tc>
        <w:tc>
          <w:tcPr>
            <w:tcW w:w="5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lang w:val="en-US" w:eastAsia="zh-CN"/>
              </w:rPr>
            </w:pPr>
            <w:r>
              <w:rPr>
                <w:rFonts w:hint="eastAsia" w:ascii="Times New Roman" w:hAnsi="Times New Roman" w:eastAsia="方正仿宋_GBK" w:cs="Times New Roman"/>
                <w:sz w:val="28"/>
                <w:szCs w:val="36"/>
                <w:highlight w:val="none"/>
                <w:u w:val="none"/>
                <w:lang w:val="en-US" w:eastAsia="zh-CN"/>
              </w:rPr>
              <w:t>具有小程序或系统等同类运营经营，</w:t>
            </w:r>
            <w:r>
              <w:rPr>
                <w:rFonts w:hint="default" w:ascii="Times New Roman" w:hAnsi="Times New Roman" w:eastAsia="方正仿宋_GBK" w:cs="Times New Roman"/>
                <w:sz w:val="28"/>
                <w:szCs w:val="36"/>
                <w:highlight w:val="none"/>
                <w:u w:val="none"/>
              </w:rPr>
              <w:t>每提供1项得</w:t>
            </w:r>
            <w:r>
              <w:rPr>
                <w:rFonts w:hint="eastAsia" w:ascii="Times New Roman" w:hAnsi="Times New Roman" w:eastAsia="方正仿宋_GBK" w:cs="Times New Roman"/>
                <w:sz w:val="28"/>
                <w:szCs w:val="36"/>
                <w:highlight w:val="none"/>
                <w:u w:val="none"/>
                <w:lang w:val="en-US" w:eastAsia="zh-CN"/>
              </w:rPr>
              <w:t>5</w:t>
            </w:r>
            <w:r>
              <w:rPr>
                <w:rFonts w:hint="default" w:ascii="Times New Roman" w:hAnsi="Times New Roman" w:eastAsia="方正仿宋_GBK" w:cs="Times New Roman"/>
                <w:sz w:val="28"/>
                <w:szCs w:val="36"/>
                <w:highlight w:val="none"/>
                <w:u w:val="none"/>
              </w:rPr>
              <w:t>分，满分</w:t>
            </w:r>
            <w:r>
              <w:rPr>
                <w:rFonts w:hint="eastAsia" w:ascii="Times New Roman" w:hAnsi="Times New Roman" w:eastAsia="方正仿宋_GBK" w:cs="Times New Roman"/>
                <w:sz w:val="28"/>
                <w:szCs w:val="36"/>
                <w:highlight w:val="none"/>
                <w:u w:val="none"/>
                <w:lang w:val="en-US" w:eastAsia="zh-CN"/>
              </w:rPr>
              <w:t>10</w:t>
            </w:r>
            <w:r>
              <w:rPr>
                <w:rFonts w:hint="default" w:ascii="Times New Roman" w:hAnsi="Times New Roman" w:eastAsia="方正仿宋_GBK" w:cs="Times New Roman"/>
                <w:sz w:val="28"/>
                <w:szCs w:val="36"/>
                <w:highlight w:val="none"/>
                <w:u w:val="none"/>
              </w:rPr>
              <w:t>分。注：须提供以上</w:t>
            </w:r>
            <w:r>
              <w:rPr>
                <w:rFonts w:hint="eastAsia" w:ascii="Times New Roman" w:hAnsi="Times New Roman" w:eastAsia="方正仿宋_GBK" w:cs="Times New Roman"/>
                <w:sz w:val="28"/>
                <w:szCs w:val="36"/>
                <w:highlight w:val="none"/>
                <w:u w:val="none"/>
                <w:lang w:val="en-US" w:eastAsia="zh-CN"/>
              </w:rPr>
              <w:t>运营经营的</w:t>
            </w:r>
            <w:r>
              <w:rPr>
                <w:rFonts w:hint="default" w:ascii="Times New Roman" w:hAnsi="Times New Roman" w:eastAsia="方正仿宋_GBK" w:cs="Times New Roman"/>
                <w:sz w:val="28"/>
                <w:szCs w:val="36"/>
                <w:highlight w:val="none"/>
                <w:u w:val="none"/>
              </w:rPr>
              <w:t>项目合同关键页</w:t>
            </w:r>
            <w:r>
              <w:rPr>
                <w:rFonts w:hint="eastAsia" w:ascii="Times New Roman" w:hAnsi="Times New Roman" w:eastAsia="方正仿宋_GBK" w:cs="Times New Roman"/>
                <w:sz w:val="28"/>
                <w:szCs w:val="36"/>
                <w:highlight w:val="none"/>
                <w:u w:val="none"/>
                <w:lang w:eastAsia="zh-CN"/>
              </w:rPr>
              <w:t>，</w:t>
            </w:r>
            <w:r>
              <w:rPr>
                <w:rFonts w:hint="eastAsia" w:ascii="Times New Roman" w:hAnsi="Times New Roman" w:eastAsia="方正仿宋_GBK" w:cs="Times New Roman"/>
                <w:sz w:val="28"/>
                <w:szCs w:val="36"/>
                <w:highlight w:val="none"/>
                <w:u w:val="none"/>
                <w:lang w:val="en-US" w:eastAsia="zh-CN"/>
              </w:rPr>
              <w:t>小程序或系统运营平台页面截图</w:t>
            </w:r>
            <w:r>
              <w:rPr>
                <w:rFonts w:hint="default" w:ascii="Times New Roman" w:hAnsi="Times New Roman" w:eastAsia="方正仿宋_GBK" w:cs="Times New Roman"/>
                <w:sz w:val="28"/>
                <w:szCs w:val="36"/>
                <w:highlight w:val="none"/>
                <w:u w:val="none"/>
              </w:rPr>
              <w:t>，不提供或提供不全不得分。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36"/>
                <w:highlight w:val="none"/>
                <w:u w:val="none"/>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服务资源对接能力 (</w:t>
            </w:r>
            <w:r>
              <w:rPr>
                <w:rFonts w:hint="eastAsia" w:ascii="Times New Roman" w:hAnsi="Times New Roman" w:eastAsia="方正仿宋_GBK" w:cs="Times New Roman"/>
                <w:sz w:val="28"/>
                <w:szCs w:val="36"/>
                <w:highlight w:val="none"/>
                <w:u w:val="none"/>
                <w:lang w:val="en-US" w:eastAsia="zh-CN"/>
              </w:rPr>
              <w:t>15</w:t>
            </w:r>
            <w:r>
              <w:rPr>
                <w:rFonts w:hint="default" w:ascii="Times New Roman" w:hAnsi="Times New Roman" w:eastAsia="方正仿宋_GBK" w:cs="Times New Roman"/>
                <w:sz w:val="28"/>
                <w:szCs w:val="36"/>
                <w:highlight w:val="none"/>
                <w:u w:val="none"/>
              </w:rPr>
              <w:t>分)</w:t>
            </w:r>
          </w:p>
        </w:tc>
        <w:tc>
          <w:tcPr>
            <w:tcW w:w="5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近</w:t>
            </w:r>
            <w:r>
              <w:rPr>
                <w:rFonts w:hint="default" w:ascii="Times New Roman" w:hAnsi="Times New Roman" w:eastAsia="方正仿宋_GBK" w:cs="Times New Roman"/>
                <w:sz w:val="28"/>
                <w:szCs w:val="36"/>
                <w:highlight w:val="none"/>
                <w:u w:val="none"/>
                <w:lang w:val="en-US" w:eastAsia="zh-CN"/>
              </w:rPr>
              <w:t>五</w:t>
            </w:r>
            <w:r>
              <w:rPr>
                <w:rFonts w:hint="default" w:ascii="Times New Roman" w:hAnsi="Times New Roman" w:eastAsia="方正仿宋_GBK" w:cs="Times New Roman"/>
                <w:sz w:val="28"/>
                <w:szCs w:val="36"/>
                <w:highlight w:val="none"/>
                <w:u w:val="none"/>
              </w:rPr>
              <w:t>年与商家、医疗机构等服务机构建立合作关系的，每1家得</w:t>
            </w:r>
            <w:r>
              <w:rPr>
                <w:rFonts w:hint="eastAsia" w:ascii="Times New Roman" w:hAnsi="Times New Roman" w:eastAsia="方正仿宋_GBK" w:cs="Times New Roman"/>
                <w:sz w:val="28"/>
                <w:szCs w:val="36"/>
                <w:highlight w:val="none"/>
                <w:u w:val="none"/>
                <w:lang w:val="en-US" w:eastAsia="zh-CN"/>
              </w:rPr>
              <w:t>1</w:t>
            </w:r>
            <w:r>
              <w:rPr>
                <w:rFonts w:hint="default" w:ascii="Times New Roman" w:hAnsi="Times New Roman" w:eastAsia="方正仿宋_GBK" w:cs="Times New Roman"/>
                <w:sz w:val="28"/>
                <w:szCs w:val="36"/>
                <w:highlight w:val="none"/>
                <w:u w:val="none"/>
              </w:rPr>
              <w:t>分</w:t>
            </w:r>
            <w:r>
              <w:rPr>
                <w:rFonts w:hint="eastAsia" w:ascii="Times New Roman" w:hAnsi="Times New Roman" w:eastAsia="方正仿宋_GBK" w:cs="Times New Roman"/>
                <w:sz w:val="28"/>
                <w:szCs w:val="36"/>
                <w:highlight w:val="none"/>
                <w:u w:val="none"/>
                <w:lang w:eastAsia="zh-CN"/>
              </w:rPr>
              <w:t>（</w:t>
            </w:r>
            <w:r>
              <w:rPr>
                <w:rFonts w:hint="eastAsia" w:ascii="Times New Roman" w:hAnsi="Times New Roman" w:eastAsia="方正仿宋_GBK" w:cs="Times New Roman"/>
                <w:sz w:val="28"/>
                <w:szCs w:val="36"/>
                <w:highlight w:val="none"/>
                <w:u w:val="none"/>
                <w:lang w:val="en-US" w:eastAsia="zh-CN"/>
              </w:rPr>
              <w:t>包括但不限于江门市人民医院、五邑中医院、江海区人民医院、江海区中西医结合医院、江门演艺中心、东湖公园、长廊生态园、小鸟天堂、儿童公园、江门市购书中心</w:t>
            </w:r>
            <w:r>
              <w:rPr>
                <w:rFonts w:hint="default" w:ascii="Times New Roman" w:hAnsi="Times New Roman" w:eastAsia="方正仿宋_GBK" w:cs="Times New Roman"/>
                <w:sz w:val="28"/>
                <w:szCs w:val="36"/>
                <w:highlight w:val="none"/>
                <w:u w:val="none"/>
              </w:rPr>
              <w:t>）。</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 xml:space="preserve"> 注：此项满分</w:t>
            </w:r>
            <w:r>
              <w:rPr>
                <w:rFonts w:hint="eastAsia" w:ascii="Times New Roman" w:hAnsi="Times New Roman" w:eastAsia="方正仿宋_GBK" w:cs="Times New Roman"/>
                <w:sz w:val="28"/>
                <w:szCs w:val="36"/>
                <w:highlight w:val="none"/>
                <w:u w:val="none"/>
                <w:lang w:val="en-US" w:eastAsia="zh-CN"/>
              </w:rPr>
              <w:t>15</w:t>
            </w:r>
            <w:r>
              <w:rPr>
                <w:rFonts w:hint="default" w:ascii="Times New Roman" w:hAnsi="Times New Roman" w:eastAsia="方正仿宋_GBK" w:cs="Times New Roman"/>
                <w:sz w:val="28"/>
                <w:szCs w:val="36"/>
                <w:highlight w:val="none"/>
                <w:u w:val="none"/>
              </w:rPr>
              <w:t>分，没有提供得0分。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商务部分</w:t>
            </w: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结算清分功能 (</w:t>
            </w:r>
            <w:r>
              <w:rPr>
                <w:rFonts w:hint="eastAsia" w:ascii="Times New Roman" w:hAnsi="Times New Roman" w:eastAsia="方正仿宋_GBK" w:cs="Times New Roman"/>
                <w:sz w:val="28"/>
                <w:szCs w:val="36"/>
                <w:highlight w:val="none"/>
                <w:u w:val="none"/>
                <w:lang w:val="en-US" w:eastAsia="zh-CN"/>
              </w:rPr>
              <w:t>10</w:t>
            </w:r>
            <w:r>
              <w:rPr>
                <w:rFonts w:hint="default" w:ascii="Times New Roman" w:hAnsi="Times New Roman" w:eastAsia="方正仿宋_GBK" w:cs="Times New Roman"/>
                <w:sz w:val="28"/>
                <w:szCs w:val="36"/>
                <w:highlight w:val="none"/>
                <w:u w:val="none"/>
              </w:rPr>
              <w:t>分)</w:t>
            </w:r>
          </w:p>
        </w:tc>
        <w:tc>
          <w:tcPr>
            <w:tcW w:w="5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 xml:space="preserve">能实现结算消费清分功能，便利实现结算。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注：需同时提供合规清分与银行的相关协议、提供后台查询清分银行到账规则及数据记录切图，不提供或提供不全不得分。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6"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36"/>
                <w:highlight w:val="none"/>
                <w:u w:val="none"/>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经验业绩 (</w:t>
            </w:r>
            <w:r>
              <w:rPr>
                <w:rFonts w:hint="eastAsia" w:ascii="Times New Roman" w:hAnsi="Times New Roman" w:eastAsia="方正仿宋_GBK" w:cs="Times New Roman"/>
                <w:sz w:val="28"/>
                <w:szCs w:val="36"/>
                <w:highlight w:val="none"/>
                <w:u w:val="none"/>
                <w:lang w:val="en-US" w:eastAsia="zh-CN"/>
              </w:rPr>
              <w:t>20</w:t>
            </w:r>
            <w:r>
              <w:rPr>
                <w:rFonts w:hint="default" w:ascii="Times New Roman" w:hAnsi="Times New Roman" w:eastAsia="方正仿宋_GBK" w:cs="Times New Roman"/>
                <w:sz w:val="28"/>
                <w:szCs w:val="36"/>
                <w:highlight w:val="none"/>
                <w:u w:val="none"/>
              </w:rPr>
              <w:t>分)</w:t>
            </w:r>
          </w:p>
        </w:tc>
        <w:tc>
          <w:tcPr>
            <w:tcW w:w="5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2020年1月1日至本项目投标截止之日具有人才平台消费结算项目经验（含总公司与分公司），满足上述要求的</w:t>
            </w:r>
            <w:r>
              <w:rPr>
                <w:rFonts w:hint="eastAsia" w:ascii="Times New Roman" w:hAnsi="Times New Roman" w:eastAsia="方正仿宋_GBK" w:cs="Times New Roman"/>
                <w:sz w:val="28"/>
                <w:szCs w:val="36"/>
                <w:highlight w:val="none"/>
                <w:u w:val="none"/>
                <w:lang w:val="en-US" w:eastAsia="zh-CN"/>
              </w:rPr>
              <w:t>每个</w:t>
            </w:r>
            <w:r>
              <w:rPr>
                <w:rFonts w:hint="default" w:ascii="Times New Roman" w:hAnsi="Times New Roman" w:eastAsia="方正仿宋_GBK" w:cs="Times New Roman"/>
                <w:sz w:val="28"/>
                <w:szCs w:val="36"/>
                <w:highlight w:val="none"/>
                <w:u w:val="none"/>
              </w:rPr>
              <w:t>得10分</w:t>
            </w:r>
            <w:r>
              <w:rPr>
                <w:rFonts w:hint="eastAsia" w:ascii="Times New Roman" w:hAnsi="Times New Roman" w:eastAsia="方正仿宋_GBK" w:cs="Times New Roman"/>
                <w:sz w:val="28"/>
                <w:szCs w:val="36"/>
                <w:highlight w:val="none"/>
                <w:u w:val="none"/>
                <w:lang w:val="en-US" w:eastAsia="zh-CN"/>
              </w:rPr>
              <w:t>，最高20分</w:t>
            </w:r>
            <w:r>
              <w:rPr>
                <w:rFonts w:hint="default" w:ascii="Times New Roman" w:hAnsi="Times New Roman" w:eastAsia="方正仿宋_GBK" w:cs="Times New Roman"/>
                <w:sz w:val="28"/>
                <w:szCs w:val="36"/>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rPr>
            </w:pPr>
            <w:r>
              <w:rPr>
                <w:rFonts w:hint="default" w:ascii="Times New Roman" w:hAnsi="Times New Roman" w:eastAsia="方正仿宋_GBK" w:cs="Times New Roman"/>
                <w:sz w:val="28"/>
                <w:szCs w:val="36"/>
                <w:highlight w:val="none"/>
                <w:u w:val="none"/>
              </w:rPr>
              <w:t>注：提供合同及软件线上运营的相关截图，如无法提供合同，评分中出现无证明资料或专家无法凭所提供资料判断是否得分的情况，一律作不得分处理。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426"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36"/>
                <w:highlight w:val="none"/>
                <w:u w:val="none"/>
              </w:rPr>
            </w:pPr>
          </w:p>
        </w:tc>
        <w:tc>
          <w:tcPr>
            <w:tcW w:w="21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lang w:val="en-US" w:eastAsia="zh-CN"/>
              </w:rPr>
            </w:pPr>
            <w:r>
              <w:rPr>
                <w:rFonts w:hint="eastAsia" w:ascii="Times New Roman" w:hAnsi="Times New Roman" w:eastAsia="方正仿宋_GBK" w:cs="Times New Roman"/>
                <w:sz w:val="28"/>
                <w:szCs w:val="36"/>
                <w:highlight w:val="none"/>
                <w:u w:val="none"/>
                <w:lang w:val="en-US" w:eastAsia="zh-CN"/>
              </w:rPr>
              <w:t>近三年财务报表（15分）</w:t>
            </w:r>
          </w:p>
        </w:tc>
        <w:tc>
          <w:tcPr>
            <w:tcW w:w="5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8"/>
                <w:szCs w:val="36"/>
                <w:highlight w:val="none"/>
                <w:u w:val="none"/>
                <w:lang w:val="en-US" w:eastAsia="zh-CN"/>
              </w:rPr>
            </w:pPr>
            <w:r>
              <w:rPr>
                <w:rFonts w:hint="eastAsia" w:ascii="Times New Roman" w:hAnsi="Times New Roman" w:eastAsia="方正仿宋_GBK" w:cs="Times New Roman"/>
                <w:sz w:val="28"/>
                <w:szCs w:val="36"/>
                <w:highlight w:val="none"/>
                <w:u w:val="none"/>
                <w:lang w:val="en-US" w:eastAsia="zh-CN"/>
              </w:rPr>
              <w:t>提交近三年公司财务报表，每提供1年得5分，满分15分。</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ZGM5Yjk1NzI0NzdhOTM5NGM2N2RiMjM2Y2QyMmQifQ=="/>
  </w:docVars>
  <w:rsids>
    <w:rsidRoot w:val="00000000"/>
    <w:rsid w:val="02FC01C4"/>
    <w:rsid w:val="513D15DF"/>
    <w:rsid w:val="59687F91"/>
    <w:rsid w:val="5A5205AA"/>
    <w:rsid w:val="5CE5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2024-05-09T09:23:00Z</dcterms:created>
  <dc:creator>DELL</dc:creator>
  <cp:lastModifiedBy>DELL</cp:lastModifiedBy>
  <dcterms:modified xsi:type="dcterms:W3CDTF">2024-05-09T09:40:41Z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9EDDF8827CCE44DA9FBB08C0A7B9FA5C_12</vt:lpwstr>
  </property>
</Properties>
</file>