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708" w:leftChars="-337" w:right="-248" w:rightChars="-118"/>
        <w:rPr>
          <w:rFonts w:ascii="宋体" w:hAnsi="宋体"/>
          <w:bCs/>
          <w:sz w:val="32"/>
          <w:szCs w:val="18"/>
        </w:rPr>
      </w:pPr>
      <w:r>
        <w:rPr>
          <w:rFonts w:hint="eastAsia" w:ascii="宋体" w:hAnsi="宋体"/>
          <w:bCs/>
          <w:sz w:val="32"/>
          <w:szCs w:val="18"/>
        </w:rPr>
        <w:t>附件1</w:t>
      </w: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rPr>
          <w:rFonts w:ascii="宋体" w:hAnsi="宋体"/>
          <w:b/>
          <w:sz w:val="44"/>
        </w:rPr>
      </w:pPr>
    </w:p>
    <w:p>
      <w:pPr>
        <w:spacing w:line="240" w:lineRule="exact"/>
        <w:ind w:right="-248" w:rightChars="-118"/>
        <w:jc w:val="center"/>
        <w:rPr>
          <w:rFonts w:ascii="宋体" w:hAnsi="宋体"/>
          <w:b/>
          <w:color w:val="000000"/>
          <w:sz w:val="44"/>
        </w:rPr>
      </w:pPr>
    </w:p>
    <w:p>
      <w:pPr>
        <w:pStyle w:val="21"/>
        <w:ind w:right="279" w:rightChars="133"/>
        <w:jc w:val="center"/>
        <w:rPr>
          <w:rFonts w:ascii="宋体" w:hAnsi="宋体"/>
          <w:b/>
          <w:color w:val="000000"/>
          <w:sz w:val="48"/>
          <w:szCs w:val="48"/>
        </w:rPr>
      </w:pPr>
      <w:r>
        <w:rPr>
          <w:rFonts w:hint="eastAsia" w:ascii="宋体" w:hAnsi="宋体"/>
          <w:b/>
          <w:bCs/>
          <w:color w:val="000000"/>
          <w:sz w:val="52"/>
          <w:szCs w:val="52"/>
        </w:rPr>
        <w:t>《江门市江海区和德路及应急产业项目占用耕地耕作层土壤剥离再利用方案》耕作层土壤剥离再利用工程项目</w:t>
      </w:r>
    </w:p>
    <w:p>
      <w:pPr>
        <w:spacing w:line="240" w:lineRule="exact"/>
        <w:ind w:right="-248" w:rightChars="-118"/>
        <w:jc w:val="center"/>
        <w:rPr>
          <w:rFonts w:ascii="宋体" w:hAnsi="宋体"/>
          <w:b/>
          <w:sz w:val="44"/>
        </w:rPr>
      </w:pPr>
    </w:p>
    <w:p>
      <w:pPr>
        <w:spacing w:line="240" w:lineRule="exact"/>
        <w:ind w:right="-248" w:rightChars="-118"/>
        <w:rPr>
          <w:rFonts w:ascii="宋体" w:hAnsi="宋体"/>
          <w:b/>
          <w:color w:val="000000"/>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ind w:right="-248" w:rightChars="-118"/>
        <w:jc w:val="center"/>
        <w:rPr>
          <w:rFonts w:ascii="宋体" w:hAnsi="宋体"/>
          <w:b/>
          <w:sz w:val="80"/>
          <w:szCs w:val="80"/>
        </w:rPr>
      </w:pPr>
      <w:r>
        <w:rPr>
          <w:rFonts w:hint="eastAsia" w:ascii="宋体" w:hAnsi="宋体"/>
          <w:b/>
          <w:sz w:val="80"/>
          <w:szCs w:val="80"/>
        </w:rPr>
        <w:t>招标文件</w:t>
      </w: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rPr>
          <w:rFonts w:ascii="宋体" w:hAnsi="宋体"/>
          <w:b/>
          <w:sz w:val="44"/>
        </w:rPr>
      </w:pPr>
    </w:p>
    <w:p>
      <w:pPr>
        <w:spacing w:line="240" w:lineRule="exact"/>
        <w:ind w:right="-248" w:rightChars="-118"/>
        <w:jc w:val="center"/>
        <w:rPr>
          <w:rFonts w:ascii="宋体" w:hAnsi="宋体"/>
          <w:b/>
          <w:sz w:val="44"/>
        </w:rPr>
      </w:pPr>
    </w:p>
    <w:p>
      <w:pPr>
        <w:spacing w:line="240" w:lineRule="exact"/>
        <w:ind w:right="-248" w:rightChars="-118"/>
        <w:jc w:val="center"/>
        <w:rPr>
          <w:rFonts w:ascii="宋体" w:hAnsi="宋体"/>
          <w:b/>
          <w:sz w:val="44"/>
        </w:rPr>
      </w:pPr>
    </w:p>
    <w:p>
      <w:pPr>
        <w:tabs>
          <w:tab w:val="left" w:pos="567"/>
          <w:tab w:val="left" w:pos="993"/>
          <w:tab w:val="left" w:pos="1620"/>
          <w:tab w:val="left" w:pos="1800"/>
        </w:tabs>
        <w:adjustRightInd w:val="0"/>
        <w:snapToGrid w:val="0"/>
        <w:spacing w:line="480" w:lineRule="auto"/>
        <w:ind w:left="3043" w:leftChars="473" w:hanging="2050" w:hangingChars="638"/>
        <w:textAlignment w:val="baseline"/>
        <w:rPr>
          <w:rFonts w:ascii="宋体" w:hAnsi="宋体"/>
          <w:b/>
          <w:color w:val="FF0000"/>
          <w:sz w:val="32"/>
          <w:szCs w:val="32"/>
        </w:rPr>
      </w:pPr>
      <w:r>
        <w:rPr>
          <w:rFonts w:hint="eastAsia" w:ascii="宋体" w:hAnsi="宋体"/>
          <w:b/>
          <w:sz w:val="32"/>
          <w:szCs w:val="32"/>
        </w:rPr>
        <w:t xml:space="preserve">      采购人</w:t>
      </w:r>
      <w:r>
        <w:rPr>
          <w:rFonts w:hint="eastAsia" w:ascii="宋体" w:hAnsi="宋体"/>
          <w:b/>
          <w:color w:val="000000"/>
          <w:sz w:val="32"/>
          <w:szCs w:val="32"/>
        </w:rPr>
        <w:t>：江门市江海区土地储备中心</w:t>
      </w:r>
    </w:p>
    <w:p>
      <w:pPr>
        <w:tabs>
          <w:tab w:val="left" w:pos="1620"/>
          <w:tab w:val="left" w:pos="1800"/>
        </w:tabs>
        <w:adjustRightInd w:val="0"/>
        <w:snapToGrid w:val="0"/>
        <w:spacing w:line="480" w:lineRule="auto"/>
        <w:ind w:left="3041" w:leftChars="1448"/>
        <w:textAlignment w:val="baseline"/>
        <w:rPr>
          <w:rFonts w:ascii="宋体" w:hAnsi="宋体"/>
          <w:b/>
          <w:color w:val="000000"/>
          <w:sz w:val="32"/>
          <w:szCs w:val="32"/>
        </w:rPr>
      </w:pPr>
    </w:p>
    <w:p>
      <w:pPr>
        <w:tabs>
          <w:tab w:val="left" w:pos="1620"/>
          <w:tab w:val="left" w:pos="1800"/>
        </w:tabs>
        <w:adjustRightInd w:val="0"/>
        <w:snapToGrid w:val="0"/>
        <w:spacing w:line="480" w:lineRule="auto"/>
        <w:ind w:firstLine="3213" w:firstLineChars="1000"/>
        <w:textAlignment w:val="baseline"/>
        <w:rPr>
          <w:rFonts w:ascii="宋体" w:hAnsi="宋体"/>
          <w:b/>
          <w:sz w:val="44"/>
          <w:szCs w:val="44"/>
        </w:rPr>
      </w:pPr>
      <w:r>
        <w:rPr>
          <w:rFonts w:hint="eastAsia" w:ascii="宋体" w:hAnsi="宋体"/>
          <w:b/>
          <w:color w:val="000000"/>
          <w:sz w:val="32"/>
          <w:szCs w:val="32"/>
        </w:rPr>
        <w:t>二○二四年二月</w:t>
      </w:r>
    </w:p>
    <w:p>
      <w:pPr>
        <w:tabs>
          <w:tab w:val="left" w:pos="1507"/>
        </w:tabs>
        <w:spacing w:line="240" w:lineRule="exact"/>
        <w:ind w:right="-248" w:rightChars="-118"/>
        <w:rPr>
          <w:rFonts w:ascii="宋体" w:hAnsi="宋体"/>
          <w:b/>
          <w:sz w:val="44"/>
          <w:szCs w:val="44"/>
        </w:rPr>
        <w:sectPr>
          <w:headerReference r:id="rId4" w:type="first"/>
          <w:headerReference r:id="rId3" w:type="default"/>
          <w:footerReference r:id="rId5" w:type="default"/>
          <w:footerReference r:id="rId6" w:type="even"/>
          <w:pgSz w:w="11906" w:h="16838"/>
          <w:pgMar w:top="1440" w:right="1418" w:bottom="1440" w:left="1418" w:header="851" w:footer="992" w:gutter="0"/>
          <w:pgNumType w:fmt="numberInDash"/>
          <w:cols w:space="720" w:num="1"/>
          <w:titlePg/>
          <w:docGrid w:linePitch="312" w:charSpace="0"/>
        </w:sectPr>
      </w:pPr>
    </w:p>
    <w:p>
      <w:pPr>
        <w:pStyle w:val="7"/>
        <w:rPr>
          <w:color w:val="auto"/>
        </w:rPr>
      </w:pPr>
    </w:p>
    <w:p>
      <w:pPr>
        <w:tabs>
          <w:tab w:val="left" w:pos="1507"/>
        </w:tabs>
        <w:ind w:right="-248" w:rightChars="-118"/>
        <w:jc w:val="center"/>
        <w:rPr>
          <w:rFonts w:ascii="宋体" w:hAnsi="宋体"/>
          <w:b/>
          <w:sz w:val="44"/>
          <w:szCs w:val="44"/>
        </w:rPr>
      </w:pPr>
      <w:r>
        <w:rPr>
          <w:rFonts w:hint="eastAsia" w:ascii="宋体" w:hAnsi="宋体"/>
          <w:b/>
          <w:sz w:val="44"/>
          <w:szCs w:val="44"/>
        </w:rPr>
        <w:t>目录</w:t>
      </w:r>
    </w:p>
    <w:p>
      <w:pPr>
        <w:tabs>
          <w:tab w:val="left" w:pos="1507"/>
        </w:tabs>
        <w:spacing w:line="240" w:lineRule="exact"/>
        <w:ind w:right="-248" w:rightChars="-118"/>
        <w:jc w:val="center"/>
        <w:rPr>
          <w:rFonts w:ascii="宋体" w:hAnsi="宋体" w:cs="宋体"/>
          <w:b/>
          <w:sz w:val="44"/>
          <w:szCs w:val="44"/>
        </w:rPr>
      </w:pPr>
    </w:p>
    <w:p>
      <w:pPr>
        <w:pStyle w:val="35"/>
        <w:tabs>
          <w:tab w:val="right" w:leader="dot" w:pos="9070"/>
          <w:tab w:val="clear" w:pos="8296"/>
        </w:tabs>
      </w:pPr>
      <w:r>
        <w:rPr>
          <w:rFonts w:ascii="宋体" w:hAnsi="宋体" w:cs="宋体"/>
        </w:rPr>
        <w:fldChar w:fldCharType="begin"/>
      </w:r>
      <w:r>
        <w:rPr>
          <w:rFonts w:ascii="宋体" w:hAnsi="宋体" w:cs="宋体"/>
        </w:rPr>
        <w:instrText xml:space="preserve"> TOC \o "1-2" \u </w:instrText>
      </w:r>
      <w:r>
        <w:rPr>
          <w:rFonts w:ascii="宋体" w:hAnsi="宋体" w:cs="宋体"/>
        </w:rPr>
        <w:fldChar w:fldCharType="separate"/>
      </w:r>
      <w:r>
        <w:rPr>
          <w:rFonts w:hint="eastAsia"/>
          <w:szCs w:val="50"/>
        </w:rPr>
        <w:t>第一章 投标邀请</w:t>
      </w:r>
      <w:r>
        <w:tab/>
      </w:r>
      <w:r>
        <w:fldChar w:fldCharType="begin"/>
      </w:r>
      <w:r>
        <w:instrText xml:space="preserve"> PAGEREF _Toc22931 \h </w:instrText>
      </w:r>
      <w:r>
        <w:fldChar w:fldCharType="separate"/>
      </w:r>
      <w:r>
        <w:t>- 3 -</w:t>
      </w:r>
      <w:r>
        <w:fldChar w:fldCharType="end"/>
      </w:r>
    </w:p>
    <w:p>
      <w:pPr>
        <w:pStyle w:val="35"/>
        <w:tabs>
          <w:tab w:val="right" w:leader="dot" w:pos="9070"/>
          <w:tab w:val="clear" w:pos="8296"/>
        </w:tabs>
      </w:pPr>
      <w:r>
        <w:rPr>
          <w:rFonts w:hint="eastAsia"/>
          <w:szCs w:val="50"/>
        </w:rPr>
        <w:t>第二章 投标人须知</w:t>
      </w:r>
      <w:r>
        <w:tab/>
      </w:r>
      <w:r>
        <w:fldChar w:fldCharType="begin"/>
      </w:r>
      <w:r>
        <w:instrText xml:space="preserve"> PAGEREF _Toc247 \h </w:instrText>
      </w:r>
      <w:r>
        <w:fldChar w:fldCharType="separate"/>
      </w:r>
      <w:r>
        <w:t>- 6 -</w:t>
      </w:r>
      <w:r>
        <w:fldChar w:fldCharType="end"/>
      </w:r>
    </w:p>
    <w:p>
      <w:pPr>
        <w:pStyle w:val="35"/>
        <w:tabs>
          <w:tab w:val="right" w:leader="dot" w:pos="9070"/>
          <w:tab w:val="clear" w:pos="8296"/>
        </w:tabs>
      </w:pPr>
      <w:r>
        <w:rPr>
          <w:rFonts w:hint="eastAsia" w:ascii="宋体" w:hAnsi="宋体"/>
          <w:szCs w:val="30"/>
          <w:lang w:eastAsia="zh-TW"/>
        </w:rPr>
        <w:t>须知前附表</w:t>
      </w:r>
      <w:r>
        <w:tab/>
      </w:r>
      <w:r>
        <w:fldChar w:fldCharType="begin"/>
      </w:r>
      <w:r>
        <w:instrText xml:space="preserve"> PAGEREF _Toc31685 \h </w:instrText>
      </w:r>
      <w:r>
        <w:fldChar w:fldCharType="separate"/>
      </w:r>
      <w:r>
        <w:t>- 6 -</w:t>
      </w:r>
      <w:r>
        <w:fldChar w:fldCharType="end"/>
      </w:r>
    </w:p>
    <w:p>
      <w:pPr>
        <w:pStyle w:val="35"/>
        <w:tabs>
          <w:tab w:val="right" w:leader="dot" w:pos="9070"/>
          <w:tab w:val="clear" w:pos="8296"/>
        </w:tabs>
      </w:pPr>
      <w:r>
        <w:rPr>
          <w:rFonts w:hint="eastAsia" w:ascii="宋体" w:hAnsi="宋体"/>
          <w:szCs w:val="28"/>
          <w:lang w:eastAsia="zh-TW"/>
        </w:rPr>
        <w:t>说 明</w:t>
      </w:r>
      <w:r>
        <w:tab/>
      </w:r>
      <w:r>
        <w:fldChar w:fldCharType="begin"/>
      </w:r>
      <w:r>
        <w:instrText xml:space="preserve"> PAGEREF _Toc16346 \h </w:instrText>
      </w:r>
      <w:r>
        <w:fldChar w:fldCharType="separate"/>
      </w:r>
      <w:r>
        <w:t>- 7 -</w:t>
      </w:r>
      <w:r>
        <w:fldChar w:fldCharType="end"/>
      </w:r>
    </w:p>
    <w:p>
      <w:pPr>
        <w:pStyle w:val="35"/>
        <w:tabs>
          <w:tab w:val="right" w:leader="dot" w:pos="9070"/>
          <w:tab w:val="clear" w:pos="8296"/>
        </w:tabs>
      </w:pPr>
      <w:r>
        <w:rPr>
          <w:rFonts w:hint="eastAsia" w:ascii="宋体" w:hAnsi="宋体"/>
          <w:bCs/>
          <w:szCs w:val="21"/>
        </w:rPr>
        <w:t>1 适用范围</w:t>
      </w:r>
      <w:r>
        <w:tab/>
      </w:r>
      <w:r>
        <w:fldChar w:fldCharType="begin"/>
      </w:r>
      <w:r>
        <w:instrText xml:space="preserve"> PAGEREF _Toc32719 \h </w:instrText>
      </w:r>
      <w:r>
        <w:fldChar w:fldCharType="separate"/>
      </w:r>
      <w:r>
        <w:t>- 7 -</w:t>
      </w:r>
      <w:r>
        <w:fldChar w:fldCharType="end"/>
      </w:r>
    </w:p>
    <w:p>
      <w:pPr>
        <w:pStyle w:val="35"/>
        <w:tabs>
          <w:tab w:val="right" w:leader="dot" w:pos="9070"/>
          <w:tab w:val="clear" w:pos="8296"/>
        </w:tabs>
      </w:pPr>
      <w:r>
        <w:rPr>
          <w:rFonts w:hint="eastAsia" w:ascii="宋体" w:hAnsi="宋体"/>
          <w:bCs/>
          <w:szCs w:val="21"/>
        </w:rPr>
        <w:t>2 监管部门及招标采购单位</w:t>
      </w:r>
      <w:r>
        <w:tab/>
      </w:r>
      <w:r>
        <w:fldChar w:fldCharType="begin"/>
      </w:r>
      <w:r>
        <w:instrText xml:space="preserve"> PAGEREF _Toc24133 \h </w:instrText>
      </w:r>
      <w:r>
        <w:fldChar w:fldCharType="separate"/>
      </w:r>
      <w:r>
        <w:t>- 7 -</w:t>
      </w:r>
      <w:r>
        <w:fldChar w:fldCharType="end"/>
      </w:r>
    </w:p>
    <w:p>
      <w:pPr>
        <w:pStyle w:val="35"/>
        <w:tabs>
          <w:tab w:val="right" w:leader="dot" w:pos="9070"/>
          <w:tab w:val="clear" w:pos="8296"/>
        </w:tabs>
      </w:pPr>
      <w:r>
        <w:rPr>
          <w:rFonts w:hint="eastAsia" w:ascii="宋体" w:hAnsi="宋体"/>
          <w:bCs/>
          <w:szCs w:val="21"/>
        </w:rPr>
        <w:t>3 合格的投标人</w:t>
      </w:r>
      <w:r>
        <w:tab/>
      </w:r>
      <w:r>
        <w:fldChar w:fldCharType="begin"/>
      </w:r>
      <w:r>
        <w:instrText xml:space="preserve"> PAGEREF _Toc24342 \h </w:instrText>
      </w:r>
      <w:r>
        <w:fldChar w:fldCharType="separate"/>
      </w:r>
      <w:r>
        <w:t>- 7 -</w:t>
      </w:r>
      <w:r>
        <w:fldChar w:fldCharType="end"/>
      </w:r>
    </w:p>
    <w:p>
      <w:pPr>
        <w:pStyle w:val="35"/>
        <w:tabs>
          <w:tab w:val="right" w:leader="dot" w:pos="9070"/>
          <w:tab w:val="clear" w:pos="8296"/>
        </w:tabs>
      </w:pPr>
      <w:r>
        <w:rPr>
          <w:rFonts w:hint="eastAsia" w:ascii="宋体" w:hAnsi="宋体"/>
          <w:bCs/>
          <w:szCs w:val="21"/>
        </w:rPr>
        <w:t>4 合格的服务和货物</w:t>
      </w:r>
      <w:r>
        <w:tab/>
      </w:r>
      <w:r>
        <w:fldChar w:fldCharType="begin"/>
      </w:r>
      <w:r>
        <w:instrText xml:space="preserve"> PAGEREF _Toc25208 \h </w:instrText>
      </w:r>
      <w:r>
        <w:fldChar w:fldCharType="separate"/>
      </w:r>
      <w:r>
        <w:t>- 7 -</w:t>
      </w:r>
      <w:r>
        <w:fldChar w:fldCharType="end"/>
      </w:r>
    </w:p>
    <w:p>
      <w:pPr>
        <w:pStyle w:val="35"/>
        <w:tabs>
          <w:tab w:val="right" w:leader="dot" w:pos="9070"/>
          <w:tab w:val="clear" w:pos="8296"/>
        </w:tabs>
      </w:pPr>
      <w:r>
        <w:rPr>
          <w:rFonts w:hint="eastAsia" w:ascii="宋体" w:hAnsi="宋体"/>
          <w:bCs/>
          <w:szCs w:val="21"/>
        </w:rPr>
        <w:t>5 投标费用</w:t>
      </w:r>
      <w:r>
        <w:tab/>
      </w:r>
      <w:r>
        <w:fldChar w:fldCharType="begin"/>
      </w:r>
      <w:r>
        <w:instrText xml:space="preserve"> PAGEREF _Toc30596 \h </w:instrText>
      </w:r>
      <w:r>
        <w:fldChar w:fldCharType="separate"/>
      </w:r>
      <w:r>
        <w:t>- 8 -</w:t>
      </w:r>
      <w:r>
        <w:fldChar w:fldCharType="end"/>
      </w:r>
    </w:p>
    <w:p>
      <w:pPr>
        <w:pStyle w:val="35"/>
        <w:tabs>
          <w:tab w:val="right" w:leader="dot" w:pos="9070"/>
          <w:tab w:val="clear" w:pos="8296"/>
        </w:tabs>
      </w:pPr>
      <w:r>
        <w:rPr>
          <w:rFonts w:hint="eastAsia" w:ascii="宋体" w:hAnsi="宋体"/>
          <w:bCs/>
          <w:szCs w:val="21"/>
        </w:rPr>
        <w:t xml:space="preserve">6 </w:t>
      </w:r>
      <w:r>
        <w:rPr>
          <w:rFonts w:hint="eastAsia"/>
          <w:bCs/>
          <w:szCs w:val="21"/>
        </w:rPr>
        <w:t>政府采购信用担保</w:t>
      </w:r>
      <w:r>
        <w:tab/>
      </w:r>
      <w:r>
        <w:fldChar w:fldCharType="begin"/>
      </w:r>
      <w:r>
        <w:instrText xml:space="preserve"> PAGEREF _Toc2232 \h </w:instrText>
      </w:r>
      <w:r>
        <w:fldChar w:fldCharType="separate"/>
      </w:r>
      <w:r>
        <w:t>- 8 -</w:t>
      </w:r>
      <w:r>
        <w:fldChar w:fldCharType="end"/>
      </w:r>
    </w:p>
    <w:p>
      <w:pPr>
        <w:pStyle w:val="35"/>
        <w:tabs>
          <w:tab w:val="right" w:leader="dot" w:pos="9070"/>
          <w:tab w:val="clear" w:pos="8296"/>
        </w:tabs>
      </w:pPr>
      <w:r>
        <w:rPr>
          <w:rFonts w:ascii="宋体" w:hAnsi="宋体"/>
          <w:szCs w:val="28"/>
          <w:lang w:eastAsia="zh-TW"/>
        </w:rPr>
        <w:t xml:space="preserve">一、 </w:t>
      </w:r>
      <w:r>
        <w:rPr>
          <w:rFonts w:hint="eastAsia" w:ascii="宋体" w:hAnsi="宋体"/>
          <w:szCs w:val="28"/>
          <w:lang w:eastAsia="zh-TW"/>
        </w:rPr>
        <w:t>招标文件</w:t>
      </w:r>
      <w:r>
        <w:tab/>
      </w:r>
      <w:r>
        <w:fldChar w:fldCharType="begin"/>
      </w:r>
      <w:r>
        <w:instrText xml:space="preserve"> PAGEREF _Toc6723 \h </w:instrText>
      </w:r>
      <w:r>
        <w:fldChar w:fldCharType="separate"/>
      </w:r>
      <w:r>
        <w:t>- 8 -</w:t>
      </w:r>
      <w:r>
        <w:fldChar w:fldCharType="end"/>
      </w:r>
    </w:p>
    <w:p>
      <w:pPr>
        <w:pStyle w:val="35"/>
        <w:tabs>
          <w:tab w:val="right" w:leader="dot" w:pos="9070"/>
          <w:tab w:val="clear" w:pos="8296"/>
        </w:tabs>
      </w:pPr>
      <w:r>
        <w:rPr>
          <w:rFonts w:hint="eastAsia" w:ascii="宋体" w:hAnsi="宋体"/>
          <w:bCs/>
          <w:szCs w:val="21"/>
        </w:rPr>
        <w:t>7 招标文件的编制依据与构成</w:t>
      </w:r>
      <w:r>
        <w:tab/>
      </w:r>
      <w:r>
        <w:fldChar w:fldCharType="begin"/>
      </w:r>
      <w:r>
        <w:instrText xml:space="preserve"> PAGEREF _Toc13209 \h </w:instrText>
      </w:r>
      <w:r>
        <w:fldChar w:fldCharType="separate"/>
      </w:r>
      <w:r>
        <w:t>- 8 -</w:t>
      </w:r>
      <w:r>
        <w:fldChar w:fldCharType="end"/>
      </w:r>
    </w:p>
    <w:p>
      <w:pPr>
        <w:pStyle w:val="35"/>
        <w:tabs>
          <w:tab w:val="right" w:leader="dot" w:pos="9070"/>
          <w:tab w:val="clear" w:pos="8296"/>
        </w:tabs>
      </w:pPr>
      <w:r>
        <w:rPr>
          <w:rFonts w:hint="eastAsia" w:ascii="宋体" w:hAnsi="宋体"/>
          <w:bCs/>
          <w:szCs w:val="21"/>
        </w:rPr>
        <w:t>8 招标文件的澄清</w:t>
      </w:r>
      <w:r>
        <w:tab/>
      </w:r>
      <w:r>
        <w:fldChar w:fldCharType="begin"/>
      </w:r>
      <w:r>
        <w:instrText xml:space="preserve"> PAGEREF _Toc25957 \h </w:instrText>
      </w:r>
      <w:r>
        <w:fldChar w:fldCharType="separate"/>
      </w:r>
      <w:r>
        <w:t>- 8 -</w:t>
      </w:r>
      <w:r>
        <w:fldChar w:fldCharType="end"/>
      </w:r>
    </w:p>
    <w:p>
      <w:pPr>
        <w:pStyle w:val="35"/>
        <w:tabs>
          <w:tab w:val="right" w:leader="dot" w:pos="9070"/>
          <w:tab w:val="clear" w:pos="8296"/>
        </w:tabs>
      </w:pPr>
      <w:r>
        <w:rPr>
          <w:rFonts w:hint="eastAsia" w:ascii="宋体" w:hAnsi="宋体"/>
          <w:bCs/>
          <w:szCs w:val="21"/>
        </w:rPr>
        <w:t>9 招标文件的修改</w:t>
      </w:r>
      <w:r>
        <w:tab/>
      </w:r>
      <w:r>
        <w:fldChar w:fldCharType="begin"/>
      </w:r>
      <w:r>
        <w:instrText xml:space="preserve"> PAGEREF _Toc24456 \h </w:instrText>
      </w:r>
      <w:r>
        <w:fldChar w:fldCharType="separate"/>
      </w:r>
      <w:r>
        <w:t>- 9 -</w:t>
      </w:r>
      <w:r>
        <w:fldChar w:fldCharType="end"/>
      </w:r>
    </w:p>
    <w:p>
      <w:pPr>
        <w:pStyle w:val="35"/>
        <w:tabs>
          <w:tab w:val="right" w:leader="dot" w:pos="9070"/>
          <w:tab w:val="clear" w:pos="8296"/>
        </w:tabs>
      </w:pPr>
      <w:r>
        <w:rPr>
          <w:rFonts w:ascii="宋体" w:hAnsi="宋体"/>
          <w:szCs w:val="28"/>
          <w:lang w:eastAsia="zh-TW"/>
        </w:rPr>
        <w:t xml:space="preserve">二、 </w:t>
      </w:r>
      <w:r>
        <w:rPr>
          <w:rFonts w:hint="eastAsia" w:ascii="宋体" w:hAnsi="宋体"/>
          <w:szCs w:val="28"/>
          <w:lang w:eastAsia="zh-TW"/>
        </w:rPr>
        <w:t>投标文件的编制</w:t>
      </w:r>
      <w:r>
        <w:tab/>
      </w:r>
      <w:r>
        <w:fldChar w:fldCharType="begin"/>
      </w:r>
      <w:r>
        <w:instrText xml:space="preserve"> PAGEREF _Toc26553 \h </w:instrText>
      </w:r>
      <w:r>
        <w:fldChar w:fldCharType="separate"/>
      </w:r>
      <w:r>
        <w:t>- 9 -</w:t>
      </w:r>
      <w:r>
        <w:fldChar w:fldCharType="end"/>
      </w:r>
    </w:p>
    <w:p>
      <w:pPr>
        <w:pStyle w:val="35"/>
        <w:tabs>
          <w:tab w:val="right" w:leader="dot" w:pos="9070"/>
          <w:tab w:val="clear" w:pos="8296"/>
        </w:tabs>
      </w:pPr>
      <w:r>
        <w:rPr>
          <w:rFonts w:hint="eastAsia" w:ascii="宋体" w:hAnsi="宋体"/>
          <w:bCs/>
          <w:szCs w:val="21"/>
        </w:rPr>
        <w:t>10 投标的语言</w:t>
      </w:r>
      <w:r>
        <w:tab/>
      </w:r>
      <w:r>
        <w:fldChar w:fldCharType="begin"/>
      </w:r>
      <w:r>
        <w:instrText xml:space="preserve"> PAGEREF _Toc15306 \h </w:instrText>
      </w:r>
      <w:r>
        <w:fldChar w:fldCharType="separate"/>
      </w:r>
      <w:r>
        <w:t>- 9 -</w:t>
      </w:r>
      <w:r>
        <w:fldChar w:fldCharType="end"/>
      </w:r>
    </w:p>
    <w:p>
      <w:pPr>
        <w:pStyle w:val="35"/>
        <w:tabs>
          <w:tab w:val="right" w:leader="dot" w:pos="9070"/>
          <w:tab w:val="clear" w:pos="8296"/>
        </w:tabs>
      </w:pPr>
      <w:r>
        <w:rPr>
          <w:rFonts w:hint="eastAsia" w:ascii="宋体" w:hAnsi="宋体"/>
          <w:bCs/>
          <w:szCs w:val="21"/>
        </w:rPr>
        <w:t>11 投标文件的构成</w:t>
      </w:r>
      <w:r>
        <w:tab/>
      </w:r>
      <w:r>
        <w:fldChar w:fldCharType="begin"/>
      </w:r>
      <w:r>
        <w:instrText xml:space="preserve"> PAGEREF _Toc18524 \h </w:instrText>
      </w:r>
      <w:r>
        <w:fldChar w:fldCharType="separate"/>
      </w:r>
      <w:r>
        <w:t>- 9 -</w:t>
      </w:r>
      <w:r>
        <w:fldChar w:fldCharType="end"/>
      </w:r>
    </w:p>
    <w:p>
      <w:pPr>
        <w:pStyle w:val="35"/>
        <w:tabs>
          <w:tab w:val="right" w:leader="dot" w:pos="9070"/>
          <w:tab w:val="clear" w:pos="8296"/>
        </w:tabs>
      </w:pPr>
      <w:r>
        <w:rPr>
          <w:rFonts w:hint="eastAsia" w:ascii="宋体" w:hAnsi="宋体"/>
          <w:bCs/>
          <w:szCs w:val="21"/>
        </w:rPr>
        <w:t>12 投标文件的编写</w:t>
      </w:r>
      <w:r>
        <w:tab/>
      </w:r>
      <w:r>
        <w:fldChar w:fldCharType="begin"/>
      </w:r>
      <w:r>
        <w:instrText xml:space="preserve"> PAGEREF _Toc23624 \h </w:instrText>
      </w:r>
      <w:r>
        <w:fldChar w:fldCharType="separate"/>
      </w:r>
      <w:r>
        <w:t>- 10 -</w:t>
      </w:r>
      <w:r>
        <w:fldChar w:fldCharType="end"/>
      </w:r>
    </w:p>
    <w:p>
      <w:pPr>
        <w:pStyle w:val="35"/>
        <w:tabs>
          <w:tab w:val="right" w:leader="dot" w:pos="9070"/>
          <w:tab w:val="clear" w:pos="8296"/>
        </w:tabs>
      </w:pPr>
      <w:r>
        <w:rPr>
          <w:rFonts w:hint="eastAsia" w:ascii="宋体" w:hAnsi="宋体"/>
          <w:bCs/>
          <w:szCs w:val="21"/>
        </w:rPr>
        <w:t>13 投标报价</w:t>
      </w:r>
      <w:r>
        <w:tab/>
      </w:r>
      <w:r>
        <w:fldChar w:fldCharType="begin"/>
      </w:r>
      <w:r>
        <w:instrText xml:space="preserve"> PAGEREF _Toc14283 \h </w:instrText>
      </w:r>
      <w:r>
        <w:fldChar w:fldCharType="separate"/>
      </w:r>
      <w:r>
        <w:t>- 10 -</w:t>
      </w:r>
      <w:r>
        <w:fldChar w:fldCharType="end"/>
      </w:r>
    </w:p>
    <w:p>
      <w:pPr>
        <w:pStyle w:val="35"/>
        <w:tabs>
          <w:tab w:val="right" w:leader="dot" w:pos="9070"/>
          <w:tab w:val="clear" w:pos="8296"/>
        </w:tabs>
      </w:pPr>
      <w:r>
        <w:rPr>
          <w:rFonts w:hint="eastAsia" w:ascii="宋体" w:hAnsi="宋体"/>
          <w:bCs/>
          <w:szCs w:val="21"/>
        </w:rPr>
        <w:t>14 投标货币</w:t>
      </w:r>
      <w:r>
        <w:tab/>
      </w:r>
      <w:r>
        <w:fldChar w:fldCharType="begin"/>
      </w:r>
      <w:r>
        <w:instrText xml:space="preserve"> PAGEREF _Toc21214 \h </w:instrText>
      </w:r>
      <w:r>
        <w:fldChar w:fldCharType="separate"/>
      </w:r>
      <w:r>
        <w:t>- 11 -</w:t>
      </w:r>
      <w:r>
        <w:fldChar w:fldCharType="end"/>
      </w:r>
    </w:p>
    <w:p>
      <w:pPr>
        <w:pStyle w:val="35"/>
        <w:tabs>
          <w:tab w:val="right" w:leader="dot" w:pos="9070"/>
          <w:tab w:val="clear" w:pos="8296"/>
        </w:tabs>
      </w:pPr>
      <w:r>
        <w:rPr>
          <w:rFonts w:hint="eastAsia" w:ascii="宋体" w:hAnsi="宋体"/>
          <w:bCs/>
          <w:szCs w:val="21"/>
        </w:rPr>
        <w:t>15 联合体投标</w:t>
      </w:r>
      <w:r>
        <w:tab/>
      </w:r>
      <w:r>
        <w:fldChar w:fldCharType="begin"/>
      </w:r>
      <w:r>
        <w:instrText xml:space="preserve"> PAGEREF _Toc24188 \h </w:instrText>
      </w:r>
      <w:r>
        <w:fldChar w:fldCharType="separate"/>
      </w:r>
      <w:r>
        <w:t>- 11 -</w:t>
      </w:r>
      <w:r>
        <w:fldChar w:fldCharType="end"/>
      </w:r>
    </w:p>
    <w:p>
      <w:pPr>
        <w:pStyle w:val="35"/>
        <w:tabs>
          <w:tab w:val="right" w:leader="dot" w:pos="9070"/>
          <w:tab w:val="clear" w:pos="8296"/>
        </w:tabs>
      </w:pPr>
      <w:r>
        <w:rPr>
          <w:rFonts w:hint="eastAsia" w:ascii="宋体" w:hAnsi="宋体"/>
          <w:bCs/>
          <w:szCs w:val="21"/>
        </w:rPr>
        <w:t>16 证明投标人合格和资格的文件</w:t>
      </w:r>
      <w:r>
        <w:tab/>
      </w:r>
      <w:r>
        <w:fldChar w:fldCharType="begin"/>
      </w:r>
      <w:r>
        <w:instrText xml:space="preserve"> PAGEREF _Toc13325 \h </w:instrText>
      </w:r>
      <w:r>
        <w:fldChar w:fldCharType="separate"/>
      </w:r>
      <w:r>
        <w:t>- 11 -</w:t>
      </w:r>
      <w:r>
        <w:fldChar w:fldCharType="end"/>
      </w:r>
    </w:p>
    <w:p>
      <w:pPr>
        <w:pStyle w:val="35"/>
        <w:tabs>
          <w:tab w:val="right" w:leader="dot" w:pos="9070"/>
          <w:tab w:val="clear" w:pos="8296"/>
        </w:tabs>
      </w:pPr>
      <w:r>
        <w:rPr>
          <w:rFonts w:hint="eastAsia" w:ascii="宋体" w:hAnsi="宋体"/>
          <w:bCs/>
          <w:szCs w:val="21"/>
        </w:rPr>
        <w:t>17 证明服务的合格性和符合招标文件规定的文件</w:t>
      </w:r>
      <w:r>
        <w:tab/>
      </w:r>
      <w:r>
        <w:fldChar w:fldCharType="begin"/>
      </w:r>
      <w:r>
        <w:instrText xml:space="preserve"> PAGEREF _Toc23882 \h </w:instrText>
      </w:r>
      <w:r>
        <w:fldChar w:fldCharType="separate"/>
      </w:r>
      <w:r>
        <w:t>- 11 -</w:t>
      </w:r>
      <w:r>
        <w:fldChar w:fldCharType="end"/>
      </w:r>
    </w:p>
    <w:p>
      <w:pPr>
        <w:pStyle w:val="35"/>
        <w:tabs>
          <w:tab w:val="right" w:leader="dot" w:pos="9070"/>
          <w:tab w:val="clear" w:pos="8296"/>
        </w:tabs>
      </w:pPr>
      <w:r>
        <w:rPr>
          <w:rFonts w:hint="eastAsia" w:ascii="宋体" w:hAnsi="宋体"/>
          <w:bCs/>
          <w:szCs w:val="21"/>
        </w:rPr>
        <w:t>18 投标有效期</w:t>
      </w:r>
      <w:r>
        <w:tab/>
      </w:r>
      <w:r>
        <w:fldChar w:fldCharType="begin"/>
      </w:r>
      <w:r>
        <w:instrText xml:space="preserve"> PAGEREF _Toc27190 \h </w:instrText>
      </w:r>
      <w:r>
        <w:fldChar w:fldCharType="separate"/>
      </w:r>
      <w:r>
        <w:t>- 11 -</w:t>
      </w:r>
      <w:r>
        <w:fldChar w:fldCharType="end"/>
      </w:r>
    </w:p>
    <w:p>
      <w:pPr>
        <w:pStyle w:val="35"/>
        <w:tabs>
          <w:tab w:val="right" w:leader="dot" w:pos="9070"/>
          <w:tab w:val="clear" w:pos="8296"/>
        </w:tabs>
      </w:pPr>
      <w:r>
        <w:rPr>
          <w:rFonts w:hint="eastAsia" w:ascii="宋体" w:hAnsi="宋体"/>
          <w:bCs/>
          <w:szCs w:val="21"/>
        </w:rPr>
        <w:t>19 投标文件的式样和签署</w:t>
      </w:r>
      <w:r>
        <w:tab/>
      </w:r>
      <w:r>
        <w:fldChar w:fldCharType="begin"/>
      </w:r>
      <w:r>
        <w:instrText xml:space="preserve"> PAGEREF _Toc22072 \h </w:instrText>
      </w:r>
      <w:r>
        <w:fldChar w:fldCharType="separate"/>
      </w:r>
      <w:r>
        <w:t>- 11 -</w:t>
      </w:r>
      <w:r>
        <w:fldChar w:fldCharType="end"/>
      </w:r>
    </w:p>
    <w:p>
      <w:pPr>
        <w:pStyle w:val="35"/>
        <w:tabs>
          <w:tab w:val="right" w:leader="dot" w:pos="9070"/>
          <w:tab w:val="clear" w:pos="8296"/>
        </w:tabs>
      </w:pPr>
      <w:r>
        <w:rPr>
          <w:rFonts w:ascii="宋体" w:hAnsi="宋体"/>
          <w:szCs w:val="28"/>
          <w:lang w:eastAsia="zh-TW"/>
        </w:rPr>
        <w:t xml:space="preserve">三、 </w:t>
      </w:r>
      <w:r>
        <w:rPr>
          <w:rFonts w:hint="eastAsia" w:ascii="宋体" w:hAnsi="宋体"/>
          <w:szCs w:val="28"/>
          <w:lang w:eastAsia="zh-TW"/>
        </w:rPr>
        <w:t>投标文件的递交</w:t>
      </w:r>
      <w:r>
        <w:tab/>
      </w:r>
      <w:r>
        <w:fldChar w:fldCharType="begin"/>
      </w:r>
      <w:r>
        <w:instrText xml:space="preserve"> PAGEREF _Toc5074 \h </w:instrText>
      </w:r>
      <w:r>
        <w:fldChar w:fldCharType="separate"/>
      </w:r>
      <w:r>
        <w:t>- 12 -</w:t>
      </w:r>
      <w:r>
        <w:fldChar w:fldCharType="end"/>
      </w:r>
    </w:p>
    <w:p>
      <w:pPr>
        <w:pStyle w:val="35"/>
        <w:tabs>
          <w:tab w:val="right" w:leader="dot" w:pos="9070"/>
          <w:tab w:val="clear" w:pos="8296"/>
        </w:tabs>
      </w:pPr>
      <w:r>
        <w:rPr>
          <w:rFonts w:hint="eastAsia" w:ascii="宋体" w:hAnsi="宋体"/>
          <w:bCs/>
          <w:szCs w:val="21"/>
        </w:rPr>
        <w:t>20 投标文件的密封和标记</w:t>
      </w:r>
      <w:r>
        <w:tab/>
      </w:r>
      <w:r>
        <w:fldChar w:fldCharType="begin"/>
      </w:r>
      <w:r>
        <w:instrText xml:space="preserve"> PAGEREF _Toc26710 \h </w:instrText>
      </w:r>
      <w:r>
        <w:fldChar w:fldCharType="separate"/>
      </w:r>
      <w:r>
        <w:t>- 12 -</w:t>
      </w:r>
      <w:r>
        <w:fldChar w:fldCharType="end"/>
      </w:r>
    </w:p>
    <w:p>
      <w:pPr>
        <w:pStyle w:val="35"/>
        <w:tabs>
          <w:tab w:val="right" w:leader="dot" w:pos="9070"/>
          <w:tab w:val="clear" w:pos="8296"/>
        </w:tabs>
      </w:pPr>
      <w:r>
        <w:rPr>
          <w:rFonts w:hint="eastAsia" w:ascii="宋体" w:hAnsi="宋体"/>
          <w:bCs/>
          <w:szCs w:val="21"/>
        </w:rPr>
        <w:t>21 投标截止期</w:t>
      </w:r>
      <w:r>
        <w:tab/>
      </w:r>
      <w:r>
        <w:fldChar w:fldCharType="begin"/>
      </w:r>
      <w:r>
        <w:instrText xml:space="preserve"> PAGEREF _Toc19520 \h </w:instrText>
      </w:r>
      <w:r>
        <w:fldChar w:fldCharType="separate"/>
      </w:r>
      <w:r>
        <w:t>- 12 -</w:t>
      </w:r>
      <w:r>
        <w:fldChar w:fldCharType="end"/>
      </w:r>
    </w:p>
    <w:p>
      <w:pPr>
        <w:pStyle w:val="35"/>
        <w:tabs>
          <w:tab w:val="right" w:leader="dot" w:pos="9070"/>
          <w:tab w:val="clear" w:pos="8296"/>
        </w:tabs>
      </w:pPr>
      <w:r>
        <w:rPr>
          <w:rFonts w:hint="eastAsia" w:ascii="宋体" w:hAnsi="宋体"/>
          <w:bCs/>
          <w:szCs w:val="21"/>
        </w:rPr>
        <w:t>22 投标文件的修改和撤回</w:t>
      </w:r>
      <w:r>
        <w:tab/>
      </w:r>
      <w:r>
        <w:fldChar w:fldCharType="begin"/>
      </w:r>
      <w:r>
        <w:instrText xml:space="preserve"> PAGEREF _Toc8146 \h </w:instrText>
      </w:r>
      <w:r>
        <w:fldChar w:fldCharType="separate"/>
      </w:r>
      <w:r>
        <w:t>- 12 -</w:t>
      </w:r>
      <w:r>
        <w:fldChar w:fldCharType="end"/>
      </w:r>
    </w:p>
    <w:p>
      <w:pPr>
        <w:pStyle w:val="35"/>
        <w:tabs>
          <w:tab w:val="right" w:leader="dot" w:pos="9070"/>
          <w:tab w:val="clear" w:pos="8296"/>
        </w:tabs>
      </w:pPr>
      <w:r>
        <w:rPr>
          <w:rFonts w:ascii="宋体" w:hAnsi="宋体"/>
          <w:szCs w:val="28"/>
          <w:lang w:eastAsia="zh-TW"/>
        </w:rPr>
        <w:t xml:space="preserve">四、 </w:t>
      </w:r>
      <w:r>
        <w:rPr>
          <w:rFonts w:hint="eastAsia" w:ascii="宋体" w:hAnsi="宋体"/>
          <w:szCs w:val="28"/>
          <w:lang w:eastAsia="zh-TW"/>
        </w:rPr>
        <w:t>开标与评标</w:t>
      </w:r>
      <w:r>
        <w:tab/>
      </w:r>
      <w:r>
        <w:fldChar w:fldCharType="begin"/>
      </w:r>
      <w:r>
        <w:instrText xml:space="preserve"> PAGEREF _Toc31771 \h </w:instrText>
      </w:r>
      <w:r>
        <w:fldChar w:fldCharType="separate"/>
      </w:r>
      <w:r>
        <w:t>- 13 -</w:t>
      </w:r>
      <w:r>
        <w:fldChar w:fldCharType="end"/>
      </w:r>
    </w:p>
    <w:p>
      <w:pPr>
        <w:pStyle w:val="35"/>
        <w:tabs>
          <w:tab w:val="right" w:leader="dot" w:pos="9070"/>
          <w:tab w:val="clear" w:pos="8296"/>
        </w:tabs>
      </w:pPr>
      <w:r>
        <w:rPr>
          <w:rFonts w:hint="eastAsia" w:ascii="宋体" w:hAnsi="宋体"/>
          <w:bCs/>
          <w:szCs w:val="21"/>
        </w:rPr>
        <w:t>23 开标</w:t>
      </w:r>
      <w:r>
        <w:tab/>
      </w:r>
      <w:r>
        <w:fldChar w:fldCharType="begin"/>
      </w:r>
      <w:r>
        <w:instrText xml:space="preserve"> PAGEREF _Toc9075 \h </w:instrText>
      </w:r>
      <w:r>
        <w:fldChar w:fldCharType="separate"/>
      </w:r>
      <w:r>
        <w:t>- 13 -</w:t>
      </w:r>
      <w:r>
        <w:fldChar w:fldCharType="end"/>
      </w:r>
    </w:p>
    <w:p>
      <w:pPr>
        <w:pStyle w:val="35"/>
        <w:tabs>
          <w:tab w:val="right" w:leader="dot" w:pos="9070"/>
          <w:tab w:val="clear" w:pos="8296"/>
        </w:tabs>
      </w:pPr>
      <w:r>
        <w:rPr>
          <w:rFonts w:hint="eastAsia" w:ascii="宋体" w:hAnsi="宋体"/>
          <w:bCs/>
          <w:szCs w:val="21"/>
        </w:rPr>
        <w:t>24 评标委员会和评标方法</w:t>
      </w:r>
      <w:r>
        <w:tab/>
      </w:r>
      <w:r>
        <w:fldChar w:fldCharType="begin"/>
      </w:r>
      <w:r>
        <w:instrText xml:space="preserve"> PAGEREF _Toc30014 \h </w:instrText>
      </w:r>
      <w:r>
        <w:fldChar w:fldCharType="separate"/>
      </w:r>
      <w:r>
        <w:t>- 13 -</w:t>
      </w:r>
      <w:r>
        <w:fldChar w:fldCharType="end"/>
      </w:r>
    </w:p>
    <w:p>
      <w:pPr>
        <w:pStyle w:val="35"/>
        <w:tabs>
          <w:tab w:val="right" w:leader="dot" w:pos="9070"/>
          <w:tab w:val="clear" w:pos="8296"/>
        </w:tabs>
      </w:pPr>
      <w:r>
        <w:rPr>
          <w:rFonts w:hint="eastAsia" w:ascii="宋体" w:hAnsi="宋体"/>
          <w:bCs/>
          <w:szCs w:val="21"/>
        </w:rPr>
        <w:t>25 投标文件的初审</w:t>
      </w:r>
      <w:r>
        <w:tab/>
      </w:r>
      <w:r>
        <w:fldChar w:fldCharType="begin"/>
      </w:r>
      <w:r>
        <w:instrText xml:space="preserve"> PAGEREF _Toc29462 \h </w:instrText>
      </w:r>
      <w:r>
        <w:fldChar w:fldCharType="separate"/>
      </w:r>
      <w:r>
        <w:t>- 13 -</w:t>
      </w:r>
      <w:r>
        <w:fldChar w:fldCharType="end"/>
      </w:r>
    </w:p>
    <w:p>
      <w:pPr>
        <w:pStyle w:val="35"/>
        <w:tabs>
          <w:tab w:val="right" w:leader="dot" w:pos="9070"/>
          <w:tab w:val="clear" w:pos="8296"/>
        </w:tabs>
      </w:pPr>
      <w:r>
        <w:rPr>
          <w:rFonts w:hint="eastAsia" w:ascii="宋体" w:hAnsi="宋体"/>
          <w:bCs/>
          <w:szCs w:val="21"/>
        </w:rPr>
        <w:t>26 投标文件的澄清</w:t>
      </w:r>
      <w:r>
        <w:tab/>
      </w:r>
      <w:r>
        <w:fldChar w:fldCharType="begin"/>
      </w:r>
      <w:r>
        <w:instrText xml:space="preserve"> PAGEREF _Toc32729 \h </w:instrText>
      </w:r>
      <w:r>
        <w:fldChar w:fldCharType="separate"/>
      </w:r>
      <w:r>
        <w:t>- 14 -</w:t>
      </w:r>
      <w:r>
        <w:fldChar w:fldCharType="end"/>
      </w:r>
    </w:p>
    <w:p>
      <w:pPr>
        <w:pStyle w:val="35"/>
        <w:tabs>
          <w:tab w:val="right" w:leader="dot" w:pos="9070"/>
          <w:tab w:val="clear" w:pos="8296"/>
        </w:tabs>
      </w:pPr>
      <w:r>
        <w:rPr>
          <w:rFonts w:hint="eastAsia" w:ascii="宋体" w:hAnsi="宋体"/>
          <w:bCs/>
          <w:szCs w:val="21"/>
        </w:rPr>
        <w:t>27 投标文件详细评价</w:t>
      </w:r>
      <w:r>
        <w:tab/>
      </w:r>
      <w:r>
        <w:fldChar w:fldCharType="begin"/>
      </w:r>
      <w:r>
        <w:instrText xml:space="preserve"> PAGEREF _Toc26336 \h </w:instrText>
      </w:r>
      <w:r>
        <w:fldChar w:fldCharType="separate"/>
      </w:r>
      <w:r>
        <w:t>- 14 -</w:t>
      </w:r>
      <w:r>
        <w:fldChar w:fldCharType="end"/>
      </w:r>
    </w:p>
    <w:p>
      <w:pPr>
        <w:pStyle w:val="35"/>
        <w:tabs>
          <w:tab w:val="right" w:leader="dot" w:pos="9070"/>
          <w:tab w:val="clear" w:pos="8296"/>
        </w:tabs>
      </w:pPr>
      <w:r>
        <w:rPr>
          <w:rFonts w:hint="eastAsia" w:ascii="宋体" w:hAnsi="宋体"/>
          <w:bCs/>
          <w:szCs w:val="21"/>
        </w:rPr>
        <w:t>28 定标原则与授标</w:t>
      </w:r>
      <w:r>
        <w:tab/>
      </w:r>
      <w:r>
        <w:fldChar w:fldCharType="begin"/>
      </w:r>
      <w:r>
        <w:instrText xml:space="preserve"> PAGEREF _Toc26953 \h </w:instrText>
      </w:r>
      <w:r>
        <w:fldChar w:fldCharType="separate"/>
      </w:r>
      <w:r>
        <w:t>- 14 -</w:t>
      </w:r>
      <w:r>
        <w:fldChar w:fldCharType="end"/>
      </w:r>
    </w:p>
    <w:p>
      <w:pPr>
        <w:pStyle w:val="35"/>
        <w:tabs>
          <w:tab w:val="right" w:leader="dot" w:pos="9070"/>
          <w:tab w:val="clear" w:pos="8296"/>
        </w:tabs>
      </w:pPr>
      <w:r>
        <w:rPr>
          <w:rFonts w:hint="eastAsia" w:ascii="宋体" w:hAnsi="宋体"/>
          <w:bCs/>
          <w:szCs w:val="21"/>
        </w:rPr>
        <w:t>29 质疑与回复</w:t>
      </w:r>
      <w:r>
        <w:tab/>
      </w:r>
      <w:r>
        <w:fldChar w:fldCharType="begin"/>
      </w:r>
      <w:r>
        <w:instrText xml:space="preserve"> PAGEREF _Toc23879 \h </w:instrText>
      </w:r>
      <w:r>
        <w:fldChar w:fldCharType="separate"/>
      </w:r>
      <w:r>
        <w:t>- 15 -</w:t>
      </w:r>
      <w:r>
        <w:fldChar w:fldCharType="end"/>
      </w:r>
    </w:p>
    <w:p>
      <w:pPr>
        <w:pStyle w:val="35"/>
        <w:tabs>
          <w:tab w:val="right" w:leader="dot" w:pos="9070"/>
          <w:tab w:val="clear" w:pos="8296"/>
        </w:tabs>
      </w:pPr>
      <w:r>
        <w:rPr>
          <w:rFonts w:hint="eastAsia" w:ascii="宋体" w:hAnsi="宋体"/>
          <w:bCs/>
          <w:szCs w:val="21"/>
        </w:rPr>
        <w:t>30 中标通知书</w:t>
      </w:r>
      <w:r>
        <w:tab/>
      </w:r>
      <w:r>
        <w:fldChar w:fldCharType="begin"/>
      </w:r>
      <w:r>
        <w:instrText xml:space="preserve"> PAGEREF _Toc27278 \h </w:instrText>
      </w:r>
      <w:r>
        <w:fldChar w:fldCharType="separate"/>
      </w:r>
      <w:r>
        <w:t>- 15 -</w:t>
      </w:r>
      <w:r>
        <w:fldChar w:fldCharType="end"/>
      </w:r>
    </w:p>
    <w:p>
      <w:pPr>
        <w:pStyle w:val="35"/>
        <w:tabs>
          <w:tab w:val="right" w:leader="dot" w:pos="9070"/>
          <w:tab w:val="clear" w:pos="8296"/>
        </w:tabs>
      </w:pPr>
      <w:r>
        <w:rPr>
          <w:rFonts w:ascii="宋体" w:hAnsi="宋体"/>
          <w:szCs w:val="28"/>
          <w:lang w:eastAsia="zh-TW"/>
        </w:rPr>
        <w:t xml:space="preserve">五、 </w:t>
      </w:r>
      <w:r>
        <w:rPr>
          <w:rFonts w:hint="eastAsia" w:ascii="宋体" w:hAnsi="宋体"/>
          <w:szCs w:val="28"/>
          <w:lang w:eastAsia="zh-TW"/>
        </w:rPr>
        <w:t>授予合同</w:t>
      </w:r>
      <w:r>
        <w:tab/>
      </w:r>
      <w:r>
        <w:fldChar w:fldCharType="begin"/>
      </w:r>
      <w:r>
        <w:instrText xml:space="preserve"> PAGEREF _Toc13860 \h </w:instrText>
      </w:r>
      <w:r>
        <w:fldChar w:fldCharType="separate"/>
      </w:r>
      <w:r>
        <w:t>- 16 -</w:t>
      </w:r>
      <w:r>
        <w:fldChar w:fldCharType="end"/>
      </w:r>
    </w:p>
    <w:p>
      <w:pPr>
        <w:pStyle w:val="35"/>
        <w:tabs>
          <w:tab w:val="right" w:leader="dot" w:pos="9070"/>
          <w:tab w:val="clear" w:pos="8296"/>
        </w:tabs>
      </w:pPr>
      <w:r>
        <w:rPr>
          <w:rFonts w:hint="eastAsia" w:ascii="宋体" w:hAnsi="宋体"/>
          <w:bCs/>
          <w:szCs w:val="21"/>
        </w:rPr>
        <w:t>31 合同的订立</w:t>
      </w:r>
      <w:r>
        <w:tab/>
      </w:r>
      <w:r>
        <w:fldChar w:fldCharType="begin"/>
      </w:r>
      <w:r>
        <w:instrText xml:space="preserve"> PAGEREF _Toc11157 \h </w:instrText>
      </w:r>
      <w:r>
        <w:fldChar w:fldCharType="separate"/>
      </w:r>
      <w:r>
        <w:t>- 16 -</w:t>
      </w:r>
      <w:r>
        <w:fldChar w:fldCharType="end"/>
      </w:r>
    </w:p>
    <w:p>
      <w:pPr>
        <w:pStyle w:val="35"/>
        <w:tabs>
          <w:tab w:val="right" w:leader="dot" w:pos="9070"/>
          <w:tab w:val="clear" w:pos="8296"/>
        </w:tabs>
      </w:pPr>
      <w:r>
        <w:rPr>
          <w:rFonts w:hint="eastAsia" w:ascii="宋体" w:hAnsi="宋体"/>
          <w:bCs/>
          <w:szCs w:val="21"/>
        </w:rPr>
        <w:t>32 合同的履行</w:t>
      </w:r>
      <w:r>
        <w:tab/>
      </w:r>
      <w:r>
        <w:fldChar w:fldCharType="begin"/>
      </w:r>
      <w:r>
        <w:instrText xml:space="preserve"> PAGEREF _Toc27482 \h </w:instrText>
      </w:r>
      <w:r>
        <w:fldChar w:fldCharType="separate"/>
      </w:r>
      <w:r>
        <w:t>- 16 -</w:t>
      </w:r>
      <w:r>
        <w:fldChar w:fldCharType="end"/>
      </w:r>
    </w:p>
    <w:p>
      <w:pPr>
        <w:pStyle w:val="35"/>
        <w:tabs>
          <w:tab w:val="right" w:leader="dot" w:pos="9070"/>
          <w:tab w:val="clear" w:pos="8296"/>
        </w:tabs>
      </w:pPr>
      <w:r>
        <w:rPr>
          <w:rFonts w:hint="eastAsia"/>
          <w:szCs w:val="50"/>
        </w:rPr>
        <w:t>第三章 合同通用条款</w:t>
      </w:r>
      <w:r>
        <w:tab/>
      </w:r>
      <w:r>
        <w:fldChar w:fldCharType="begin"/>
      </w:r>
      <w:r>
        <w:instrText xml:space="preserve"> PAGEREF _Toc4529 \h </w:instrText>
      </w:r>
      <w:r>
        <w:fldChar w:fldCharType="separate"/>
      </w:r>
      <w:r>
        <w:t>- 16 -</w:t>
      </w:r>
      <w:r>
        <w:fldChar w:fldCharType="end"/>
      </w:r>
    </w:p>
    <w:p>
      <w:pPr>
        <w:pStyle w:val="35"/>
        <w:tabs>
          <w:tab w:val="right" w:leader="dot" w:pos="9070"/>
          <w:tab w:val="clear" w:pos="8296"/>
        </w:tabs>
      </w:pPr>
      <w:r>
        <w:rPr>
          <w:rFonts w:hint="eastAsia" w:ascii="宋体"/>
          <w:szCs w:val="50"/>
        </w:rPr>
        <w:t xml:space="preserve">第四章 </w:t>
      </w:r>
      <w:r>
        <w:rPr>
          <w:rFonts w:hint="eastAsia"/>
          <w:szCs w:val="50"/>
        </w:rPr>
        <w:t>评分体系与标准</w:t>
      </w:r>
      <w:r>
        <w:tab/>
      </w:r>
      <w:r>
        <w:fldChar w:fldCharType="begin"/>
      </w:r>
      <w:r>
        <w:instrText xml:space="preserve"> PAGEREF _Toc23529 \h </w:instrText>
      </w:r>
      <w:r>
        <w:fldChar w:fldCharType="separate"/>
      </w:r>
      <w:r>
        <w:t>- 21 -</w:t>
      </w:r>
      <w:r>
        <w:fldChar w:fldCharType="end"/>
      </w:r>
    </w:p>
    <w:p>
      <w:pPr>
        <w:pStyle w:val="35"/>
        <w:tabs>
          <w:tab w:val="right" w:leader="dot" w:pos="9070"/>
          <w:tab w:val="clear" w:pos="8296"/>
        </w:tabs>
      </w:pPr>
      <w:r>
        <w:rPr>
          <w:rFonts w:hint="eastAsia"/>
          <w:szCs w:val="50"/>
        </w:rPr>
        <w:t>第五章 投标文件格式</w:t>
      </w:r>
      <w:r>
        <w:tab/>
      </w:r>
      <w:r>
        <w:fldChar w:fldCharType="begin"/>
      </w:r>
      <w:r>
        <w:instrText xml:space="preserve"> PAGEREF _Toc15094 \h </w:instrText>
      </w:r>
      <w:r>
        <w:fldChar w:fldCharType="separate"/>
      </w:r>
      <w:r>
        <w:t>- 26 -</w:t>
      </w:r>
      <w:r>
        <w:fldChar w:fldCharType="end"/>
      </w:r>
    </w:p>
    <w:p>
      <w:pPr>
        <w:pStyle w:val="41"/>
        <w:tabs>
          <w:tab w:val="right" w:leader="dot" w:pos="9070"/>
          <w:tab w:val="clear" w:pos="1260"/>
          <w:tab w:val="clear" w:pos="8296"/>
        </w:tabs>
        <w:ind w:left="420"/>
      </w:pPr>
      <w:r>
        <w:rPr>
          <w:rFonts w:hint="eastAsia" w:ascii="宋体"/>
          <w:szCs w:val="32"/>
        </w:rPr>
        <w:t>投标文件包装封面参考</w:t>
      </w:r>
      <w:r>
        <w:tab/>
      </w:r>
      <w:r>
        <w:fldChar w:fldCharType="begin"/>
      </w:r>
      <w:r>
        <w:instrText xml:space="preserve"> PAGEREF _Toc17506 \h </w:instrText>
      </w:r>
      <w:r>
        <w:fldChar w:fldCharType="separate"/>
      </w:r>
      <w:r>
        <w:t>- 27 -</w:t>
      </w:r>
      <w:r>
        <w:fldChar w:fldCharType="end"/>
      </w:r>
    </w:p>
    <w:p>
      <w:pPr>
        <w:pStyle w:val="41"/>
        <w:tabs>
          <w:tab w:val="right" w:leader="dot" w:pos="9070"/>
          <w:tab w:val="clear" w:pos="1260"/>
          <w:tab w:val="clear" w:pos="8296"/>
        </w:tabs>
        <w:ind w:left="420"/>
      </w:pPr>
      <w:r>
        <w:rPr>
          <w:rFonts w:hint="eastAsia" w:ascii="宋体"/>
          <w:szCs w:val="32"/>
        </w:rPr>
        <w:t>投标文件目录表</w:t>
      </w:r>
      <w:r>
        <w:tab/>
      </w:r>
      <w:r>
        <w:fldChar w:fldCharType="begin"/>
      </w:r>
      <w:r>
        <w:instrText xml:space="preserve"> PAGEREF _Toc21844 \h </w:instrText>
      </w:r>
      <w:r>
        <w:fldChar w:fldCharType="separate"/>
      </w:r>
      <w:r>
        <w:t>- 28 -</w:t>
      </w:r>
      <w:r>
        <w:fldChar w:fldCharType="end"/>
      </w:r>
    </w:p>
    <w:p>
      <w:pPr>
        <w:pStyle w:val="9"/>
        <w:tabs>
          <w:tab w:val="right" w:leader="dot" w:pos="8789"/>
        </w:tabs>
        <w:ind w:right="279" w:rightChars="133"/>
        <w:rPr>
          <w:rFonts w:ascii="宋体" w:hAnsi="宋体"/>
        </w:rPr>
      </w:pPr>
      <w:r>
        <w:rPr>
          <w:rFonts w:ascii="宋体" w:hAnsi="宋体" w:cs="宋体"/>
        </w:rPr>
        <w:fldChar w:fldCharType="end"/>
      </w:r>
    </w:p>
    <w:p>
      <w:pPr>
        <w:pStyle w:val="9"/>
        <w:tabs>
          <w:tab w:val="right" w:leader="dot" w:pos="8789"/>
        </w:tabs>
        <w:ind w:right="279" w:rightChars="133"/>
        <w:rPr>
          <w:rFonts w:ascii="宋体" w:hAnsi="宋体"/>
        </w:rPr>
      </w:pPr>
    </w:p>
    <w:p>
      <w:pPr>
        <w:pStyle w:val="9"/>
        <w:tabs>
          <w:tab w:val="right" w:leader="dot" w:pos="8789"/>
        </w:tabs>
        <w:ind w:right="279" w:rightChars="133"/>
        <w:rPr>
          <w:rFonts w:ascii="宋体" w:hAnsi="宋体"/>
        </w:rPr>
      </w:pPr>
    </w:p>
    <w:p>
      <w:pPr>
        <w:pStyle w:val="9"/>
        <w:tabs>
          <w:tab w:val="right" w:leader="dot" w:pos="8789"/>
        </w:tabs>
        <w:ind w:right="279" w:rightChars="133"/>
        <w:rPr>
          <w:rFonts w:ascii="宋体" w:hAnsi="宋体"/>
        </w:rPr>
      </w:pPr>
    </w:p>
    <w:p>
      <w:pPr>
        <w:pStyle w:val="9"/>
        <w:tabs>
          <w:tab w:val="right" w:leader="dot" w:pos="8789"/>
        </w:tabs>
        <w:ind w:right="279" w:rightChars="133"/>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sectPr>
          <w:headerReference r:id="rId7" w:type="default"/>
          <w:pgSz w:w="11906" w:h="16838"/>
          <w:pgMar w:top="1440" w:right="1418" w:bottom="1440" w:left="1418" w:header="658" w:footer="482" w:gutter="0"/>
          <w:pgNumType w:fmt="numberInDash" w:start="1"/>
          <w:cols w:space="720" w:num="1"/>
          <w:docGrid w:linePitch="312" w:charSpace="0"/>
        </w:sect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numPr>
          <w:ilvl w:val="0"/>
          <w:numId w:val="12"/>
        </w:numPr>
        <w:tabs>
          <w:tab w:val="left" w:pos="1843"/>
        </w:tabs>
        <w:jc w:val="center"/>
        <w:outlineLvl w:val="0"/>
        <w:rPr>
          <w:b/>
          <w:sz w:val="50"/>
          <w:szCs w:val="50"/>
        </w:rPr>
      </w:pPr>
      <w:bookmarkStart w:id="0" w:name="_Toc22931"/>
      <w:r>
        <w:rPr>
          <w:rFonts w:hint="eastAsia"/>
          <w:b/>
          <w:sz w:val="50"/>
          <w:szCs w:val="50"/>
        </w:rPr>
        <w:t>投标邀请</w:t>
      </w:r>
      <w:bookmarkEnd w:id="0"/>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pPr>
    </w:p>
    <w:p>
      <w:pPr>
        <w:pStyle w:val="9"/>
        <w:rPr>
          <w:rFonts w:ascii="宋体" w:hAnsi="宋体"/>
        </w:rPr>
        <w:sectPr>
          <w:pgSz w:w="11906" w:h="16838"/>
          <w:pgMar w:top="1440" w:right="1418" w:bottom="1440" w:left="1418" w:header="657" w:footer="481" w:gutter="0"/>
          <w:pgNumType w:fmt="numberInDash"/>
          <w:cols w:space="720" w:num="1"/>
          <w:docGrid w:linePitch="312" w:charSpace="0"/>
        </w:sectPr>
      </w:pPr>
    </w:p>
    <w:p>
      <w:pPr>
        <w:spacing w:line="360" w:lineRule="auto"/>
        <w:jc w:val="center"/>
        <w:rPr>
          <w:b/>
          <w:bCs/>
          <w:sz w:val="28"/>
          <w:szCs w:val="28"/>
        </w:rPr>
      </w:pPr>
      <w:bookmarkStart w:id="1" w:name="_Toc374347105"/>
      <w:r>
        <w:rPr>
          <w:b/>
          <w:bCs/>
          <w:sz w:val="28"/>
          <w:szCs w:val="28"/>
        </w:rPr>
        <w:t>投标邀请</w:t>
      </w:r>
      <w:bookmarkEnd w:id="1"/>
    </w:p>
    <w:p>
      <w:pPr>
        <w:tabs>
          <w:tab w:val="left" w:pos="9214"/>
        </w:tabs>
        <w:snapToGrid w:val="0"/>
        <w:spacing w:line="360" w:lineRule="auto"/>
        <w:ind w:right="422" w:rightChars="201" w:firstLine="420" w:firstLineChars="200"/>
        <w:rPr>
          <w:rFonts w:ascii="宋体" w:hAnsi="宋体"/>
          <w:bCs/>
          <w:color w:val="000000"/>
          <w:szCs w:val="21"/>
        </w:rPr>
      </w:pPr>
      <w:r>
        <w:rPr>
          <w:rFonts w:hint="eastAsia" w:ascii="宋体" w:hAnsi="宋体"/>
          <w:color w:val="000000"/>
          <w:szCs w:val="21"/>
        </w:rPr>
        <w:t>江门市江海区土地储备中心</w:t>
      </w:r>
      <w:r>
        <w:rPr>
          <w:rFonts w:hint="eastAsia" w:ascii="宋体"/>
          <w:bCs/>
          <w:color w:val="000000"/>
          <w:szCs w:val="20"/>
        </w:rPr>
        <w:t>（以</w:t>
      </w:r>
      <w:r>
        <w:rPr>
          <w:rFonts w:hint="eastAsia" w:ascii="宋体"/>
          <w:bCs/>
          <w:szCs w:val="20"/>
        </w:rPr>
        <w:t>下简称“采购人”</w:t>
      </w:r>
      <w:r>
        <w:rPr>
          <w:rFonts w:hint="eastAsia" w:ascii="宋体" w:hAnsi="宋体"/>
          <w:bCs/>
          <w:color w:val="000000"/>
          <w:szCs w:val="21"/>
        </w:rPr>
        <w:t>）依据《江门市绿化委员会办公室关于转发广东省总林长令和市领导批示要求的通知》（江林长办函〔2023〕1 号）文件安排，对</w:t>
      </w:r>
      <w:r>
        <w:rPr>
          <w:rFonts w:hint="eastAsia" w:ascii="宋体" w:hAnsi="宋体"/>
          <w:color w:val="000000"/>
          <w:szCs w:val="21"/>
          <w:u w:val="single"/>
        </w:rPr>
        <w:t>《江门市江海区和德路及应急产业项目占用耕地耕作层土壤剥离再利用方案》耕作层土壤剥离再利用工程项目</w:t>
      </w:r>
      <w:r>
        <w:rPr>
          <w:rFonts w:hint="eastAsia" w:ascii="宋体" w:hAnsi="宋体"/>
          <w:bCs/>
          <w:color w:val="000000"/>
          <w:szCs w:val="21"/>
        </w:rPr>
        <w:t>进</w:t>
      </w:r>
      <w:r>
        <w:rPr>
          <w:rFonts w:hint="eastAsia" w:ascii="宋体" w:hAnsi="宋体"/>
          <w:bCs/>
          <w:szCs w:val="21"/>
        </w:rPr>
        <w:t>行公开招</w:t>
      </w:r>
      <w:r>
        <w:rPr>
          <w:rFonts w:hint="eastAsia" w:ascii="宋体"/>
          <w:bCs/>
          <w:szCs w:val="21"/>
        </w:rPr>
        <w:t>标，</w:t>
      </w:r>
      <w:r>
        <w:rPr>
          <w:rFonts w:hint="eastAsia"/>
          <w:bCs/>
          <w:szCs w:val="21"/>
        </w:rPr>
        <w:t>详情请参见招标文件。</w:t>
      </w:r>
      <w:r>
        <w:rPr>
          <w:bCs/>
          <w:szCs w:val="21"/>
        </w:rPr>
        <w:t>现将该项目招标文</w:t>
      </w:r>
      <w:r>
        <w:rPr>
          <w:bCs/>
          <w:color w:val="000000"/>
          <w:szCs w:val="21"/>
        </w:rPr>
        <w:t>件</w:t>
      </w:r>
      <w:r>
        <w:rPr>
          <w:bCs/>
          <w:szCs w:val="21"/>
        </w:rPr>
        <w:t>进行公示</w:t>
      </w:r>
      <w:r>
        <w:rPr>
          <w:bCs/>
          <w:color w:val="000000"/>
          <w:szCs w:val="21"/>
        </w:rPr>
        <w:t>，</w:t>
      </w:r>
      <w:r>
        <w:rPr>
          <w:rFonts w:ascii="宋体" w:hAnsi="宋体"/>
          <w:bCs/>
          <w:color w:val="000000"/>
          <w:szCs w:val="21"/>
          <w:u w:val="single"/>
        </w:rPr>
        <w:t>公示期为20</w:t>
      </w:r>
      <w:r>
        <w:rPr>
          <w:rFonts w:hint="eastAsia" w:ascii="宋体" w:hAnsi="宋体"/>
          <w:bCs/>
          <w:color w:val="000000"/>
          <w:szCs w:val="21"/>
          <w:u w:val="single"/>
        </w:rPr>
        <w:t>2</w:t>
      </w:r>
      <w:r>
        <w:rPr>
          <w:rFonts w:ascii="宋体" w:hAnsi="宋体"/>
          <w:bCs/>
          <w:color w:val="000000"/>
          <w:szCs w:val="21"/>
          <w:u w:val="single"/>
        </w:rPr>
        <w:t>4年2月20日至20</w:t>
      </w:r>
      <w:r>
        <w:rPr>
          <w:rFonts w:hint="eastAsia" w:ascii="宋体" w:hAnsi="宋体"/>
          <w:bCs/>
          <w:color w:val="000000"/>
          <w:szCs w:val="21"/>
          <w:u w:val="single"/>
        </w:rPr>
        <w:t>2</w:t>
      </w:r>
      <w:r>
        <w:rPr>
          <w:rFonts w:ascii="宋体" w:hAnsi="宋体"/>
          <w:bCs/>
          <w:color w:val="000000"/>
          <w:szCs w:val="21"/>
          <w:u w:val="single"/>
        </w:rPr>
        <w:t>4年2月22日</w:t>
      </w:r>
      <w:r>
        <w:rPr>
          <w:rFonts w:hint="eastAsia" w:ascii="宋体" w:hAnsi="宋体"/>
          <w:bCs/>
          <w:color w:val="000000"/>
          <w:szCs w:val="21"/>
          <w:u w:val="single"/>
        </w:rPr>
        <w:t>（3个工作日）</w:t>
      </w:r>
      <w:r>
        <w:rPr>
          <w:rFonts w:ascii="宋体" w:hAnsi="宋体"/>
          <w:bCs/>
          <w:color w:val="000000"/>
          <w:szCs w:val="21"/>
        </w:rPr>
        <w:t>。</w:t>
      </w:r>
      <w:r>
        <w:rPr>
          <w:rFonts w:hint="eastAsia" w:ascii="宋体" w:hAnsi="宋体"/>
          <w:color w:val="000000"/>
          <w:szCs w:val="21"/>
        </w:rPr>
        <w:t>欢迎</w:t>
      </w:r>
      <w:r>
        <w:rPr>
          <w:rFonts w:hint="eastAsia" w:ascii="宋体" w:hAnsi="宋体"/>
          <w:color w:val="000000"/>
        </w:rPr>
        <w:t>符合条件的合格投标人参加投标，</w:t>
      </w:r>
      <w:r>
        <w:rPr>
          <w:rFonts w:hint="eastAsia" w:ascii="宋体" w:hAnsi="宋体"/>
          <w:bCs/>
          <w:color w:val="000000"/>
          <w:szCs w:val="20"/>
        </w:rPr>
        <w:t>有关事项如下：</w:t>
      </w:r>
    </w:p>
    <w:p>
      <w:pPr>
        <w:numPr>
          <w:ilvl w:val="0"/>
          <w:numId w:val="13"/>
        </w:numPr>
        <w:snapToGrid w:val="0"/>
        <w:spacing w:line="360" w:lineRule="auto"/>
        <w:ind w:right="422" w:rightChars="201"/>
        <w:rPr>
          <w:rFonts w:ascii="宋体"/>
          <w:bCs/>
          <w:szCs w:val="20"/>
        </w:rPr>
      </w:pPr>
      <w:r>
        <w:rPr>
          <w:rFonts w:hint="eastAsia" w:ascii="宋体"/>
          <w:bCs/>
          <w:color w:val="000000"/>
          <w:szCs w:val="20"/>
        </w:rPr>
        <w:t>本项目投标</w:t>
      </w:r>
      <w:r>
        <w:rPr>
          <w:rFonts w:hint="eastAsia"/>
          <w:color w:val="000000"/>
          <w:szCs w:val="21"/>
        </w:rPr>
        <w:t>邀请</w:t>
      </w:r>
      <w:r>
        <w:rPr>
          <w:rFonts w:hint="eastAsia" w:ascii="宋体"/>
          <w:bCs/>
          <w:color w:val="000000"/>
          <w:szCs w:val="20"/>
        </w:rPr>
        <w:t>及招标文件中所有时间均为24小时制北京时间，所有货币单位均为人民币</w:t>
      </w:r>
      <w:r>
        <w:rPr>
          <w:rFonts w:hint="eastAsia" w:ascii="宋体"/>
          <w:bCs/>
          <w:szCs w:val="20"/>
        </w:rPr>
        <w:t>元，所使用的计量单位均以《</w:t>
      </w:r>
      <w:r>
        <w:rPr>
          <w:rFonts w:hint="eastAsia"/>
          <w:lang w:eastAsia="zh-Hans"/>
        </w:rPr>
        <w:t>中华人民共和国法定计量单位</w:t>
      </w:r>
      <w:r>
        <w:rPr>
          <w:rFonts w:hint="eastAsia" w:ascii="宋体"/>
          <w:bCs/>
          <w:szCs w:val="20"/>
        </w:rPr>
        <w:t>》为准（特别注明除外）。</w:t>
      </w:r>
    </w:p>
    <w:p>
      <w:pPr>
        <w:numPr>
          <w:ilvl w:val="0"/>
          <w:numId w:val="13"/>
        </w:numPr>
        <w:snapToGrid w:val="0"/>
        <w:spacing w:line="360" w:lineRule="auto"/>
        <w:rPr>
          <w:rFonts w:ascii="宋体" w:hAnsi="宋体"/>
          <w:color w:val="000000"/>
        </w:rPr>
      </w:pPr>
      <w:r>
        <w:rPr>
          <w:rFonts w:hint="eastAsia" w:ascii="宋体"/>
          <w:bCs/>
          <w:color w:val="000000"/>
          <w:szCs w:val="20"/>
        </w:rPr>
        <w:t>项目名称：</w:t>
      </w:r>
      <w:r>
        <w:rPr>
          <w:rFonts w:hint="eastAsia" w:ascii="宋体" w:hAnsi="宋体"/>
          <w:color w:val="000000"/>
          <w:szCs w:val="21"/>
          <w:u w:val="single"/>
        </w:rPr>
        <w:t>《江门市江海区和德路及应急产业项目占用耕地耕作层土壤剥离再利用方案》耕作层土壤剥离再利用工程项目</w:t>
      </w:r>
    </w:p>
    <w:p>
      <w:pPr>
        <w:numPr>
          <w:ilvl w:val="0"/>
          <w:numId w:val="13"/>
        </w:numPr>
        <w:snapToGrid w:val="0"/>
        <w:spacing w:line="360" w:lineRule="auto"/>
        <w:rPr>
          <w:rFonts w:ascii="宋体"/>
          <w:b/>
          <w:bCs/>
          <w:color w:val="FF0000"/>
          <w:szCs w:val="20"/>
        </w:rPr>
      </w:pPr>
      <w:r>
        <w:rPr>
          <w:rFonts w:hint="eastAsia" w:ascii="宋体"/>
          <w:bCs/>
          <w:szCs w:val="20"/>
        </w:rPr>
        <w:t>项目类型：工程类</w:t>
      </w:r>
    </w:p>
    <w:p>
      <w:pPr>
        <w:numPr>
          <w:ilvl w:val="0"/>
          <w:numId w:val="13"/>
        </w:numPr>
        <w:snapToGrid w:val="0"/>
        <w:spacing w:line="360" w:lineRule="auto"/>
        <w:rPr>
          <w:rFonts w:ascii="宋体"/>
          <w:bCs/>
          <w:szCs w:val="20"/>
        </w:rPr>
      </w:pPr>
      <w:r>
        <w:rPr>
          <w:rFonts w:hint="eastAsia" w:ascii="宋体"/>
          <w:bCs/>
          <w:szCs w:val="20"/>
        </w:rPr>
        <w:t>项目情况一览表：</w:t>
      </w:r>
    </w:p>
    <w:tbl>
      <w:tblPr>
        <w:tblStyle w:val="50"/>
        <w:tblW w:w="81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33"/>
        <w:gridCol w:w="3086"/>
        <w:gridCol w:w="2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1" w:hRule="atLeast"/>
          <w:jc w:val="center"/>
        </w:trPr>
        <w:tc>
          <w:tcPr>
            <w:tcW w:w="2333" w:type="dxa"/>
            <w:shd w:val="clear" w:color="auto" w:fill="EEECE1"/>
            <w:vAlign w:val="center"/>
          </w:tcPr>
          <w:p>
            <w:pPr>
              <w:jc w:val="center"/>
              <w:rPr>
                <w:rFonts w:ascii="宋体"/>
                <w:b/>
                <w:color w:val="000000"/>
                <w:szCs w:val="21"/>
              </w:rPr>
            </w:pPr>
            <w:r>
              <w:rPr>
                <w:rFonts w:hint="eastAsia" w:ascii="宋体"/>
                <w:b/>
                <w:color w:val="000000"/>
                <w:szCs w:val="21"/>
              </w:rPr>
              <w:t>项目内容</w:t>
            </w:r>
          </w:p>
        </w:tc>
        <w:tc>
          <w:tcPr>
            <w:tcW w:w="3086" w:type="dxa"/>
            <w:shd w:val="clear" w:color="auto" w:fill="EEECE1"/>
            <w:vAlign w:val="center"/>
          </w:tcPr>
          <w:p>
            <w:pPr>
              <w:jc w:val="center"/>
              <w:rPr>
                <w:rFonts w:ascii="宋体"/>
                <w:b/>
                <w:color w:val="000000"/>
                <w:szCs w:val="21"/>
              </w:rPr>
            </w:pPr>
            <w:r>
              <w:rPr>
                <w:rFonts w:hint="eastAsia" w:ascii="宋体"/>
                <w:b/>
                <w:color w:val="000000"/>
                <w:szCs w:val="21"/>
              </w:rPr>
              <w:t>服务期</w:t>
            </w:r>
          </w:p>
        </w:tc>
        <w:tc>
          <w:tcPr>
            <w:tcW w:w="2693" w:type="dxa"/>
            <w:shd w:val="clear" w:color="auto" w:fill="EEECE1"/>
            <w:vAlign w:val="center"/>
          </w:tcPr>
          <w:p>
            <w:pPr>
              <w:jc w:val="center"/>
              <w:rPr>
                <w:rFonts w:ascii="宋体"/>
                <w:b/>
                <w:color w:val="000000"/>
                <w:szCs w:val="21"/>
              </w:rPr>
            </w:pPr>
            <w:r>
              <w:rPr>
                <w:rFonts w:hint="eastAsia" w:ascii="宋体"/>
                <w:b/>
                <w:color w:val="000000"/>
                <w:szCs w:val="21"/>
              </w:rPr>
              <w:t>项目预算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32" w:hRule="atLeast"/>
          <w:jc w:val="center"/>
        </w:trPr>
        <w:tc>
          <w:tcPr>
            <w:tcW w:w="2333" w:type="dxa"/>
            <w:vAlign w:val="center"/>
          </w:tcPr>
          <w:p>
            <w:pPr>
              <w:jc w:val="center"/>
              <w:rPr>
                <w:rFonts w:ascii="宋体"/>
                <w:bCs/>
                <w:color w:val="000000"/>
                <w:szCs w:val="21"/>
              </w:rPr>
            </w:pPr>
            <w:r>
              <w:rPr>
                <w:rFonts w:hint="eastAsia" w:ascii="宋体" w:hAnsi="宋体"/>
                <w:color w:val="000000"/>
                <w:szCs w:val="21"/>
              </w:rPr>
              <w:t>《江门市江海区和德路及应急产业项目占用耕地耕作层土壤剥离再利用方案》耕作层土壤剥离再利用工程项目</w:t>
            </w:r>
          </w:p>
        </w:tc>
        <w:tc>
          <w:tcPr>
            <w:tcW w:w="3086" w:type="dxa"/>
            <w:vAlign w:val="center"/>
          </w:tcPr>
          <w:p>
            <w:pPr>
              <w:pStyle w:val="199"/>
              <w:spacing w:line="440" w:lineRule="exact"/>
              <w:rPr>
                <w:rFonts w:ascii="宋体" w:hAnsi="宋体"/>
                <w:snapToGrid/>
                <w:color w:val="000000"/>
                <w:spacing w:val="0"/>
                <w:kern w:val="2"/>
                <w:sz w:val="21"/>
                <w:szCs w:val="21"/>
              </w:rPr>
            </w:pPr>
            <w:r>
              <w:rPr>
                <w:rFonts w:ascii="宋体" w:hAnsi="宋体"/>
                <w:snapToGrid/>
                <w:color w:val="000000"/>
                <w:spacing w:val="0"/>
                <w:kern w:val="2"/>
                <w:sz w:val="21"/>
                <w:szCs w:val="21"/>
              </w:rPr>
              <w:t>3</w:t>
            </w:r>
            <w:r>
              <w:rPr>
                <w:rFonts w:hint="eastAsia" w:ascii="宋体" w:hAnsi="宋体"/>
                <w:snapToGrid/>
                <w:color w:val="000000"/>
                <w:spacing w:val="0"/>
                <w:kern w:val="2"/>
                <w:sz w:val="21"/>
                <w:szCs w:val="21"/>
              </w:rPr>
              <w:t>月</w:t>
            </w:r>
            <w:r>
              <w:rPr>
                <w:rFonts w:ascii="宋体" w:hAnsi="宋体"/>
                <w:snapToGrid/>
                <w:color w:val="000000"/>
                <w:spacing w:val="0"/>
                <w:kern w:val="2"/>
                <w:sz w:val="21"/>
                <w:szCs w:val="21"/>
              </w:rPr>
              <w:t>1</w:t>
            </w:r>
            <w:r>
              <w:rPr>
                <w:rFonts w:hint="eastAsia" w:ascii="宋体" w:hAnsi="宋体"/>
                <w:snapToGrid/>
                <w:color w:val="000000"/>
                <w:spacing w:val="0"/>
                <w:kern w:val="2"/>
                <w:sz w:val="21"/>
                <w:szCs w:val="21"/>
              </w:rPr>
              <w:t>日至</w:t>
            </w:r>
            <w:r>
              <w:rPr>
                <w:rFonts w:ascii="宋体" w:hAnsi="宋体"/>
                <w:snapToGrid/>
                <w:color w:val="000000"/>
                <w:spacing w:val="0"/>
                <w:kern w:val="2"/>
                <w:sz w:val="21"/>
                <w:szCs w:val="21"/>
              </w:rPr>
              <w:t>5</w:t>
            </w:r>
            <w:r>
              <w:rPr>
                <w:rFonts w:hint="eastAsia" w:ascii="宋体" w:hAnsi="宋体"/>
                <w:snapToGrid/>
                <w:color w:val="000000"/>
                <w:spacing w:val="0"/>
                <w:kern w:val="2"/>
                <w:sz w:val="21"/>
                <w:szCs w:val="21"/>
              </w:rPr>
              <w:t>月3</w:t>
            </w:r>
            <w:r>
              <w:rPr>
                <w:rFonts w:ascii="宋体" w:hAnsi="宋体"/>
                <w:snapToGrid/>
                <w:color w:val="000000"/>
                <w:spacing w:val="0"/>
                <w:kern w:val="2"/>
                <w:sz w:val="21"/>
                <w:szCs w:val="21"/>
              </w:rPr>
              <w:t>0</w:t>
            </w:r>
            <w:r>
              <w:rPr>
                <w:rFonts w:hint="eastAsia" w:ascii="宋体" w:hAnsi="宋体"/>
                <w:snapToGrid/>
                <w:color w:val="000000"/>
                <w:spacing w:val="0"/>
                <w:kern w:val="2"/>
                <w:sz w:val="21"/>
                <w:szCs w:val="21"/>
              </w:rPr>
              <w:t>日</w:t>
            </w:r>
          </w:p>
        </w:tc>
        <w:tc>
          <w:tcPr>
            <w:tcW w:w="2693" w:type="dxa"/>
            <w:vAlign w:val="center"/>
          </w:tcPr>
          <w:p>
            <w:pPr>
              <w:pStyle w:val="199"/>
              <w:spacing w:line="440" w:lineRule="exact"/>
              <w:ind w:firstLine="120"/>
              <w:rPr>
                <w:rFonts w:ascii="宋体" w:hAnsi="宋体"/>
                <w:snapToGrid/>
                <w:color w:val="000000"/>
                <w:spacing w:val="0"/>
                <w:kern w:val="2"/>
                <w:sz w:val="21"/>
                <w:szCs w:val="21"/>
              </w:rPr>
            </w:pPr>
            <w:r>
              <w:rPr>
                <w:rFonts w:hint="eastAsia" w:ascii="宋体" w:hAnsi="宋体"/>
                <w:snapToGrid/>
                <w:color w:val="000000"/>
                <w:spacing w:val="0"/>
                <w:kern w:val="2"/>
                <w:sz w:val="21"/>
                <w:szCs w:val="21"/>
              </w:rPr>
              <w:t>人民币</w:t>
            </w:r>
            <w:r>
              <w:rPr>
                <w:rFonts w:ascii="宋体" w:hAnsi="宋体"/>
                <w:snapToGrid/>
                <w:color w:val="000000"/>
                <w:spacing w:val="0"/>
                <w:kern w:val="2"/>
                <w:sz w:val="21"/>
                <w:szCs w:val="21"/>
              </w:rPr>
              <w:t>277417.11</w:t>
            </w:r>
            <w:r>
              <w:rPr>
                <w:rFonts w:hint="eastAsia" w:ascii="宋体" w:hAnsi="宋体"/>
                <w:snapToGrid/>
                <w:color w:val="000000"/>
                <w:spacing w:val="0"/>
                <w:kern w:val="2"/>
                <w:sz w:val="21"/>
                <w:szCs w:val="21"/>
              </w:rPr>
              <w:t>元</w:t>
            </w:r>
          </w:p>
        </w:tc>
      </w:tr>
    </w:tbl>
    <w:p>
      <w:pPr>
        <w:snapToGrid w:val="0"/>
        <w:spacing w:line="360" w:lineRule="auto"/>
        <w:ind w:firstLine="315" w:firstLineChars="150"/>
        <w:rPr>
          <w:rFonts w:ascii="宋体"/>
          <w:bCs/>
          <w:szCs w:val="20"/>
        </w:rPr>
      </w:pPr>
      <w:r>
        <w:rPr>
          <w:rFonts w:hint="eastAsia" w:ascii="宋体"/>
          <w:bCs/>
          <w:szCs w:val="20"/>
        </w:rPr>
        <w:t>备注：</w:t>
      </w:r>
    </w:p>
    <w:p>
      <w:pPr>
        <w:numPr>
          <w:ilvl w:val="0"/>
          <w:numId w:val="14"/>
        </w:numPr>
        <w:snapToGrid w:val="0"/>
        <w:spacing w:line="360" w:lineRule="auto"/>
        <w:rPr>
          <w:rFonts w:ascii="宋体"/>
          <w:bCs/>
          <w:szCs w:val="20"/>
        </w:rPr>
      </w:pPr>
      <w:r>
        <w:rPr>
          <w:rFonts w:hint="eastAsia" w:ascii="宋体"/>
          <w:bCs/>
          <w:szCs w:val="20"/>
        </w:rPr>
        <w:t xml:space="preserve">本项目属于政府采购项目。 </w:t>
      </w:r>
    </w:p>
    <w:p>
      <w:pPr>
        <w:numPr>
          <w:ilvl w:val="0"/>
          <w:numId w:val="14"/>
        </w:numPr>
        <w:snapToGrid w:val="0"/>
        <w:spacing w:line="360" w:lineRule="auto"/>
        <w:rPr>
          <w:rFonts w:ascii="宋体"/>
          <w:bCs/>
          <w:szCs w:val="20"/>
        </w:rPr>
      </w:pPr>
      <w:r>
        <w:rPr>
          <w:rFonts w:hint="eastAsia" w:ascii="宋体"/>
          <w:bCs/>
          <w:szCs w:val="20"/>
        </w:rPr>
        <w:t>监管部</w:t>
      </w:r>
      <w:r>
        <w:rPr>
          <w:rFonts w:hint="eastAsia" w:ascii="宋体"/>
          <w:bCs/>
          <w:color w:val="000000"/>
          <w:szCs w:val="20"/>
        </w:rPr>
        <w:t>门：</w:t>
      </w:r>
      <w:r>
        <w:rPr>
          <w:rFonts w:hint="eastAsia" w:ascii="宋体" w:hAnsi="宋体"/>
          <w:bCs/>
          <w:color w:val="000000"/>
          <w:szCs w:val="21"/>
        </w:rPr>
        <w:t>江海区自然资源局政府采购工作领导小组。</w:t>
      </w:r>
    </w:p>
    <w:p>
      <w:pPr>
        <w:numPr>
          <w:ilvl w:val="0"/>
          <w:numId w:val="13"/>
        </w:numPr>
        <w:snapToGrid w:val="0"/>
        <w:spacing w:line="360" w:lineRule="auto"/>
        <w:rPr>
          <w:rFonts w:ascii="宋体"/>
          <w:b/>
          <w:bCs/>
          <w:szCs w:val="20"/>
        </w:rPr>
      </w:pPr>
      <w:r>
        <w:rPr>
          <w:rFonts w:hint="eastAsia" w:ascii="宋体"/>
          <w:b/>
          <w:bCs/>
          <w:szCs w:val="20"/>
        </w:rPr>
        <w:t>合格投标人资格要求：</w:t>
      </w:r>
    </w:p>
    <w:p>
      <w:pPr>
        <w:numPr>
          <w:ilvl w:val="1"/>
          <w:numId w:val="13"/>
        </w:numPr>
        <w:snapToGrid w:val="0"/>
        <w:spacing w:line="360" w:lineRule="auto"/>
        <w:rPr>
          <w:rFonts w:ascii="宋体" w:hAnsi="宋体"/>
          <w:bCs/>
          <w:szCs w:val="20"/>
        </w:rPr>
      </w:pPr>
      <w:r>
        <w:rPr>
          <w:rFonts w:hint="eastAsia" w:ascii="宋体" w:hAnsi="宋体"/>
          <w:bCs/>
          <w:szCs w:val="20"/>
        </w:rPr>
        <w:t>具备《中华人民共和国政府采购法》第二十二条资格条件；</w:t>
      </w:r>
    </w:p>
    <w:p>
      <w:pPr>
        <w:numPr>
          <w:ilvl w:val="2"/>
          <w:numId w:val="15"/>
        </w:numPr>
        <w:tabs>
          <w:tab w:val="left" w:pos="709"/>
        </w:tabs>
        <w:snapToGrid w:val="0"/>
        <w:spacing w:line="360" w:lineRule="auto"/>
        <w:rPr>
          <w:rFonts w:ascii="宋体" w:hAnsi="宋体"/>
          <w:bCs/>
          <w:szCs w:val="20"/>
        </w:rPr>
      </w:pPr>
      <w:r>
        <w:rPr>
          <w:rFonts w:ascii="宋体" w:hAnsi="宋体"/>
          <w:bCs/>
          <w:szCs w:val="20"/>
        </w:rPr>
        <w:t>具有独立承担民事责任的能力；</w:t>
      </w:r>
    </w:p>
    <w:p>
      <w:pPr>
        <w:numPr>
          <w:ilvl w:val="2"/>
          <w:numId w:val="13"/>
        </w:numPr>
        <w:snapToGrid w:val="0"/>
        <w:spacing w:line="360" w:lineRule="auto"/>
        <w:rPr>
          <w:rFonts w:ascii="宋体" w:hAnsi="宋体"/>
          <w:bCs/>
          <w:szCs w:val="20"/>
        </w:rPr>
      </w:pPr>
      <w:r>
        <w:rPr>
          <w:rFonts w:ascii="宋体" w:hAnsi="宋体"/>
          <w:bCs/>
          <w:szCs w:val="20"/>
        </w:rPr>
        <w:t>具有良好的商业信誉和健全的财务会计制度；</w:t>
      </w:r>
    </w:p>
    <w:p>
      <w:pPr>
        <w:numPr>
          <w:ilvl w:val="2"/>
          <w:numId w:val="13"/>
        </w:numPr>
        <w:snapToGrid w:val="0"/>
        <w:spacing w:line="360" w:lineRule="auto"/>
        <w:rPr>
          <w:rFonts w:ascii="宋体" w:hAnsi="宋体"/>
          <w:bCs/>
          <w:szCs w:val="20"/>
        </w:rPr>
      </w:pPr>
      <w:r>
        <w:rPr>
          <w:rFonts w:ascii="宋体" w:hAnsi="宋体"/>
          <w:bCs/>
          <w:szCs w:val="20"/>
        </w:rPr>
        <w:t>具有履行合同所必需的设备和专业技术能力；</w:t>
      </w:r>
    </w:p>
    <w:p>
      <w:pPr>
        <w:numPr>
          <w:ilvl w:val="2"/>
          <w:numId w:val="13"/>
        </w:numPr>
        <w:snapToGrid w:val="0"/>
        <w:spacing w:line="360" w:lineRule="auto"/>
        <w:rPr>
          <w:rFonts w:ascii="宋体" w:hAnsi="宋体"/>
          <w:bCs/>
          <w:szCs w:val="20"/>
        </w:rPr>
      </w:pPr>
      <w:r>
        <w:rPr>
          <w:rFonts w:ascii="宋体" w:hAnsi="宋体"/>
          <w:bCs/>
          <w:szCs w:val="20"/>
        </w:rPr>
        <w:t>有依法缴纳税收和社会保障资金的良好记录；</w:t>
      </w:r>
    </w:p>
    <w:p>
      <w:pPr>
        <w:numPr>
          <w:ilvl w:val="2"/>
          <w:numId w:val="13"/>
        </w:numPr>
        <w:snapToGrid w:val="0"/>
        <w:spacing w:line="360" w:lineRule="auto"/>
        <w:ind w:right="315" w:rightChars="150"/>
        <w:rPr>
          <w:rFonts w:ascii="宋体" w:hAnsi="宋体"/>
          <w:bCs/>
          <w:szCs w:val="20"/>
        </w:rPr>
      </w:pPr>
      <w:r>
        <w:rPr>
          <w:rFonts w:ascii="宋体" w:hAnsi="宋体"/>
          <w:bCs/>
          <w:szCs w:val="20"/>
        </w:rPr>
        <w:t>参加政府采购活动前三年内，在经营活动中没有重大违法记录；</w:t>
      </w:r>
    </w:p>
    <w:p>
      <w:pPr>
        <w:numPr>
          <w:ilvl w:val="2"/>
          <w:numId w:val="13"/>
        </w:numPr>
        <w:snapToGrid w:val="0"/>
        <w:spacing w:line="360" w:lineRule="auto"/>
        <w:ind w:right="315" w:rightChars="150"/>
        <w:rPr>
          <w:rFonts w:ascii="宋体" w:hAnsi="宋体"/>
          <w:bCs/>
          <w:szCs w:val="20"/>
        </w:rPr>
      </w:pPr>
      <w:r>
        <w:rPr>
          <w:rFonts w:ascii="宋体" w:hAnsi="宋体"/>
          <w:bCs/>
          <w:szCs w:val="20"/>
        </w:rPr>
        <w:t>法律、行政法规规定的其他条件。</w:t>
      </w:r>
    </w:p>
    <w:p>
      <w:pPr>
        <w:numPr>
          <w:ilvl w:val="1"/>
          <w:numId w:val="13"/>
        </w:numPr>
        <w:snapToGrid w:val="0"/>
        <w:spacing w:line="360" w:lineRule="auto"/>
        <w:ind w:right="315" w:rightChars="150"/>
        <w:rPr>
          <w:rFonts w:ascii="宋体" w:hAnsi="宋体"/>
          <w:bCs/>
          <w:color w:val="000000"/>
          <w:szCs w:val="20"/>
        </w:rPr>
      </w:pPr>
      <w:r>
        <w:rPr>
          <w:rFonts w:hint="eastAsia" w:hAnsi="宋体" w:cs="宋体"/>
          <w:bCs/>
          <w:color w:val="000000"/>
          <w:kern w:val="0"/>
          <w:szCs w:val="21"/>
        </w:rPr>
        <w:t>《公平竞争承诺书》原件；</w:t>
      </w:r>
    </w:p>
    <w:p>
      <w:pPr>
        <w:numPr>
          <w:ilvl w:val="1"/>
          <w:numId w:val="13"/>
        </w:numPr>
        <w:snapToGrid w:val="0"/>
        <w:spacing w:line="360" w:lineRule="auto"/>
        <w:ind w:right="315" w:rightChars="150"/>
        <w:rPr>
          <w:bCs/>
          <w:szCs w:val="21"/>
        </w:rPr>
      </w:pPr>
      <w:r>
        <w:rPr>
          <w:rFonts w:hint="eastAsia"/>
          <w:bCs/>
          <w:color w:val="000000"/>
          <w:szCs w:val="21"/>
        </w:rPr>
        <w:t>为采购项目提供整体设计、规范编制或者项目管理、监理、检测等服务的投标</w:t>
      </w:r>
      <w:r>
        <w:rPr>
          <w:rFonts w:hint="eastAsia"/>
          <w:bCs/>
          <w:szCs w:val="21"/>
        </w:rPr>
        <w:t>人及其附属机构，不得再参加</w:t>
      </w:r>
      <w:r>
        <w:rPr>
          <w:rFonts w:hint="eastAsia"/>
        </w:rPr>
        <w:t>本项目或所投包组投标。</w:t>
      </w:r>
      <w:r>
        <w:rPr>
          <w:rFonts w:hint="eastAsia" w:hAnsi="宋体" w:cs="宋体"/>
          <w:bCs/>
          <w:kern w:val="0"/>
          <w:szCs w:val="21"/>
        </w:rPr>
        <w:t>（提供《承诺函》）</w:t>
      </w:r>
    </w:p>
    <w:p>
      <w:pPr>
        <w:numPr>
          <w:ilvl w:val="1"/>
          <w:numId w:val="13"/>
        </w:numPr>
        <w:snapToGrid w:val="0"/>
        <w:spacing w:line="360" w:lineRule="auto"/>
        <w:ind w:right="315" w:rightChars="150"/>
        <w:rPr>
          <w:rFonts w:ascii="宋体" w:hAnsi="宋体"/>
          <w:bCs/>
          <w:color w:val="FF0000"/>
          <w:szCs w:val="20"/>
        </w:rPr>
      </w:pPr>
      <w:r>
        <w:rPr>
          <w:rFonts w:hint="eastAsia" w:ascii="宋体"/>
          <w:bCs/>
          <w:szCs w:val="20"/>
        </w:rPr>
        <w:t>本项目不接受联合体投标。</w:t>
      </w:r>
    </w:p>
    <w:p>
      <w:pPr>
        <w:numPr>
          <w:ilvl w:val="0"/>
          <w:numId w:val="13"/>
        </w:numPr>
        <w:snapToGrid w:val="0"/>
        <w:spacing w:line="360" w:lineRule="auto"/>
        <w:ind w:right="315" w:rightChars="150"/>
        <w:rPr>
          <w:b/>
          <w:color w:val="000000"/>
          <w:szCs w:val="21"/>
        </w:rPr>
      </w:pPr>
      <w:r>
        <w:rPr>
          <w:b/>
          <w:color w:val="000000"/>
          <w:szCs w:val="21"/>
        </w:rPr>
        <w:t>获取</w:t>
      </w:r>
      <w:r>
        <w:rPr>
          <w:rFonts w:hint="eastAsia"/>
          <w:b/>
          <w:color w:val="000000"/>
          <w:szCs w:val="21"/>
        </w:rPr>
        <w:t>招标文件</w:t>
      </w:r>
      <w:r>
        <w:rPr>
          <w:b/>
          <w:color w:val="000000"/>
          <w:szCs w:val="21"/>
        </w:rPr>
        <w:t>的时间、地点、方式</w:t>
      </w:r>
      <w:r>
        <w:rPr>
          <w:rFonts w:hint="eastAsia"/>
          <w:b/>
          <w:color w:val="000000"/>
          <w:szCs w:val="21"/>
        </w:rPr>
        <w:t>：</w:t>
      </w:r>
    </w:p>
    <w:p>
      <w:pPr>
        <w:numPr>
          <w:ilvl w:val="1"/>
          <w:numId w:val="13"/>
        </w:numPr>
        <w:snapToGrid w:val="0"/>
        <w:spacing w:line="360" w:lineRule="auto"/>
        <w:ind w:right="315" w:rightChars="150"/>
        <w:rPr>
          <w:rFonts w:ascii="宋体" w:hAnsi="宋体"/>
          <w:color w:val="000000"/>
          <w:szCs w:val="21"/>
        </w:rPr>
      </w:pPr>
      <w:r>
        <w:rPr>
          <w:rFonts w:ascii="宋体" w:hAnsi="宋体"/>
          <w:color w:val="000000"/>
          <w:szCs w:val="21"/>
        </w:rPr>
        <w:t>获取招标文件时间：</w:t>
      </w:r>
      <w:r>
        <w:rPr>
          <w:rFonts w:hint="eastAsia" w:ascii="宋体" w:hAnsi="宋体"/>
          <w:color w:val="000000"/>
          <w:szCs w:val="21"/>
        </w:rPr>
        <w:t>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20</w:t>
      </w:r>
      <w:r>
        <w:rPr>
          <w:rFonts w:hint="eastAsia" w:ascii="宋体" w:hAnsi="宋体"/>
          <w:color w:val="000000"/>
          <w:szCs w:val="21"/>
        </w:rPr>
        <w:t>日--202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22</w:t>
      </w:r>
      <w:r>
        <w:rPr>
          <w:rFonts w:hint="eastAsia" w:ascii="宋体" w:hAnsi="宋体"/>
          <w:color w:val="000000"/>
          <w:szCs w:val="21"/>
        </w:rPr>
        <w:t xml:space="preserve">日 </w:t>
      </w:r>
    </w:p>
    <w:p>
      <w:pPr>
        <w:numPr>
          <w:ilvl w:val="1"/>
          <w:numId w:val="13"/>
        </w:numPr>
        <w:snapToGrid w:val="0"/>
        <w:spacing w:line="360" w:lineRule="auto"/>
        <w:ind w:right="315" w:rightChars="150"/>
        <w:rPr>
          <w:color w:val="000000"/>
          <w:szCs w:val="21"/>
        </w:rPr>
      </w:pPr>
      <w:r>
        <w:rPr>
          <w:color w:val="000000"/>
          <w:szCs w:val="21"/>
        </w:rPr>
        <w:t>获取招标文件地点：</w:t>
      </w:r>
      <w:r>
        <w:rPr>
          <w:rFonts w:hint="eastAsia" w:ascii="宋体" w:hAnsi="宋体"/>
          <w:szCs w:val="21"/>
        </w:rPr>
        <w:t>江门市江海区自然资源局政务网站（自然资源局  http://www.jianghai.gov.cn/bwbj/gthbj/）</w:t>
      </w:r>
    </w:p>
    <w:p>
      <w:pPr>
        <w:numPr>
          <w:ilvl w:val="2"/>
          <w:numId w:val="13"/>
        </w:numPr>
        <w:adjustRightInd w:val="0"/>
        <w:snapToGrid w:val="0"/>
        <w:spacing w:line="360" w:lineRule="auto"/>
        <w:ind w:right="315" w:rightChars="150"/>
        <w:rPr>
          <w:szCs w:val="21"/>
        </w:rPr>
      </w:pPr>
      <w:r>
        <w:rPr>
          <w:szCs w:val="21"/>
        </w:rPr>
        <w:t>获取招标文件方式：</w:t>
      </w:r>
      <w:r>
        <w:rPr>
          <w:rFonts w:hint="eastAsia"/>
          <w:szCs w:val="21"/>
        </w:rPr>
        <w:t>供应商自行下载招标文件</w:t>
      </w:r>
    </w:p>
    <w:p>
      <w:pPr>
        <w:numPr>
          <w:ilvl w:val="2"/>
          <w:numId w:val="13"/>
        </w:numPr>
        <w:snapToGrid w:val="0"/>
        <w:spacing w:line="360" w:lineRule="auto"/>
        <w:ind w:right="315" w:rightChars="150"/>
        <w:rPr>
          <w:bCs/>
          <w:szCs w:val="21"/>
        </w:rPr>
      </w:pPr>
      <w:r>
        <w:rPr>
          <w:rFonts w:hint="eastAsia"/>
          <w:bCs/>
          <w:color w:val="000000"/>
          <w:szCs w:val="21"/>
        </w:rPr>
        <w:t>招标文件经</w:t>
      </w:r>
      <w:r>
        <w:rPr>
          <w:rFonts w:hint="eastAsia"/>
          <w:bCs/>
          <w:szCs w:val="21"/>
        </w:rPr>
        <w:t>办人，需提供：</w:t>
      </w:r>
    </w:p>
    <w:p>
      <w:pPr>
        <w:numPr>
          <w:ilvl w:val="3"/>
          <w:numId w:val="16"/>
        </w:numPr>
        <w:tabs>
          <w:tab w:val="left" w:pos="426"/>
          <w:tab w:val="clear" w:pos="851"/>
        </w:tabs>
        <w:snapToGrid w:val="0"/>
        <w:spacing w:line="360" w:lineRule="auto"/>
        <w:ind w:left="567" w:right="315" w:rightChars="150" w:hanging="567"/>
        <w:rPr>
          <w:bCs/>
          <w:szCs w:val="21"/>
        </w:rPr>
      </w:pPr>
      <w:r>
        <w:rPr>
          <w:rFonts w:hint="eastAsia"/>
          <w:bCs/>
          <w:szCs w:val="21"/>
        </w:rPr>
        <w:t>经办人如是法定代表人，需提供法定代表人证明书及法定代表人身份证复印件</w:t>
      </w:r>
      <w:r>
        <w:rPr>
          <w:rFonts w:hint="eastAsia"/>
        </w:rPr>
        <w:t>；</w:t>
      </w:r>
    </w:p>
    <w:p>
      <w:pPr>
        <w:numPr>
          <w:ilvl w:val="3"/>
          <w:numId w:val="16"/>
        </w:numPr>
        <w:tabs>
          <w:tab w:val="left" w:pos="426"/>
          <w:tab w:val="clear" w:pos="851"/>
        </w:tabs>
        <w:snapToGrid w:val="0"/>
        <w:spacing w:line="360" w:lineRule="auto"/>
        <w:ind w:left="567" w:right="315" w:rightChars="150" w:hanging="567"/>
        <w:rPr>
          <w:bCs/>
          <w:szCs w:val="21"/>
        </w:rPr>
      </w:pPr>
      <w:r>
        <w:rPr>
          <w:rFonts w:hint="eastAsia"/>
          <w:bCs/>
          <w:szCs w:val="21"/>
        </w:rPr>
        <w:t>经办人</w:t>
      </w:r>
      <w:r>
        <w:rPr>
          <w:rFonts w:hint="eastAsia"/>
        </w:rPr>
        <w:t>如是投标人授权代表</w:t>
      </w:r>
      <w:r>
        <w:rPr>
          <w:rFonts w:hint="eastAsia"/>
          <w:bCs/>
          <w:szCs w:val="21"/>
        </w:rPr>
        <w:t>，需提供法定代表人授权委托书及</w:t>
      </w:r>
      <w:r>
        <w:rPr>
          <w:rFonts w:hint="eastAsia"/>
        </w:rPr>
        <w:t>授权代表</w:t>
      </w:r>
      <w:r>
        <w:rPr>
          <w:rFonts w:hint="eastAsia"/>
          <w:bCs/>
          <w:szCs w:val="21"/>
        </w:rPr>
        <w:t>身份证复印件</w:t>
      </w:r>
      <w:r>
        <w:rPr>
          <w:rFonts w:hint="eastAsia"/>
        </w:rPr>
        <w:t>。</w:t>
      </w:r>
    </w:p>
    <w:p>
      <w:pPr>
        <w:tabs>
          <w:tab w:val="left" w:pos="1440"/>
        </w:tabs>
        <w:snapToGrid w:val="0"/>
        <w:spacing w:line="360" w:lineRule="auto"/>
        <w:ind w:left="944" w:right="315" w:rightChars="150" w:hanging="944" w:hangingChars="448"/>
        <w:rPr>
          <w:rFonts w:ascii="宋体" w:hAnsi="宋体"/>
          <w:color w:val="000000"/>
        </w:rPr>
      </w:pPr>
      <w:r>
        <w:rPr>
          <w:rFonts w:hint="eastAsia" w:ascii="宋体" w:hAnsi="宋体"/>
          <w:b/>
          <w:color w:val="000000"/>
        </w:rPr>
        <w:t>备注</w:t>
      </w:r>
      <w:r>
        <w:rPr>
          <w:rFonts w:hint="eastAsia" w:ascii="宋体" w:hAnsi="宋体"/>
          <w:color w:val="000000"/>
        </w:rPr>
        <w:t>：</w:t>
      </w:r>
    </w:p>
    <w:p>
      <w:pPr>
        <w:numPr>
          <w:ilvl w:val="0"/>
          <w:numId w:val="17"/>
        </w:numPr>
        <w:snapToGrid w:val="0"/>
        <w:spacing w:line="360" w:lineRule="auto"/>
        <w:ind w:right="315" w:rightChars="150" w:hanging="766"/>
        <w:rPr>
          <w:rFonts w:ascii="宋体" w:hAnsi="宋体"/>
          <w:color w:val="000000"/>
        </w:rPr>
      </w:pPr>
      <w:r>
        <w:rPr>
          <w:rFonts w:hint="eastAsia" w:ascii="宋体" w:hAnsi="宋体"/>
          <w:color w:val="000000"/>
        </w:rPr>
        <w:t>以上资料参与正式投标时须放入投标文件中。</w:t>
      </w:r>
    </w:p>
    <w:p>
      <w:pPr>
        <w:numPr>
          <w:ilvl w:val="0"/>
          <w:numId w:val="17"/>
        </w:numPr>
        <w:snapToGrid w:val="0"/>
        <w:spacing w:line="360" w:lineRule="auto"/>
        <w:ind w:left="851" w:right="315" w:rightChars="150" w:hanging="567"/>
        <w:rPr>
          <w:rFonts w:ascii="宋体" w:hAnsi="宋体"/>
          <w:color w:val="000000"/>
        </w:rPr>
      </w:pPr>
      <w:r>
        <w:rPr>
          <w:rFonts w:hint="eastAsia" w:ascii="宋体" w:hAnsi="宋体"/>
          <w:color w:val="000000"/>
        </w:rPr>
        <w:t>分单位投标：供应商为非独立法人(即由合法法人依法建立的分单位）</w:t>
      </w:r>
      <w:r>
        <w:rPr>
          <w:rFonts w:ascii="宋体" w:hAnsi="宋体"/>
          <w:color w:val="000000"/>
        </w:rPr>
        <w:t>，须提供总单位的营业执照副本复印件及总单位</w:t>
      </w:r>
      <w:r>
        <w:rPr>
          <w:rFonts w:hint="eastAsia" w:ascii="宋体" w:hAnsi="宋体"/>
          <w:color w:val="000000"/>
        </w:rPr>
        <w:t>对分单位出具的有效</w:t>
      </w:r>
      <w:r>
        <w:rPr>
          <w:rFonts w:ascii="宋体" w:hAnsi="宋体"/>
          <w:color w:val="000000"/>
        </w:rPr>
        <w:t>授权书原件。供应商</w:t>
      </w:r>
      <w:r>
        <w:rPr>
          <w:rFonts w:hint="eastAsia" w:ascii="宋体" w:hAnsi="宋体"/>
          <w:color w:val="000000"/>
        </w:rPr>
        <w:t>已具有总单位有效授权的，总单位取得的相关资质证书对分单位有效，若法律法规或招标文件另有规定的从其规定。</w:t>
      </w:r>
    </w:p>
    <w:p>
      <w:pPr>
        <w:numPr>
          <w:ilvl w:val="0"/>
          <w:numId w:val="16"/>
        </w:numPr>
        <w:snapToGrid w:val="0"/>
        <w:spacing w:line="360" w:lineRule="auto"/>
        <w:ind w:right="315" w:rightChars="150"/>
        <w:rPr>
          <w:rFonts w:ascii="宋体"/>
          <w:b/>
          <w:bCs/>
          <w:szCs w:val="20"/>
        </w:rPr>
      </w:pPr>
      <w:r>
        <w:rPr>
          <w:rFonts w:hint="eastAsia" w:ascii="宋体"/>
          <w:b/>
          <w:bCs/>
          <w:szCs w:val="20"/>
        </w:rPr>
        <w:t>投标、开标时间及地点：</w:t>
      </w:r>
    </w:p>
    <w:p>
      <w:pPr>
        <w:numPr>
          <w:ilvl w:val="1"/>
          <w:numId w:val="16"/>
        </w:numPr>
        <w:snapToGrid w:val="0"/>
        <w:spacing w:line="360" w:lineRule="auto"/>
        <w:ind w:right="315" w:rightChars="150"/>
        <w:rPr>
          <w:color w:val="000000"/>
          <w:szCs w:val="21"/>
        </w:rPr>
      </w:pPr>
      <w:r>
        <w:rPr>
          <w:rFonts w:hint="eastAsia"/>
          <w:szCs w:val="21"/>
        </w:rPr>
        <w:t>投标</w:t>
      </w:r>
      <w:r>
        <w:rPr>
          <w:szCs w:val="21"/>
        </w:rPr>
        <w:t>文件递</w:t>
      </w:r>
      <w:r>
        <w:rPr>
          <w:color w:val="000000"/>
          <w:szCs w:val="21"/>
        </w:rPr>
        <w:t>交时间</w:t>
      </w:r>
      <w:r>
        <w:rPr>
          <w:rFonts w:hint="eastAsia"/>
          <w:color w:val="000000"/>
          <w:szCs w:val="21"/>
        </w:rPr>
        <w:t>：</w:t>
      </w:r>
      <w:r>
        <w:rPr>
          <w:rFonts w:hint="eastAsia" w:ascii="宋体" w:hAnsi="宋体"/>
          <w:color w:val="000000"/>
          <w:szCs w:val="21"/>
        </w:rPr>
        <w:t>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23</w:t>
      </w:r>
      <w:r>
        <w:rPr>
          <w:rFonts w:hint="eastAsia" w:ascii="宋体" w:hAnsi="宋体"/>
          <w:color w:val="000000"/>
          <w:szCs w:val="21"/>
        </w:rPr>
        <w:t xml:space="preserve">日8：30--9：15   </w:t>
      </w:r>
    </w:p>
    <w:p>
      <w:pPr>
        <w:numPr>
          <w:ilvl w:val="1"/>
          <w:numId w:val="16"/>
        </w:numPr>
        <w:snapToGrid w:val="0"/>
        <w:spacing w:line="360" w:lineRule="auto"/>
        <w:ind w:right="315" w:rightChars="150"/>
        <w:rPr>
          <w:color w:val="000000"/>
          <w:szCs w:val="21"/>
        </w:rPr>
      </w:pPr>
      <w:r>
        <w:rPr>
          <w:rFonts w:hint="eastAsia"/>
          <w:color w:val="000000"/>
          <w:szCs w:val="21"/>
        </w:rPr>
        <w:t>开标时间：</w:t>
      </w:r>
      <w:r>
        <w:rPr>
          <w:rFonts w:hint="eastAsia" w:ascii="宋体" w:hAnsi="宋体"/>
          <w:color w:val="000000"/>
          <w:szCs w:val="21"/>
        </w:rPr>
        <w:t>202</w:t>
      </w:r>
      <w:r>
        <w:rPr>
          <w:rFonts w:ascii="宋体" w:hAnsi="宋体"/>
          <w:color w:val="000000"/>
          <w:szCs w:val="21"/>
        </w:rPr>
        <w:t>4</w:t>
      </w:r>
      <w:r>
        <w:rPr>
          <w:rFonts w:hint="eastAsia" w:ascii="宋体" w:hAnsi="宋体"/>
          <w:color w:val="000000"/>
          <w:szCs w:val="21"/>
        </w:rPr>
        <w:t>年</w:t>
      </w:r>
      <w:r>
        <w:rPr>
          <w:rFonts w:ascii="宋体" w:hAnsi="宋体"/>
          <w:color w:val="000000"/>
          <w:szCs w:val="21"/>
        </w:rPr>
        <w:t>2</w:t>
      </w:r>
      <w:r>
        <w:rPr>
          <w:rFonts w:hint="eastAsia" w:ascii="宋体" w:hAnsi="宋体"/>
          <w:color w:val="000000"/>
          <w:szCs w:val="21"/>
        </w:rPr>
        <w:t>月</w:t>
      </w:r>
      <w:r>
        <w:rPr>
          <w:rFonts w:ascii="宋体" w:hAnsi="宋体"/>
          <w:color w:val="000000"/>
          <w:szCs w:val="21"/>
        </w:rPr>
        <w:t>23</w:t>
      </w:r>
      <w:r>
        <w:rPr>
          <w:rFonts w:hint="eastAsia" w:ascii="宋体" w:hAnsi="宋体"/>
          <w:color w:val="000000"/>
          <w:szCs w:val="21"/>
        </w:rPr>
        <w:t>日9：30</w:t>
      </w:r>
    </w:p>
    <w:p>
      <w:pPr>
        <w:numPr>
          <w:ilvl w:val="0"/>
          <w:numId w:val="16"/>
        </w:numPr>
        <w:snapToGrid w:val="0"/>
        <w:spacing w:line="360" w:lineRule="auto"/>
        <w:ind w:right="315" w:rightChars="150"/>
        <w:rPr>
          <w:rFonts w:ascii="宋体"/>
          <w:b/>
          <w:bCs/>
          <w:szCs w:val="20"/>
        </w:rPr>
      </w:pPr>
      <w:r>
        <w:rPr>
          <w:rFonts w:hint="eastAsia"/>
          <w:color w:val="000000"/>
          <w:szCs w:val="21"/>
        </w:rPr>
        <w:t>投标文件递交及开标地点：</w:t>
      </w:r>
      <w:r>
        <w:rPr>
          <w:rFonts w:hint="eastAsia" w:ascii="宋体" w:hAnsi="宋体"/>
          <w:color w:val="000000"/>
          <w:szCs w:val="21"/>
        </w:rPr>
        <w:t>江门市江海区自然资源局501室</w:t>
      </w:r>
    </w:p>
    <w:p>
      <w:pPr>
        <w:numPr>
          <w:ilvl w:val="0"/>
          <w:numId w:val="16"/>
        </w:numPr>
        <w:snapToGrid w:val="0"/>
        <w:spacing w:line="360" w:lineRule="auto"/>
        <w:ind w:right="315" w:rightChars="150"/>
        <w:rPr>
          <w:rFonts w:ascii="宋体"/>
          <w:b/>
          <w:bCs/>
          <w:szCs w:val="20"/>
        </w:rPr>
      </w:pPr>
      <w:r>
        <w:rPr>
          <w:rFonts w:hint="eastAsia" w:ascii="宋体"/>
          <w:b/>
          <w:bCs/>
          <w:szCs w:val="20"/>
        </w:rPr>
        <w:t>本项目相关公告在以下媒体发布：</w:t>
      </w:r>
    </w:p>
    <w:p>
      <w:pPr>
        <w:snapToGrid w:val="0"/>
        <w:spacing w:line="360" w:lineRule="auto"/>
        <w:ind w:right="315" w:rightChars="150"/>
        <w:jc w:val="left"/>
        <w:rPr>
          <w:color w:val="000000"/>
          <w:szCs w:val="21"/>
        </w:rPr>
      </w:pPr>
      <w:r>
        <w:rPr>
          <w:rFonts w:hint="eastAsia" w:ascii="宋体"/>
          <w:bCs/>
          <w:szCs w:val="20"/>
        </w:rPr>
        <w:t>12.1法定媒体：</w:t>
      </w:r>
      <w:r>
        <w:rPr>
          <w:rFonts w:hint="eastAsia" w:ascii="宋体" w:hAnsi="宋体"/>
          <w:szCs w:val="21"/>
        </w:rPr>
        <w:t>江门市江海区自然资源局政务网站（自然资源局http://www.jianghai.gov.cn/bwbj/gthbj/）</w:t>
      </w:r>
      <w:r>
        <w:rPr>
          <w:rFonts w:hint="eastAsia" w:ascii="宋体"/>
          <w:bCs/>
          <w:color w:val="000000"/>
          <w:szCs w:val="20"/>
        </w:rPr>
        <w:t>。相关公告在法定媒体上公布之日即视为有效送达，不再另行通知。</w:t>
      </w:r>
    </w:p>
    <w:p>
      <w:pPr>
        <w:numPr>
          <w:ilvl w:val="0"/>
          <w:numId w:val="16"/>
        </w:numPr>
        <w:snapToGrid w:val="0"/>
        <w:spacing w:line="360" w:lineRule="auto"/>
        <w:ind w:right="315" w:rightChars="150"/>
      </w:pPr>
      <w:r>
        <w:rPr>
          <w:rFonts w:hint="eastAsia" w:ascii="宋体" w:cs="宋体"/>
          <w:szCs w:val="21"/>
        </w:rPr>
        <w:t>根据《广东省实施〈中华人民共和国政府采购法〉办法》第三十五条的规定，供应商认为政府招标文件的内容损害其权益的，可以在公示期间或者自期满之日起七个工作日内以书面形式（加盖单位公章，电话咨询或传真或电邮形式无效）向采购人或者监管单位提出质疑，质疑书应包括的内容：具体的质疑事项、事实依据及相关确凿的证明材料、投标人名称及地址、授权代表姓名及其联系电话、质疑时间。质疑书应当署名并由法定代表人或授权代表签字并加盖公章。投标人递交质疑书时需提供质疑书原件、法定代表人授权委托书（应载明委托代理的具体权限及事项）及授权代表身份证复印件。</w:t>
      </w:r>
    </w:p>
    <w:p>
      <w:pPr>
        <w:numPr>
          <w:ilvl w:val="0"/>
          <w:numId w:val="16"/>
        </w:numPr>
        <w:snapToGrid w:val="0"/>
        <w:spacing w:line="360" w:lineRule="auto"/>
        <w:ind w:right="315" w:rightChars="150"/>
        <w:rPr>
          <w:rFonts w:cs="宋体"/>
          <w:bCs/>
          <w:color w:val="000000"/>
          <w:szCs w:val="21"/>
        </w:rPr>
      </w:pPr>
      <w:r>
        <w:rPr>
          <w:szCs w:val="21"/>
        </w:rPr>
        <w:t>采购人联系方式</w:t>
      </w:r>
      <w:r>
        <w:rPr>
          <w:rFonts w:hint="eastAsia"/>
          <w:szCs w:val="21"/>
        </w:rPr>
        <w:t>：</w:t>
      </w:r>
    </w:p>
    <w:p>
      <w:pPr>
        <w:adjustRightInd w:val="0"/>
        <w:snapToGrid w:val="0"/>
        <w:spacing w:line="360" w:lineRule="auto"/>
        <w:ind w:left="425" w:right="315" w:rightChars="150"/>
        <w:rPr>
          <w:rFonts w:ascii="宋体" w:hAnsi="宋体"/>
        </w:rPr>
      </w:pPr>
      <w:r>
        <w:rPr>
          <w:rFonts w:ascii="宋体" w:hAnsi="宋体"/>
        </w:rPr>
        <w:t>采购人名称</w:t>
      </w:r>
      <w:r>
        <w:rPr>
          <w:rFonts w:ascii="宋体" w:hAnsi="宋体"/>
          <w:color w:val="000000"/>
        </w:rPr>
        <w:t>：</w:t>
      </w:r>
      <w:r>
        <w:rPr>
          <w:rFonts w:hint="eastAsia" w:ascii="宋体" w:hAnsi="宋体"/>
          <w:color w:val="000000"/>
        </w:rPr>
        <w:t xml:space="preserve">江门市江海区土地储备中心 </w:t>
      </w:r>
    </w:p>
    <w:p>
      <w:pPr>
        <w:adjustRightInd w:val="0"/>
        <w:snapToGrid w:val="0"/>
        <w:spacing w:line="360" w:lineRule="auto"/>
        <w:ind w:left="425" w:right="315" w:rightChars="150"/>
        <w:rPr>
          <w:rFonts w:ascii="宋体" w:hAnsi="宋体"/>
        </w:rPr>
      </w:pPr>
      <w:r>
        <w:rPr>
          <w:rFonts w:hint="eastAsia" w:ascii="宋体" w:hAnsi="宋体"/>
        </w:rPr>
        <w:t>联系人：赵先生</w:t>
      </w:r>
    </w:p>
    <w:p>
      <w:pPr>
        <w:adjustRightInd w:val="0"/>
        <w:snapToGrid w:val="0"/>
        <w:spacing w:line="360" w:lineRule="auto"/>
        <w:ind w:left="425" w:right="315" w:rightChars="150"/>
        <w:rPr>
          <w:rFonts w:ascii="宋体" w:hAnsi="宋体"/>
        </w:rPr>
      </w:pPr>
      <w:r>
        <w:rPr>
          <w:rFonts w:hint="eastAsia" w:ascii="宋体" w:hAnsi="宋体"/>
        </w:rPr>
        <w:t>电话：0750-3867561</w:t>
      </w:r>
    </w:p>
    <w:p>
      <w:pPr>
        <w:adjustRightInd w:val="0"/>
        <w:snapToGrid w:val="0"/>
        <w:spacing w:line="360" w:lineRule="auto"/>
        <w:ind w:left="425" w:right="315" w:rightChars="150"/>
        <w:rPr>
          <w:bCs/>
          <w:color w:val="000000"/>
        </w:rPr>
      </w:pPr>
      <w:r>
        <w:rPr>
          <w:rFonts w:hint="eastAsia" w:ascii="宋体" w:hAnsi="宋体"/>
        </w:rPr>
        <w:t>地址：广东省江门市江海区富民路9号709室</w:t>
      </w:r>
    </w:p>
    <w:p>
      <w:pPr>
        <w:numPr>
          <w:ilvl w:val="0"/>
          <w:numId w:val="12"/>
        </w:numPr>
        <w:tabs>
          <w:tab w:val="left" w:pos="1843"/>
        </w:tabs>
        <w:jc w:val="center"/>
        <w:outlineLvl w:val="0"/>
        <w:rPr>
          <w:b/>
          <w:sz w:val="50"/>
          <w:szCs w:val="50"/>
        </w:rPr>
      </w:pPr>
      <w:bookmarkStart w:id="2" w:name="_Toc247"/>
      <w:r>
        <w:rPr>
          <w:rFonts w:hint="eastAsia"/>
          <w:b/>
          <w:sz w:val="50"/>
          <w:szCs w:val="50"/>
        </w:rPr>
        <w:t>投标人须知</w:t>
      </w:r>
      <w:bookmarkEnd w:id="2"/>
      <w:bookmarkStart w:id="3" w:name="_Toc15542"/>
    </w:p>
    <w:p>
      <w:pPr>
        <w:tabs>
          <w:tab w:val="left" w:pos="1843"/>
        </w:tabs>
        <w:ind w:left="420"/>
        <w:jc w:val="center"/>
        <w:outlineLvl w:val="0"/>
        <w:rPr>
          <w:b/>
          <w:sz w:val="50"/>
          <w:szCs w:val="50"/>
        </w:rPr>
      </w:pPr>
      <w:bookmarkStart w:id="4" w:name="_Toc31685"/>
      <w:r>
        <w:rPr>
          <w:rFonts w:hint="eastAsia" w:ascii="宋体" w:hAnsi="宋体"/>
          <w:b/>
          <w:sz w:val="30"/>
          <w:szCs w:val="30"/>
          <w:lang w:eastAsia="zh-TW"/>
        </w:rPr>
        <w:t>须知前附表</w:t>
      </w:r>
      <w:bookmarkEnd w:id="3"/>
      <w:bookmarkEnd w:id="4"/>
    </w:p>
    <w:p>
      <w:pPr>
        <w:spacing w:line="360" w:lineRule="auto"/>
        <w:ind w:right="315" w:rightChars="150"/>
      </w:pPr>
      <w:r>
        <w:rPr>
          <w:rFonts w:hint="eastAsia"/>
        </w:rPr>
        <w:t xml:space="preserve">    该须知前附表的条款项号是与第二章《投标人须知》及第三章《合同通用条款》条款项号对应的，或增加的条款，是对第二章《投标人须知》及第三章《合同通用条款》的补充、修改和完善，如果有矛盾的话，应以本资料表为准。</w:t>
      </w:r>
    </w:p>
    <w:tbl>
      <w:tblPr>
        <w:tblStyle w:val="50"/>
        <w:tblW w:w="8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0"/>
        <w:gridCol w:w="6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shd w:val="clear" w:color="auto" w:fill="CCFFFF"/>
            <w:vAlign w:val="center"/>
          </w:tcPr>
          <w:p>
            <w:pPr>
              <w:spacing w:line="360" w:lineRule="exact"/>
              <w:jc w:val="center"/>
              <w:rPr>
                <w:rFonts w:ascii="宋体" w:hAnsi="宋体"/>
                <w:b/>
                <w:bCs/>
                <w:szCs w:val="21"/>
              </w:rPr>
            </w:pPr>
            <w:r>
              <w:rPr>
                <w:rFonts w:ascii="宋体" w:hAnsi="宋体"/>
                <w:b/>
                <w:bCs/>
                <w:szCs w:val="21"/>
              </w:rPr>
              <w:t>条款</w:t>
            </w:r>
            <w:r>
              <w:rPr>
                <w:rFonts w:hint="eastAsia" w:ascii="宋体" w:hAnsi="宋体"/>
                <w:b/>
                <w:bCs/>
                <w:szCs w:val="21"/>
              </w:rPr>
              <w:t>项</w:t>
            </w:r>
            <w:r>
              <w:rPr>
                <w:rFonts w:ascii="宋体" w:hAnsi="宋体"/>
                <w:b/>
                <w:bCs/>
                <w:szCs w:val="21"/>
              </w:rPr>
              <w:t>号</w:t>
            </w:r>
          </w:p>
        </w:tc>
        <w:tc>
          <w:tcPr>
            <w:tcW w:w="6984" w:type="dxa"/>
            <w:shd w:val="clear" w:color="auto" w:fill="CCFFFF"/>
            <w:vAlign w:val="center"/>
          </w:tcPr>
          <w:p>
            <w:pPr>
              <w:spacing w:line="360" w:lineRule="exact"/>
              <w:jc w:val="center"/>
              <w:rPr>
                <w:rFonts w:ascii="宋体" w:hAnsi="宋体"/>
                <w:b/>
                <w:bCs/>
                <w:szCs w:val="21"/>
              </w:rPr>
            </w:pPr>
            <w:r>
              <w:rPr>
                <w:rFonts w:ascii="宋体" w:hAnsi="宋体"/>
                <w:b/>
                <w:bCs/>
                <w:szCs w:val="21"/>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b/>
                <w:szCs w:val="21"/>
              </w:rPr>
            </w:pPr>
            <w:r>
              <w:rPr>
                <w:rFonts w:ascii="宋体" w:hAnsi="宋体"/>
                <w:b/>
                <w:szCs w:val="21"/>
              </w:rPr>
              <w:t>一、说明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spacing w:line="360" w:lineRule="exact"/>
              <w:jc w:val="center"/>
              <w:rPr>
                <w:rFonts w:ascii="宋体" w:hAnsi="宋体"/>
                <w:szCs w:val="21"/>
              </w:rPr>
            </w:pPr>
            <w:r>
              <w:rPr>
                <w:rFonts w:hint="eastAsia" w:ascii="宋体" w:hAnsi="宋体"/>
                <w:szCs w:val="21"/>
              </w:rPr>
              <w:t>2.3</w:t>
            </w:r>
          </w:p>
        </w:tc>
        <w:tc>
          <w:tcPr>
            <w:tcW w:w="6984" w:type="dxa"/>
            <w:vAlign w:val="center"/>
          </w:tcPr>
          <w:p>
            <w:pPr>
              <w:adjustRightInd w:val="0"/>
              <w:snapToGrid w:val="0"/>
              <w:spacing w:line="360" w:lineRule="exact"/>
              <w:rPr>
                <w:rFonts w:ascii="宋体" w:hAnsi="宋体"/>
                <w:szCs w:val="21"/>
              </w:rPr>
            </w:pPr>
            <w:r>
              <w:rPr>
                <w:rFonts w:ascii="宋体" w:hAnsi="宋体"/>
                <w:szCs w:val="21"/>
              </w:rPr>
              <w:t>采购人名称</w:t>
            </w:r>
            <w:r>
              <w:rPr>
                <w:rFonts w:ascii="宋体" w:hAnsi="宋体"/>
                <w:color w:val="000000"/>
                <w:szCs w:val="21"/>
              </w:rPr>
              <w:t>：</w:t>
            </w:r>
            <w:r>
              <w:rPr>
                <w:rFonts w:hint="eastAsia" w:ascii="宋体" w:hAnsi="宋体"/>
                <w:color w:val="000000"/>
                <w:kern w:val="28"/>
                <w:szCs w:val="21"/>
              </w:rPr>
              <w:t>江门市江海区土地储备中心</w:t>
            </w:r>
          </w:p>
          <w:p>
            <w:pPr>
              <w:adjustRightInd w:val="0"/>
              <w:snapToGrid w:val="0"/>
              <w:spacing w:line="360" w:lineRule="exact"/>
              <w:rPr>
                <w:rFonts w:ascii="宋体" w:hAnsi="宋体"/>
                <w:szCs w:val="21"/>
                <w:lang w:eastAsia="zh-TW"/>
              </w:rPr>
            </w:pPr>
            <w:r>
              <w:rPr>
                <w:rFonts w:hint="eastAsia" w:ascii="宋体" w:hAnsi="宋体" w:cs="宋体"/>
                <w:szCs w:val="21"/>
              </w:rPr>
              <w:t>资金来源</w:t>
            </w:r>
            <w:r>
              <w:rPr>
                <w:rFonts w:hint="eastAsia" w:ascii="宋体" w:hAnsi="宋体"/>
                <w:szCs w:val="21"/>
              </w:rPr>
              <w:t>：</w:t>
            </w:r>
            <w:r>
              <w:rPr>
                <w:rFonts w:hint="eastAsia" w:ascii="宋体" w:hAnsi="宋体" w:cs="宋体"/>
                <w:szCs w:val="21"/>
              </w:rPr>
              <w:t>财政性</w:t>
            </w:r>
            <w:r>
              <w:rPr>
                <w:rFonts w:hint="eastAsia" w:ascii="宋体" w:hAnsi="宋体" w:cs="宋体"/>
                <w:szCs w:val="21"/>
                <w:lang w:eastAsia="zh-TW"/>
              </w:rPr>
              <w:t>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szCs w:val="21"/>
              </w:rPr>
            </w:pPr>
            <w:r>
              <w:rPr>
                <w:rFonts w:hint="eastAsia" w:ascii="宋体" w:hAnsi="宋体"/>
                <w:b/>
                <w:szCs w:val="21"/>
              </w:rPr>
              <w:t>二、招标文件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8.3</w:t>
            </w:r>
          </w:p>
        </w:tc>
        <w:tc>
          <w:tcPr>
            <w:tcW w:w="6984" w:type="dxa"/>
            <w:vAlign w:val="center"/>
          </w:tcPr>
          <w:p>
            <w:pPr>
              <w:adjustRightInd w:val="0"/>
              <w:snapToGrid w:val="0"/>
              <w:spacing w:line="380" w:lineRule="exact"/>
              <w:rPr>
                <w:rFonts w:ascii="宋体" w:hAnsi="宋体"/>
                <w:color w:val="FF0000"/>
                <w:szCs w:val="21"/>
              </w:rPr>
            </w:pPr>
            <w:r>
              <w:rPr>
                <w:rFonts w:hint="eastAsia" w:ascii="宋体" w:hAnsi="宋体"/>
                <w:szCs w:val="21"/>
              </w:rPr>
              <w:t>集中答疑会或</w:t>
            </w:r>
            <w:r>
              <w:rPr>
                <w:rFonts w:hint="eastAsia" w:ascii="宋体" w:hAnsi="宋体"/>
                <w:color w:val="000000"/>
                <w:szCs w:val="21"/>
              </w:rPr>
              <w:t>现场考察：不举行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9.1</w:t>
            </w:r>
          </w:p>
        </w:tc>
        <w:tc>
          <w:tcPr>
            <w:tcW w:w="6984" w:type="dxa"/>
            <w:vAlign w:val="center"/>
          </w:tcPr>
          <w:p>
            <w:pPr>
              <w:spacing w:line="360" w:lineRule="exact"/>
              <w:rPr>
                <w:rFonts w:ascii="宋体" w:hAnsi="宋体"/>
                <w:szCs w:val="21"/>
              </w:rPr>
            </w:pPr>
            <w:r>
              <w:rPr>
                <w:rFonts w:ascii="宋体" w:hAnsi="宋体"/>
                <w:szCs w:val="21"/>
              </w:rPr>
              <w:t>投标截止</w:t>
            </w:r>
            <w:r>
              <w:rPr>
                <w:rFonts w:hint="eastAsia" w:ascii="宋体" w:hAnsi="宋体"/>
                <w:szCs w:val="21"/>
              </w:rPr>
              <w:t>日</w:t>
            </w:r>
            <w:r>
              <w:rPr>
                <w:rFonts w:ascii="宋体" w:hAnsi="宋体"/>
                <w:szCs w:val="21"/>
              </w:rPr>
              <w:t>期</w:t>
            </w:r>
            <w:r>
              <w:rPr>
                <w:rFonts w:hint="eastAsia" w:ascii="宋体" w:hAnsi="宋体"/>
                <w:szCs w:val="21"/>
              </w:rPr>
              <w:t>和时间</w:t>
            </w:r>
            <w:r>
              <w:rPr>
                <w:rFonts w:ascii="宋体" w:hAnsi="宋体"/>
                <w:szCs w:val="21"/>
              </w:rPr>
              <w:t>：</w:t>
            </w:r>
            <w:r>
              <w:rPr>
                <w:rFonts w:hint="eastAsia" w:ascii="宋体" w:hAnsi="宋体"/>
                <w:szCs w:val="21"/>
              </w:rPr>
              <w:t>按招标文件第一章规定。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9.2</w:t>
            </w:r>
          </w:p>
        </w:tc>
        <w:tc>
          <w:tcPr>
            <w:tcW w:w="6984" w:type="dxa"/>
            <w:vAlign w:val="center"/>
          </w:tcPr>
          <w:p>
            <w:pPr>
              <w:spacing w:line="380" w:lineRule="exact"/>
              <w:rPr>
                <w:rFonts w:ascii="宋体" w:hAnsi="宋体"/>
                <w:color w:val="000000"/>
                <w:szCs w:val="21"/>
              </w:rPr>
            </w:pPr>
            <w:r>
              <w:rPr>
                <w:rFonts w:hint="eastAsia" w:ascii="宋体" w:hAnsi="宋体"/>
                <w:color w:val="000000"/>
                <w:szCs w:val="21"/>
              </w:rPr>
              <w:t>招标文件进行澄清或修改时间距投标截止时间不足十五日时，应当顺延投标文件的截止时间。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b/>
                <w:szCs w:val="21"/>
              </w:rPr>
            </w:pPr>
            <w:r>
              <w:rPr>
                <w:rFonts w:ascii="宋体" w:hAnsi="宋体"/>
                <w:b/>
                <w:szCs w:val="21"/>
              </w:rPr>
              <w:t>三、投标文件的编制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13.7</w:t>
            </w:r>
          </w:p>
        </w:tc>
        <w:tc>
          <w:tcPr>
            <w:tcW w:w="6984" w:type="dxa"/>
            <w:vAlign w:val="center"/>
          </w:tcPr>
          <w:p>
            <w:pPr>
              <w:spacing w:line="380" w:lineRule="exact"/>
              <w:rPr>
                <w:rFonts w:ascii="宋体" w:hAnsi="宋体"/>
                <w:color w:val="000000"/>
                <w:szCs w:val="21"/>
              </w:rPr>
            </w:pPr>
            <w:r>
              <w:rPr>
                <w:rFonts w:hint="eastAsia" w:ascii="宋体" w:hAnsi="宋体"/>
                <w:color w:val="000000"/>
                <w:szCs w:val="21"/>
              </w:rPr>
              <w:t>投标人所报的投标价在合同执行过程中是固定不变的，不得以任何理由予以变更。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13.8</w:t>
            </w:r>
          </w:p>
        </w:tc>
        <w:tc>
          <w:tcPr>
            <w:tcW w:w="6984" w:type="dxa"/>
            <w:vAlign w:val="center"/>
          </w:tcPr>
          <w:p>
            <w:pPr>
              <w:rPr>
                <w:rFonts w:ascii="宋体" w:hAnsi="宋体"/>
                <w:color w:val="000000"/>
                <w:szCs w:val="21"/>
              </w:rPr>
            </w:pPr>
            <w:r>
              <w:rPr>
                <w:rFonts w:hint="eastAsia" w:ascii="宋体" w:hAnsi="宋体"/>
                <w:color w:val="000000"/>
                <w:szCs w:val="21"/>
              </w:rPr>
              <w:t>不允许有备选方案。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13.9</w:t>
            </w:r>
          </w:p>
        </w:tc>
        <w:tc>
          <w:tcPr>
            <w:tcW w:w="6984" w:type="dxa"/>
            <w:vAlign w:val="center"/>
          </w:tcPr>
          <w:p>
            <w:pPr>
              <w:rPr>
                <w:rFonts w:ascii="宋体" w:hAnsi="宋体"/>
                <w:color w:val="000000"/>
                <w:szCs w:val="21"/>
              </w:rPr>
            </w:pPr>
            <w:r>
              <w:rPr>
                <w:rFonts w:hint="eastAsia" w:ascii="宋体" w:hAnsi="宋体"/>
                <w:color w:val="000000"/>
                <w:szCs w:val="21"/>
              </w:rPr>
              <w:t>不允许附加条件报价。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szCs w:val="21"/>
              </w:rPr>
            </w:pPr>
            <w:r>
              <w:rPr>
                <w:rFonts w:hint="eastAsia" w:ascii="宋体" w:hAnsi="宋体"/>
                <w:szCs w:val="21"/>
              </w:rPr>
              <w:t>20</w:t>
            </w:r>
            <w:r>
              <w:rPr>
                <w:rFonts w:ascii="宋体" w:hAnsi="宋体"/>
                <w:szCs w:val="21"/>
              </w:rPr>
              <w:t>.1</w:t>
            </w:r>
          </w:p>
        </w:tc>
        <w:tc>
          <w:tcPr>
            <w:tcW w:w="6984" w:type="dxa"/>
            <w:tcBorders>
              <w:top w:val="single" w:color="auto" w:sz="6" w:space="0"/>
              <w:left w:val="single" w:color="auto" w:sz="6" w:space="0"/>
              <w:bottom w:val="single" w:color="auto" w:sz="6" w:space="0"/>
              <w:right w:val="single" w:color="auto" w:sz="12" w:space="0"/>
            </w:tcBorders>
            <w:vAlign w:val="center"/>
          </w:tcPr>
          <w:p>
            <w:pPr>
              <w:rPr>
                <w:rFonts w:ascii="宋体" w:hAnsi="宋体"/>
                <w:color w:val="000000"/>
                <w:szCs w:val="21"/>
              </w:rPr>
            </w:pPr>
            <w:r>
              <w:rPr>
                <w:rFonts w:ascii="宋体" w:hAnsi="宋体"/>
                <w:color w:val="000000"/>
                <w:szCs w:val="21"/>
              </w:rPr>
              <w:t>投标文件份数：正本一份，副本</w:t>
            </w:r>
            <w:r>
              <w:rPr>
                <w:rFonts w:hint="eastAsia" w:ascii="宋体" w:hAnsi="宋体"/>
                <w:color w:val="000000"/>
                <w:szCs w:val="21"/>
              </w:rPr>
              <w:t>2</w:t>
            </w:r>
            <w:r>
              <w:rPr>
                <w:rFonts w:ascii="宋体" w:hAnsi="宋体"/>
                <w:color w:val="000000"/>
                <w:szCs w:val="21"/>
              </w:rPr>
              <w:t>份，电子文件</w:t>
            </w:r>
            <w:r>
              <w:rPr>
                <w:rFonts w:hint="eastAsia" w:ascii="宋体" w:hAnsi="宋体"/>
                <w:color w:val="000000"/>
                <w:szCs w:val="21"/>
              </w:rPr>
              <w:t>一</w:t>
            </w:r>
            <w:r>
              <w:rPr>
                <w:rFonts w:ascii="宋体" w:hAnsi="宋体"/>
                <w:color w:val="000000"/>
                <w:szCs w:val="21"/>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b/>
                <w:szCs w:val="21"/>
              </w:rPr>
            </w:pPr>
            <w:r>
              <w:rPr>
                <w:rFonts w:ascii="宋体" w:hAnsi="宋体"/>
                <w:b/>
                <w:szCs w:val="21"/>
              </w:rPr>
              <w:t>四、投标文件的递交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21</w:t>
            </w:r>
            <w:r>
              <w:rPr>
                <w:rFonts w:ascii="宋体" w:hAnsi="宋体"/>
                <w:szCs w:val="21"/>
              </w:rPr>
              <w:t>.2.1</w:t>
            </w:r>
          </w:p>
        </w:tc>
        <w:tc>
          <w:tcPr>
            <w:tcW w:w="6984" w:type="dxa"/>
            <w:vAlign w:val="center"/>
          </w:tcPr>
          <w:p>
            <w:pPr>
              <w:spacing w:line="360" w:lineRule="exact"/>
              <w:ind w:left="105" w:hanging="105" w:hangingChars="50"/>
              <w:rPr>
                <w:rFonts w:ascii="宋体" w:hAnsi="宋体"/>
                <w:szCs w:val="21"/>
              </w:rPr>
            </w:pPr>
            <w:r>
              <w:rPr>
                <w:rFonts w:ascii="宋体" w:hAnsi="宋体"/>
                <w:szCs w:val="21"/>
              </w:rPr>
              <w:t>投标文件递交</w:t>
            </w:r>
            <w:r>
              <w:rPr>
                <w:rFonts w:hint="eastAsia" w:ascii="宋体" w:hAnsi="宋体"/>
                <w:szCs w:val="21"/>
              </w:rPr>
              <w:t>地址</w:t>
            </w:r>
            <w:r>
              <w:rPr>
                <w:rFonts w:ascii="宋体" w:hAnsi="宋体"/>
                <w:szCs w:val="21"/>
              </w:rPr>
              <w:t>：</w:t>
            </w:r>
            <w:r>
              <w:rPr>
                <w:rFonts w:hint="eastAsia" w:ascii="宋体" w:hAnsi="宋体"/>
                <w:szCs w:val="21"/>
              </w:rPr>
              <w:t>按招标文件第一章</w:t>
            </w:r>
            <w:r>
              <w:rPr>
                <w:rFonts w:hint="eastAsia" w:ascii="宋体" w:hAnsi="宋体" w:cs="宋体"/>
                <w:szCs w:val="21"/>
              </w:rPr>
              <w:t>投标邀请</w:t>
            </w:r>
            <w:r>
              <w:rPr>
                <w:rFonts w:hint="eastAsia" w:ascii="宋体" w:hAnsi="宋体"/>
                <w:szCs w:val="21"/>
              </w:rPr>
              <w:t>中规定。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ascii="宋体" w:hAnsi="宋体"/>
                <w:szCs w:val="21"/>
              </w:rPr>
              <w:t>2</w:t>
            </w:r>
            <w:r>
              <w:rPr>
                <w:rFonts w:hint="eastAsia" w:ascii="宋体" w:hAnsi="宋体"/>
                <w:szCs w:val="21"/>
              </w:rPr>
              <w:t>2</w:t>
            </w:r>
            <w:r>
              <w:rPr>
                <w:rFonts w:ascii="宋体" w:hAnsi="宋体"/>
                <w:szCs w:val="21"/>
              </w:rPr>
              <w:t>.1</w:t>
            </w:r>
          </w:p>
        </w:tc>
        <w:tc>
          <w:tcPr>
            <w:tcW w:w="6984" w:type="dxa"/>
            <w:vAlign w:val="center"/>
          </w:tcPr>
          <w:p>
            <w:pPr>
              <w:spacing w:line="360" w:lineRule="exact"/>
              <w:rPr>
                <w:rFonts w:ascii="宋体" w:hAnsi="宋体"/>
                <w:szCs w:val="21"/>
              </w:rPr>
            </w:pPr>
            <w:r>
              <w:rPr>
                <w:rFonts w:ascii="宋体" w:hAnsi="宋体"/>
                <w:szCs w:val="21"/>
              </w:rPr>
              <w:t>开标日期</w:t>
            </w:r>
            <w:r>
              <w:rPr>
                <w:rFonts w:hint="eastAsia" w:ascii="宋体" w:hAnsi="宋体"/>
                <w:szCs w:val="21"/>
              </w:rPr>
              <w:t>、</w:t>
            </w:r>
            <w:r>
              <w:rPr>
                <w:rFonts w:ascii="宋体" w:hAnsi="宋体"/>
                <w:szCs w:val="21"/>
              </w:rPr>
              <w:t>时间</w:t>
            </w:r>
            <w:r>
              <w:rPr>
                <w:rFonts w:hint="eastAsia" w:ascii="宋体" w:hAnsi="宋体"/>
                <w:szCs w:val="21"/>
              </w:rPr>
              <w:t>和</w:t>
            </w:r>
            <w:r>
              <w:rPr>
                <w:rFonts w:ascii="宋体" w:hAnsi="宋体"/>
                <w:szCs w:val="21"/>
              </w:rPr>
              <w:t>地点：</w:t>
            </w:r>
            <w:r>
              <w:rPr>
                <w:rFonts w:hint="eastAsia" w:ascii="宋体" w:hAnsi="宋体"/>
                <w:szCs w:val="21"/>
              </w:rPr>
              <w:t>按招标文件第一章</w:t>
            </w:r>
            <w:r>
              <w:rPr>
                <w:rFonts w:hint="eastAsia" w:ascii="宋体" w:hAnsi="宋体" w:cs="宋体"/>
                <w:szCs w:val="21"/>
              </w:rPr>
              <w:t>投标邀请</w:t>
            </w:r>
            <w:r>
              <w:rPr>
                <w:rFonts w:hint="eastAsia" w:ascii="宋体" w:hAnsi="宋体"/>
                <w:szCs w:val="21"/>
              </w:rPr>
              <w:t>中规定。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spacing w:line="360" w:lineRule="exact"/>
              <w:jc w:val="center"/>
              <w:rPr>
                <w:rFonts w:ascii="宋体" w:hAnsi="宋体"/>
                <w:szCs w:val="21"/>
              </w:rPr>
            </w:pPr>
            <w:r>
              <w:rPr>
                <w:rFonts w:ascii="宋体" w:hAnsi="宋体"/>
                <w:b/>
                <w:bCs/>
                <w:szCs w:val="21"/>
              </w:rPr>
              <w:t>五、开标与评标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hint="eastAsia" w:ascii="宋体" w:hAnsi="宋体"/>
                <w:szCs w:val="21"/>
              </w:rPr>
              <w:t>25.1</w:t>
            </w:r>
          </w:p>
        </w:tc>
        <w:tc>
          <w:tcPr>
            <w:tcW w:w="6984" w:type="dxa"/>
            <w:vAlign w:val="center"/>
          </w:tcPr>
          <w:p>
            <w:pPr>
              <w:adjustRightInd w:val="0"/>
              <w:snapToGrid w:val="0"/>
              <w:spacing w:line="360" w:lineRule="exact"/>
              <w:rPr>
                <w:rFonts w:ascii="宋体" w:hAnsi="宋体"/>
                <w:szCs w:val="21"/>
              </w:rPr>
            </w:pPr>
            <w:r>
              <w:rPr>
                <w:rFonts w:hint="eastAsia" w:ascii="宋体" w:hAnsi="宋体"/>
                <w:szCs w:val="21"/>
              </w:rPr>
              <w:t>评标委员会</w:t>
            </w:r>
            <w:r>
              <w:rPr>
                <w:rFonts w:hint="eastAsia" w:ascii="宋体" w:hAnsi="宋体"/>
                <w:color w:val="000000"/>
                <w:szCs w:val="21"/>
              </w:rPr>
              <w:t>由3名单数组成，由</w:t>
            </w:r>
            <w:r>
              <w:rPr>
                <w:rFonts w:hint="eastAsia" w:ascii="宋体" w:hAnsi="宋体"/>
                <w:bCs/>
                <w:color w:val="000000"/>
                <w:szCs w:val="21"/>
              </w:rPr>
              <w:t>江海区自然资源局政府采购工作领导小组人员及负责股室工作人员</w:t>
            </w:r>
            <w:r>
              <w:rPr>
                <w:rFonts w:hint="eastAsia" w:ascii="宋体" w:hAnsi="宋体"/>
                <w:szCs w:val="21"/>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30" w:type="dxa"/>
            <w:vAlign w:val="center"/>
          </w:tcPr>
          <w:p>
            <w:pPr>
              <w:jc w:val="center"/>
              <w:rPr>
                <w:rFonts w:ascii="宋体" w:hAnsi="宋体"/>
                <w:szCs w:val="21"/>
              </w:rPr>
            </w:pPr>
            <w:r>
              <w:rPr>
                <w:rFonts w:ascii="宋体" w:hAnsi="宋体"/>
                <w:szCs w:val="21"/>
              </w:rPr>
              <w:t>2</w:t>
            </w:r>
            <w:r>
              <w:rPr>
                <w:rFonts w:hint="eastAsia" w:ascii="宋体" w:hAnsi="宋体"/>
                <w:szCs w:val="21"/>
              </w:rPr>
              <w:t>5</w:t>
            </w:r>
            <w:r>
              <w:rPr>
                <w:rFonts w:ascii="宋体" w:hAnsi="宋体"/>
                <w:szCs w:val="21"/>
              </w:rPr>
              <w:t>.</w:t>
            </w:r>
            <w:r>
              <w:rPr>
                <w:rFonts w:hint="eastAsia" w:ascii="宋体" w:hAnsi="宋体"/>
                <w:szCs w:val="21"/>
              </w:rPr>
              <w:t>4</w:t>
            </w:r>
          </w:p>
        </w:tc>
        <w:tc>
          <w:tcPr>
            <w:tcW w:w="6984" w:type="dxa"/>
            <w:vAlign w:val="center"/>
          </w:tcPr>
          <w:p>
            <w:pPr>
              <w:adjustRightInd w:val="0"/>
              <w:snapToGrid w:val="0"/>
              <w:spacing w:line="360" w:lineRule="exact"/>
              <w:rPr>
                <w:rFonts w:ascii="宋体" w:hAnsi="宋体"/>
                <w:szCs w:val="21"/>
              </w:rPr>
            </w:pPr>
            <w:r>
              <w:rPr>
                <w:rFonts w:hint="eastAsia" w:ascii="宋体" w:hAnsi="宋体"/>
                <w:szCs w:val="21"/>
              </w:rPr>
              <w:t>评标方法：</w:t>
            </w:r>
            <w:r>
              <w:rPr>
                <w:rFonts w:hint="eastAsia" w:ascii="宋体" w:hAnsi="宋体"/>
                <w:bCs/>
                <w:color w:val="000000"/>
              </w:rPr>
              <w:t>采用综合评分法，不保证报价最低者得。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0" w:hRule="atLeast"/>
          <w:jc w:val="center"/>
        </w:trPr>
        <w:tc>
          <w:tcPr>
            <w:tcW w:w="1230" w:type="dxa"/>
            <w:vAlign w:val="center"/>
          </w:tcPr>
          <w:p>
            <w:pPr>
              <w:jc w:val="center"/>
              <w:rPr>
                <w:rFonts w:ascii="宋体" w:hAnsi="宋体"/>
                <w:szCs w:val="21"/>
              </w:rPr>
            </w:pPr>
            <w:r>
              <w:rPr>
                <w:rFonts w:hint="eastAsia" w:ascii="宋体" w:hAnsi="宋体"/>
                <w:szCs w:val="21"/>
              </w:rPr>
              <w:t>29.2</w:t>
            </w:r>
          </w:p>
        </w:tc>
        <w:tc>
          <w:tcPr>
            <w:tcW w:w="6984" w:type="dxa"/>
            <w:vAlign w:val="center"/>
          </w:tcPr>
          <w:p>
            <w:pPr>
              <w:adjustRightInd w:val="0"/>
              <w:snapToGrid w:val="0"/>
              <w:spacing w:line="380" w:lineRule="exact"/>
              <w:rPr>
                <w:rFonts w:ascii="宋体" w:hAnsi="宋体"/>
                <w:bCs/>
              </w:rPr>
            </w:pPr>
            <w:r>
              <w:rPr>
                <w:rFonts w:hint="eastAsia" w:ascii="宋体" w:hAnsi="宋体"/>
                <w:bCs/>
              </w:rPr>
              <w:t>定标原则：推荐综合得分排名第一的投标人为第一中标候选人，排名第二的投标人为第二中标候选人。</w:t>
            </w:r>
          </w:p>
          <w:p>
            <w:pPr>
              <w:adjustRightInd w:val="0"/>
              <w:snapToGrid w:val="0"/>
              <w:spacing w:line="360" w:lineRule="exact"/>
              <w:rPr>
                <w:rFonts w:ascii="宋体" w:hAnsi="宋体"/>
                <w:color w:val="000000"/>
                <w:szCs w:val="21"/>
              </w:rPr>
            </w:pPr>
            <w:r>
              <w:rPr>
                <w:rFonts w:hint="eastAsia" w:ascii="宋体" w:hAnsi="宋体"/>
                <w:bCs/>
                <w:color w:val="000000"/>
              </w:rPr>
              <w:t>如第二中标候选人报价高于第一中标候选人报价20%以上的，只推荐一名中标候选人。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8214" w:type="dxa"/>
            <w:gridSpan w:val="2"/>
            <w:vAlign w:val="center"/>
          </w:tcPr>
          <w:p>
            <w:pPr>
              <w:spacing w:line="360" w:lineRule="exact"/>
              <w:jc w:val="center"/>
              <w:rPr>
                <w:rFonts w:ascii="宋体" w:hAnsi="宋体"/>
                <w:szCs w:val="21"/>
              </w:rPr>
            </w:pPr>
            <w:r>
              <w:rPr>
                <w:rFonts w:ascii="宋体" w:hAnsi="宋体"/>
                <w:b/>
                <w:bCs/>
                <w:szCs w:val="21"/>
              </w:rPr>
              <w:t>六、授予合同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1230" w:type="dxa"/>
            <w:vAlign w:val="center"/>
          </w:tcPr>
          <w:p>
            <w:pPr>
              <w:jc w:val="center"/>
              <w:rPr>
                <w:rFonts w:ascii="宋体" w:hAnsi="宋体"/>
                <w:szCs w:val="21"/>
              </w:rPr>
            </w:pPr>
            <w:r>
              <w:rPr>
                <w:rFonts w:hint="eastAsia" w:ascii="宋体" w:hAnsi="宋体"/>
                <w:szCs w:val="21"/>
              </w:rPr>
              <w:t>32.1</w:t>
            </w:r>
          </w:p>
        </w:tc>
        <w:tc>
          <w:tcPr>
            <w:tcW w:w="6984" w:type="dxa"/>
            <w:vAlign w:val="center"/>
          </w:tcPr>
          <w:p>
            <w:pPr>
              <w:rPr>
                <w:rFonts w:ascii="宋体" w:hAnsi="宋体"/>
                <w:color w:val="FF0000"/>
                <w:szCs w:val="21"/>
              </w:rPr>
            </w:pPr>
            <w:r>
              <w:rPr>
                <w:rFonts w:hint="eastAsia" w:ascii="宋体" w:hAnsi="宋体"/>
                <w:szCs w:val="21"/>
              </w:rPr>
              <w:t>合同签订时间：</w:t>
            </w:r>
            <w:r>
              <w:rPr>
                <w:rFonts w:hint="eastAsia" w:ascii="宋体" w:hAnsi="宋体"/>
                <w:spacing w:val="7"/>
                <w:kern w:val="0"/>
                <w:szCs w:val="21"/>
              </w:rPr>
              <w:t>发布采购结果公告之日</w:t>
            </w:r>
            <w:r>
              <w:rPr>
                <w:rFonts w:hint="eastAsia" w:ascii="宋体" w:hAnsi="宋体"/>
                <w:color w:val="000000"/>
                <w:szCs w:val="21"/>
              </w:rPr>
              <w:t>起三十日内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230" w:type="dxa"/>
            <w:vAlign w:val="center"/>
          </w:tcPr>
          <w:p>
            <w:pPr>
              <w:jc w:val="center"/>
              <w:rPr>
                <w:rFonts w:ascii="宋体" w:hAnsi="宋体"/>
                <w:szCs w:val="21"/>
              </w:rPr>
            </w:pPr>
            <w:r>
              <w:rPr>
                <w:rFonts w:hint="eastAsia" w:ascii="宋体" w:hAnsi="宋体"/>
                <w:szCs w:val="21"/>
              </w:rPr>
              <w:t>34.1</w:t>
            </w:r>
          </w:p>
        </w:tc>
        <w:tc>
          <w:tcPr>
            <w:tcW w:w="6984" w:type="dxa"/>
            <w:vAlign w:val="center"/>
          </w:tcPr>
          <w:p>
            <w:pPr>
              <w:adjustRightInd w:val="0"/>
              <w:snapToGrid w:val="0"/>
              <w:rPr>
                <w:color w:val="FF0000"/>
              </w:rPr>
            </w:pPr>
            <w:r>
              <w:rPr>
                <w:rFonts w:hint="eastAsia" w:ascii="宋体" w:hAnsi="宋体"/>
                <w:szCs w:val="21"/>
              </w:rPr>
              <w:t>履约保证</w:t>
            </w:r>
            <w:r>
              <w:rPr>
                <w:rFonts w:hint="eastAsia" w:ascii="宋体" w:hAnsi="宋体"/>
                <w:color w:val="000000"/>
                <w:szCs w:val="21"/>
              </w:rPr>
              <w:t>金：无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8214" w:type="dxa"/>
            <w:gridSpan w:val="2"/>
            <w:vAlign w:val="center"/>
          </w:tcPr>
          <w:p>
            <w:pPr>
              <w:adjustRightInd w:val="0"/>
              <w:snapToGrid w:val="0"/>
              <w:spacing w:line="360" w:lineRule="exact"/>
              <w:rPr>
                <w:rFonts w:ascii="宋体" w:hAnsi="宋体"/>
                <w:szCs w:val="21"/>
              </w:rPr>
            </w:pPr>
            <w:r>
              <w:rPr>
                <w:rFonts w:hint="eastAsia" w:ascii="宋体" w:hAnsi="宋体"/>
                <w:szCs w:val="21"/>
              </w:rPr>
              <w:t>第三章《合同通用条款》仅供参考，合同具体细则以采购人及中标人双方协定为准。</w:t>
            </w:r>
          </w:p>
        </w:tc>
      </w:tr>
    </w:tbl>
    <w:p>
      <w:pPr>
        <w:adjustRightInd w:val="0"/>
        <w:snapToGrid w:val="0"/>
        <w:spacing w:after="120" w:afterLines="50" w:line="500" w:lineRule="exact"/>
        <w:jc w:val="center"/>
        <w:outlineLvl w:val="0"/>
      </w:pPr>
      <w:bookmarkStart w:id="5" w:name="_Hlt199586636"/>
      <w:bookmarkEnd w:id="5"/>
      <w:bookmarkStart w:id="6" w:name="_Toc371432336"/>
      <w:bookmarkStart w:id="7" w:name="_Toc27514"/>
      <w:r>
        <w:rPr>
          <w:rFonts w:hint="eastAsia"/>
        </w:rPr>
        <w:t xml:space="preserve"> </w:t>
      </w:r>
      <w:bookmarkStart w:id="8" w:name="_Toc16346"/>
      <w:r>
        <w:rPr>
          <w:rFonts w:hint="eastAsia" w:ascii="宋体" w:hAnsi="宋体"/>
          <w:b/>
          <w:sz w:val="28"/>
          <w:szCs w:val="28"/>
          <w:lang w:eastAsia="zh-TW"/>
        </w:rPr>
        <w:t>说 明</w:t>
      </w:r>
      <w:bookmarkEnd w:id="6"/>
      <w:bookmarkEnd w:id="8"/>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9" w:name="_Toc371432337"/>
      <w:bookmarkStart w:id="10" w:name="_Toc32719"/>
      <w:r>
        <w:rPr>
          <w:rFonts w:hint="eastAsia" w:ascii="宋体" w:hAnsi="宋体"/>
          <w:b/>
          <w:bCs/>
          <w:szCs w:val="21"/>
        </w:rPr>
        <w:t>适用范围</w:t>
      </w:r>
      <w:bookmarkEnd w:id="9"/>
      <w:bookmarkEnd w:id="10"/>
    </w:p>
    <w:p>
      <w:pPr>
        <w:numPr>
          <w:ilvl w:val="1"/>
          <w:numId w:val="18"/>
        </w:numPr>
        <w:autoSpaceDE w:val="0"/>
        <w:autoSpaceDN w:val="0"/>
        <w:adjustRightInd w:val="0"/>
        <w:snapToGrid w:val="0"/>
        <w:spacing w:line="360" w:lineRule="auto"/>
        <w:ind w:right="315" w:rightChars="150"/>
        <w:jc w:val="left"/>
        <w:rPr>
          <w:rFonts w:ascii="宋体" w:hAnsi="宋体"/>
          <w:b/>
          <w:bCs/>
          <w:szCs w:val="21"/>
        </w:rPr>
      </w:pPr>
      <w:r>
        <w:rPr>
          <w:rFonts w:hint="eastAsia" w:ascii="宋体" w:hAnsi="宋体"/>
          <w:szCs w:val="21"/>
        </w:rPr>
        <w:t>本招标文件适用于本投标邀请中所述项目的政府采购。</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1" w:name="_Toc24133"/>
      <w:bookmarkStart w:id="12" w:name="_Toc371432338"/>
      <w:r>
        <w:rPr>
          <w:rFonts w:hint="eastAsia" w:ascii="宋体" w:hAnsi="宋体"/>
          <w:b/>
          <w:bCs/>
          <w:szCs w:val="21"/>
        </w:rPr>
        <w:t>监管部门及招标采购单位</w:t>
      </w:r>
      <w:bookmarkEnd w:id="11"/>
      <w:bookmarkEnd w:id="12"/>
    </w:p>
    <w:p>
      <w:pPr>
        <w:numPr>
          <w:ilvl w:val="1"/>
          <w:numId w:val="18"/>
        </w:numPr>
        <w:autoSpaceDE w:val="0"/>
        <w:autoSpaceDN w:val="0"/>
        <w:adjustRightInd w:val="0"/>
        <w:snapToGrid w:val="0"/>
        <w:spacing w:line="360" w:lineRule="auto"/>
        <w:ind w:right="315" w:rightChars="150"/>
        <w:rPr>
          <w:rFonts w:ascii="宋体" w:hAnsi="宋体" w:cs="黑体"/>
          <w:b/>
          <w:bCs/>
          <w:szCs w:val="21"/>
        </w:rPr>
      </w:pPr>
      <w:r>
        <w:rPr>
          <w:rFonts w:hint="eastAsia" w:ascii="宋体" w:hAnsi="宋体"/>
          <w:szCs w:val="21"/>
        </w:rPr>
        <w:t>监管部门指</w:t>
      </w:r>
      <w:r>
        <w:rPr>
          <w:rFonts w:hint="eastAsia" w:ascii="宋体" w:hAnsi="宋体" w:cs="宋体"/>
          <w:szCs w:val="21"/>
          <w:lang w:eastAsia="zh-TW"/>
        </w:rPr>
        <w:t>同级</w:t>
      </w:r>
      <w:r>
        <w:rPr>
          <w:rFonts w:hint="eastAsia" w:ascii="宋体" w:hAnsi="宋体" w:cs="宋体"/>
          <w:szCs w:val="21"/>
        </w:rPr>
        <w:t>或</w:t>
      </w:r>
      <w:r>
        <w:rPr>
          <w:rFonts w:hint="eastAsia" w:ascii="宋体" w:hAnsi="宋体" w:cs="宋体"/>
          <w:szCs w:val="21"/>
          <w:lang w:eastAsia="zh-TW"/>
        </w:rPr>
        <w:t>以上人民政府财政部门</w:t>
      </w:r>
      <w:r>
        <w:rPr>
          <w:rFonts w:hint="eastAsia" w:ascii="宋体" w:hAnsi="宋体" w:cs="宋体"/>
          <w:szCs w:val="21"/>
        </w:rPr>
        <w:t>或相应采购小组。</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招标采购单位</w:t>
      </w:r>
      <w:r>
        <w:rPr>
          <w:rFonts w:hint="eastAsia" w:ascii="宋体" w:hAnsi="宋体"/>
          <w:szCs w:val="21"/>
        </w:rPr>
        <w:t>指采购人及采购单位。</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采购人指依法进行政府采购的</w:t>
      </w:r>
      <w:r>
        <w:rPr>
          <w:rFonts w:ascii="宋体" w:hAnsi="宋体"/>
          <w:szCs w:val="21"/>
        </w:rPr>
        <w:t>国家机关、事业单位和团体组织</w:t>
      </w:r>
      <w:r>
        <w:rPr>
          <w:rFonts w:hint="eastAsia" w:ascii="宋体" w:hAnsi="宋体"/>
          <w:szCs w:val="21"/>
        </w:rPr>
        <w:t>。</w:t>
      </w:r>
      <w:r>
        <w:rPr>
          <w:rFonts w:hint="eastAsia" w:ascii="宋体" w:hAnsi="宋体" w:cs="宋体"/>
          <w:szCs w:val="21"/>
          <w:lang w:eastAsia="zh-TW"/>
        </w:rPr>
        <w:t>本招标文件第</w:t>
      </w:r>
      <w:r>
        <w:rPr>
          <w:rFonts w:hint="eastAsia" w:ascii="宋体" w:hAnsi="宋体" w:cs="宋体"/>
          <w:szCs w:val="21"/>
        </w:rPr>
        <w:t>二</w:t>
      </w:r>
      <w:r>
        <w:rPr>
          <w:rFonts w:hint="eastAsia" w:ascii="宋体" w:hAnsi="宋体" w:cs="宋体"/>
          <w:szCs w:val="21"/>
          <w:lang w:eastAsia="zh-TW"/>
        </w:rPr>
        <w:t>章</w:t>
      </w:r>
      <w:r>
        <w:rPr>
          <w:rFonts w:hint="eastAsia" w:ascii="宋体" w:hAnsi="宋体" w:cs="黑体"/>
          <w:b/>
          <w:szCs w:val="21"/>
          <w:lang w:eastAsia="zh-TW"/>
        </w:rPr>
        <w:t>须知前附表</w:t>
      </w:r>
      <w:r>
        <w:rPr>
          <w:rFonts w:hint="eastAsia" w:ascii="宋体" w:hAnsi="宋体" w:cs="宋体"/>
          <w:szCs w:val="21"/>
          <w:lang w:eastAsia="zh-TW"/>
        </w:rPr>
        <w:t>中所述的采购人已拥有一笔</w:t>
      </w:r>
      <w:r>
        <w:rPr>
          <w:rFonts w:hint="eastAsia" w:ascii="宋体" w:hAnsi="宋体" w:cs="宋体"/>
          <w:szCs w:val="21"/>
        </w:rPr>
        <w:t>财政性</w:t>
      </w:r>
      <w:r>
        <w:rPr>
          <w:rFonts w:hint="eastAsia" w:ascii="宋体" w:hAnsi="宋体" w:cs="宋体"/>
          <w:szCs w:val="21"/>
          <w:lang w:eastAsia="zh-TW"/>
        </w:rPr>
        <w:t>资金</w:t>
      </w:r>
      <w:r>
        <w:rPr>
          <w:rFonts w:hint="eastAsia" w:ascii="宋体" w:hAnsi="宋体" w:cs="宋体"/>
          <w:szCs w:val="21"/>
        </w:rPr>
        <w:t>或资金来源已落实</w:t>
      </w:r>
      <w:r>
        <w:rPr>
          <w:rFonts w:hint="eastAsia" w:ascii="宋体" w:hAnsi="宋体" w:cs="宋体"/>
          <w:szCs w:val="21"/>
          <w:lang w:eastAsia="zh-TW"/>
        </w:rPr>
        <w:t>。采购人计划将一部分</w:t>
      </w:r>
      <w:r>
        <w:rPr>
          <w:rFonts w:hint="eastAsia" w:ascii="宋体" w:hAnsi="宋体" w:cs="宋体"/>
          <w:szCs w:val="21"/>
        </w:rPr>
        <w:t>或全部</w:t>
      </w:r>
      <w:r>
        <w:rPr>
          <w:rFonts w:hint="eastAsia" w:ascii="宋体" w:hAnsi="宋体" w:cs="宋体"/>
          <w:szCs w:val="21"/>
          <w:lang w:eastAsia="zh-TW"/>
        </w:rPr>
        <w:t>资金用于支付本次</w:t>
      </w:r>
      <w:r>
        <w:rPr>
          <w:rFonts w:hint="eastAsia" w:ascii="宋体" w:hAnsi="宋体" w:cs="宋体"/>
          <w:szCs w:val="21"/>
        </w:rPr>
        <w:t>采购</w:t>
      </w:r>
      <w:r>
        <w:rPr>
          <w:rFonts w:hint="eastAsia" w:ascii="宋体" w:hAnsi="宋体" w:cs="宋体"/>
          <w:szCs w:val="21"/>
          <w:lang w:eastAsia="zh-TW"/>
        </w:rPr>
        <w:t>后所签订合同项下的款项</w:t>
      </w:r>
      <w:r>
        <w:rPr>
          <w:rFonts w:hint="eastAsia" w:ascii="宋体" w:hAnsi="宋体" w:cs="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3" w:name="_Toc24342"/>
      <w:bookmarkStart w:id="14" w:name="_Toc371432339"/>
      <w:r>
        <w:rPr>
          <w:rFonts w:hint="eastAsia" w:ascii="宋体" w:hAnsi="宋体"/>
          <w:b/>
          <w:bCs/>
          <w:szCs w:val="21"/>
        </w:rPr>
        <w:t>合格的投标人</w:t>
      </w:r>
      <w:bookmarkEnd w:id="13"/>
      <w:bookmarkEnd w:id="14"/>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szCs w:val="21"/>
        </w:rPr>
        <w:t>投标人是响应招标并且符合招标文件规定资格条件和参加投标竞争的法人、其他组织或者自然人。</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合格的投标人</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具有独立承担民事责任的能力。</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具有良好的商业信誉和健全的财务会计制度</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具有履行合同所必需的设备和专业技术能力</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有依法缴纳税收和社会保障资金的良好记录</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参加政府采购活动前三年内，在经营活动中没有重大违法记录</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ascii="宋体" w:hAnsi="宋体"/>
          <w:szCs w:val="21"/>
        </w:rPr>
        <w:t>法律、行政法规规定的其他条件</w:t>
      </w:r>
      <w:r>
        <w:rPr>
          <w:rFonts w:hint="eastAsia" w:ascii="宋体" w:hAnsi="宋体"/>
          <w:szCs w:val="21"/>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只有在法律上和财务上独立、合法运作并独立于采购人和采购单位的供货商才能参加投标。</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符合</w:t>
      </w:r>
      <w:r>
        <w:rPr>
          <w:rFonts w:hint="eastAsia" w:ascii="宋体" w:hAnsi="宋体" w:cs="黑体"/>
          <w:szCs w:val="21"/>
        </w:rPr>
        <w:t>第一章投标邀请“合格投标人资格要求”</w:t>
      </w:r>
      <w:r>
        <w:rPr>
          <w:rFonts w:hint="eastAsia" w:ascii="宋体" w:hAnsi="宋体"/>
          <w:szCs w:val="21"/>
        </w:rPr>
        <w:t>的特殊条款</w:t>
      </w:r>
      <w:r>
        <w:rPr>
          <w:rFonts w:hint="eastAsia" w:ascii="宋体" w:hAnsi="宋体" w:cs="黑体"/>
          <w:szCs w:val="21"/>
        </w:rPr>
        <w:t>。</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中标人是指经法定程序确定并授予合同的投标人。</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5" w:name="_Toc371432340"/>
      <w:bookmarkStart w:id="16" w:name="_Toc25208"/>
      <w:r>
        <w:rPr>
          <w:rFonts w:hint="eastAsia" w:ascii="宋体" w:hAnsi="宋体"/>
          <w:b/>
          <w:bCs/>
          <w:szCs w:val="21"/>
        </w:rPr>
        <w:t>合格的服务和货物</w:t>
      </w:r>
      <w:bookmarkEnd w:id="15"/>
      <w:bookmarkEnd w:id="16"/>
    </w:p>
    <w:p>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szCs w:val="21"/>
        </w:rPr>
        <w:t>“服务” 是指投标人按招标文件规定完成的全部服务内容，其中包括完成服务所需的货物，及须承担的技术支持、培训和其它伴随服务。</w:t>
      </w:r>
    </w:p>
    <w:p>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szCs w:val="21"/>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投标人提供的所有服务，其质量、技术等特征必须符合国家、行业现行法律、法规的相关标准和《中华人民共和国政府采购法》的有关规定及用户需求。</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采购人有权拒绝接受任何不合格的服务，由此产生的费用及相关后果均由供应商自行承担。</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7" w:name="_Toc30596"/>
      <w:bookmarkStart w:id="18" w:name="_Toc371432341"/>
      <w:r>
        <w:rPr>
          <w:rFonts w:hint="eastAsia" w:ascii="宋体" w:hAnsi="宋体"/>
          <w:b/>
          <w:bCs/>
          <w:szCs w:val="21"/>
        </w:rPr>
        <w:t>投标费用</w:t>
      </w:r>
      <w:bookmarkEnd w:id="17"/>
      <w:bookmarkEnd w:id="1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投标人应承担所有与准备和参加投标有关的费用。不论投标的结果如何</w:t>
      </w:r>
      <w:r>
        <w:rPr>
          <w:rFonts w:hint="eastAsia" w:ascii="宋体" w:hAnsi="宋体" w:cs="宋体"/>
          <w:szCs w:val="21"/>
        </w:rPr>
        <w:t>，</w:t>
      </w:r>
      <w:r>
        <w:rPr>
          <w:rFonts w:hint="eastAsia" w:ascii="宋体" w:hAnsi="宋体" w:cs="宋体"/>
          <w:szCs w:val="21"/>
          <w:lang w:eastAsia="zh-TW"/>
        </w:rPr>
        <w:t>招标采购单位均无义务和责任承担这些费用</w:t>
      </w:r>
      <w:r>
        <w:rPr>
          <w:rFonts w:hint="eastAsia" w:ascii="宋体" w:hAnsi="宋体" w:cs="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19" w:name="_Toc2232"/>
      <w:bookmarkStart w:id="20" w:name="_Toc371432342"/>
      <w:r>
        <w:rPr>
          <w:rFonts w:hint="eastAsia"/>
          <w:b/>
          <w:bCs/>
          <w:szCs w:val="21"/>
        </w:rPr>
        <w:t>政府采购信用担保</w:t>
      </w:r>
      <w:bookmarkEnd w:id="19"/>
      <w:bookmarkEnd w:id="20"/>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投标人可以以履约担保函的形式进行履约担保。</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21" w:name="_Toc371432343"/>
      <w:bookmarkStart w:id="22" w:name="_Toc6723"/>
      <w:r>
        <w:rPr>
          <w:rFonts w:hint="eastAsia" w:ascii="宋体" w:hAnsi="宋体"/>
          <w:b/>
          <w:sz w:val="28"/>
          <w:szCs w:val="28"/>
          <w:lang w:eastAsia="zh-TW"/>
        </w:rPr>
        <w:t>招标文件</w:t>
      </w:r>
      <w:bookmarkEnd w:id="21"/>
      <w:bookmarkEnd w:id="22"/>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3" w:name="_Toc13209"/>
      <w:bookmarkStart w:id="24" w:name="_Toc371432344"/>
      <w:r>
        <w:rPr>
          <w:rFonts w:hint="eastAsia" w:ascii="宋体" w:hAnsi="宋体"/>
          <w:b/>
          <w:bCs/>
          <w:szCs w:val="21"/>
        </w:rPr>
        <w:t>招标文件的编制依据与构成</w:t>
      </w:r>
      <w:bookmarkEnd w:id="23"/>
      <w:bookmarkEnd w:id="24"/>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szCs w:val="21"/>
        </w:rPr>
        <w:t>本招标文件的编制依据是《中华人民共和国政府采购法》及其实施条例、中华人民共和国财政部令第18号《政府采购货物和服务招标投标管理办法》,及其配套的法规、规章、政策等。</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要求提供的</w:t>
      </w:r>
      <w:r>
        <w:rPr>
          <w:rFonts w:hint="eastAsia" w:ascii="宋体" w:hAnsi="宋体" w:cs="宋体"/>
          <w:szCs w:val="21"/>
        </w:rPr>
        <w:t>服务</w:t>
      </w:r>
      <w:r>
        <w:rPr>
          <w:rFonts w:hint="eastAsia" w:ascii="宋体" w:hAnsi="宋体" w:cs="宋体"/>
          <w:szCs w:val="21"/>
          <w:lang w:eastAsia="zh-TW"/>
        </w:rPr>
        <w:t>、</w:t>
      </w:r>
      <w:r>
        <w:rPr>
          <w:rFonts w:hint="eastAsia" w:ascii="宋体" w:hAnsi="宋体" w:cs="宋体"/>
          <w:szCs w:val="21"/>
        </w:rPr>
        <w:t>采购</w:t>
      </w:r>
      <w:r>
        <w:rPr>
          <w:rFonts w:hint="eastAsia" w:ascii="宋体" w:hAnsi="宋体" w:cs="宋体"/>
          <w:szCs w:val="21"/>
          <w:lang w:eastAsia="zh-TW"/>
        </w:rPr>
        <w:t>过程和合同条件在招标文件中均有说明。招标文件以中文文字编写。</w:t>
      </w:r>
    </w:p>
    <w:p>
      <w:pPr>
        <w:snapToGrid w:val="0"/>
        <w:spacing w:line="360" w:lineRule="auto"/>
        <w:ind w:left="571" w:leftChars="272" w:right="315" w:rightChars="150"/>
        <w:rPr>
          <w:rFonts w:ascii="宋体" w:hAnsi="宋体"/>
          <w:szCs w:val="21"/>
        </w:rPr>
      </w:pPr>
      <w:r>
        <w:rPr>
          <w:rFonts w:hint="eastAsia" w:ascii="宋体" w:hAnsi="宋体" w:cs="宋体"/>
          <w:szCs w:val="21"/>
          <w:lang w:eastAsia="zh-TW"/>
        </w:rPr>
        <w:t>招标文件</w:t>
      </w:r>
      <w:r>
        <w:rPr>
          <w:rFonts w:hint="eastAsia" w:ascii="宋体" w:hAnsi="宋体" w:cs="宋体"/>
          <w:szCs w:val="21"/>
        </w:rPr>
        <w:t>由下列文件以及在招标过程中发出的澄清、修改和补充文件组成，</w:t>
      </w:r>
      <w:r>
        <w:rPr>
          <w:rFonts w:hint="eastAsia" w:ascii="宋体" w:hAnsi="宋体" w:cs="宋体"/>
          <w:szCs w:val="21"/>
          <w:lang w:eastAsia="zh-TW"/>
        </w:rPr>
        <w:t>内容如下</w:t>
      </w:r>
      <w:r>
        <w:rPr>
          <w:rFonts w:hint="eastAsia" w:ascii="宋体" w:hAnsi="宋体" w:cs="宋体"/>
          <w:szCs w:val="21"/>
        </w:rPr>
        <w:t>：</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第一章</w:t>
      </w:r>
      <w:r>
        <w:rPr>
          <w:rFonts w:hint="eastAsia" w:ascii="宋体" w:hAnsi="宋体" w:cs="宋体"/>
          <w:szCs w:val="21"/>
        </w:rPr>
        <w:t>　</w:t>
      </w:r>
      <w:r>
        <w:rPr>
          <w:rFonts w:hint="eastAsia" w:ascii="宋体" w:hAnsi="宋体" w:cs="宋体"/>
          <w:szCs w:val="21"/>
          <w:lang w:eastAsia="zh-TW"/>
        </w:rPr>
        <w:t>投标邀请</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第二章</w:t>
      </w:r>
      <w:r>
        <w:rPr>
          <w:rFonts w:hint="eastAsia" w:ascii="宋体" w:hAnsi="宋体" w:cs="宋体"/>
          <w:szCs w:val="21"/>
        </w:rPr>
        <w:t>　</w:t>
      </w:r>
      <w:r>
        <w:rPr>
          <w:rFonts w:hint="eastAsia" w:ascii="宋体" w:hAnsi="宋体" w:cs="宋体"/>
          <w:szCs w:val="21"/>
          <w:lang w:eastAsia="zh-TW"/>
        </w:rPr>
        <w:t>投标人须知合同</w:t>
      </w:r>
      <w:r>
        <w:rPr>
          <w:rFonts w:hint="eastAsia" w:ascii="宋体" w:hAnsi="宋体" w:cs="宋体"/>
          <w:szCs w:val="21"/>
        </w:rPr>
        <w:t>通用</w:t>
      </w:r>
      <w:r>
        <w:rPr>
          <w:rFonts w:hint="eastAsia" w:ascii="宋体" w:hAnsi="宋体" w:cs="宋体"/>
          <w:szCs w:val="21"/>
          <w:lang w:eastAsia="zh-TW"/>
        </w:rPr>
        <w:t>条款</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w:t>
      </w:r>
      <w:r>
        <w:rPr>
          <w:rFonts w:hint="eastAsia" w:ascii="宋体" w:hAnsi="宋体" w:cs="宋体"/>
          <w:szCs w:val="21"/>
        </w:rPr>
        <w:t>三</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合同</w:t>
      </w:r>
      <w:r>
        <w:rPr>
          <w:rFonts w:hint="eastAsia" w:ascii="宋体" w:hAnsi="宋体" w:cs="宋体"/>
          <w:szCs w:val="21"/>
        </w:rPr>
        <w:t>通用</w:t>
      </w:r>
      <w:r>
        <w:rPr>
          <w:rFonts w:hint="eastAsia" w:ascii="宋体" w:hAnsi="宋体" w:cs="宋体"/>
          <w:szCs w:val="21"/>
          <w:lang w:eastAsia="zh-TW"/>
        </w:rPr>
        <w:t>条款</w:t>
      </w:r>
    </w:p>
    <w:p>
      <w:pPr>
        <w:snapToGrid w:val="0"/>
        <w:spacing w:line="360" w:lineRule="auto"/>
        <w:ind w:left="445" w:leftChars="212" w:right="315" w:rightChars="150" w:firstLine="1"/>
        <w:rPr>
          <w:rFonts w:ascii="宋体" w:hAnsi="宋体"/>
          <w:szCs w:val="21"/>
        </w:rPr>
      </w:pPr>
      <w:r>
        <w:rPr>
          <w:rFonts w:hint="eastAsia" w:ascii="宋体" w:hAnsi="宋体" w:cs="宋体"/>
          <w:szCs w:val="21"/>
          <w:lang w:eastAsia="zh-TW"/>
        </w:rPr>
        <w:t>第</w:t>
      </w:r>
      <w:r>
        <w:rPr>
          <w:rFonts w:hint="eastAsia" w:ascii="宋体" w:hAnsi="宋体" w:cs="宋体"/>
          <w:szCs w:val="21"/>
        </w:rPr>
        <w:t>四</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用户需求书</w:t>
      </w:r>
    </w:p>
    <w:p>
      <w:pPr>
        <w:snapToGrid w:val="0"/>
        <w:spacing w:line="360" w:lineRule="auto"/>
        <w:ind w:left="445" w:leftChars="212" w:right="315" w:rightChars="150" w:firstLine="1"/>
        <w:rPr>
          <w:rFonts w:ascii="宋体" w:hAnsi="宋体" w:cs="宋体"/>
          <w:szCs w:val="21"/>
        </w:rPr>
      </w:pPr>
      <w:r>
        <w:rPr>
          <w:rFonts w:hint="eastAsia" w:ascii="宋体" w:hAnsi="宋体" w:cs="宋体"/>
          <w:szCs w:val="21"/>
          <w:lang w:eastAsia="zh-TW"/>
        </w:rPr>
        <w:t>第</w:t>
      </w:r>
      <w:r>
        <w:rPr>
          <w:rFonts w:hint="eastAsia" w:ascii="宋体" w:hAnsi="宋体" w:cs="宋体"/>
          <w:szCs w:val="21"/>
        </w:rPr>
        <w:t>五</w:t>
      </w:r>
      <w:r>
        <w:rPr>
          <w:rFonts w:hint="eastAsia" w:ascii="宋体" w:hAnsi="宋体" w:cs="宋体"/>
          <w:szCs w:val="21"/>
          <w:lang w:eastAsia="zh-TW"/>
        </w:rPr>
        <w:t>章</w:t>
      </w:r>
      <w:r>
        <w:rPr>
          <w:rFonts w:hint="eastAsia" w:ascii="宋体" w:hAnsi="宋体" w:cs="宋体"/>
          <w:szCs w:val="21"/>
        </w:rPr>
        <w:t>　</w:t>
      </w:r>
      <w:r>
        <w:rPr>
          <w:rFonts w:hint="eastAsia" w:ascii="宋体" w:hAnsi="宋体" w:cs="宋体"/>
          <w:szCs w:val="21"/>
          <w:lang w:eastAsia="zh-TW"/>
        </w:rPr>
        <w:t>评分</w:t>
      </w:r>
      <w:r>
        <w:rPr>
          <w:rFonts w:hint="eastAsia" w:ascii="宋体" w:hAnsi="宋体" w:cs="宋体"/>
          <w:szCs w:val="21"/>
        </w:rPr>
        <w:t>体系</w:t>
      </w:r>
      <w:r>
        <w:rPr>
          <w:rFonts w:hint="eastAsia" w:ascii="宋体" w:hAnsi="宋体" w:cs="宋体"/>
          <w:szCs w:val="21"/>
          <w:lang w:eastAsia="zh-TW"/>
        </w:rPr>
        <w:t>和标准</w:t>
      </w:r>
    </w:p>
    <w:p>
      <w:pPr>
        <w:snapToGrid w:val="0"/>
        <w:spacing w:line="360" w:lineRule="auto"/>
        <w:ind w:left="445" w:leftChars="212" w:right="315" w:rightChars="150" w:firstLine="1"/>
        <w:rPr>
          <w:rFonts w:ascii="宋体" w:hAnsi="宋体"/>
          <w:szCs w:val="21"/>
        </w:rPr>
      </w:pPr>
      <w:r>
        <w:rPr>
          <w:rFonts w:hint="eastAsia" w:ascii="宋体" w:hAnsi="宋体" w:cs="宋体"/>
          <w:szCs w:val="21"/>
        </w:rPr>
        <w:t>第六章　投标文件格式</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投标人应认真阅读、并充分理解招标文件的全部内容（包括所有的补充、修改内容重要事项、格式、条款和</w:t>
      </w:r>
      <w:r>
        <w:rPr>
          <w:rFonts w:hint="eastAsia" w:ascii="宋体" w:hAnsi="宋体" w:cs="宋体"/>
          <w:szCs w:val="21"/>
        </w:rPr>
        <w:t>服务</w:t>
      </w:r>
      <w:r>
        <w:rPr>
          <w:rFonts w:hint="eastAsia" w:ascii="宋体" w:hAnsi="宋体" w:cs="宋体"/>
          <w:szCs w:val="21"/>
          <w:lang w:eastAsia="zh-TW"/>
        </w:rPr>
        <w:t>要求等）。投标人没有按照招标文件要求提交全部资料，或者投标</w:t>
      </w:r>
      <w:r>
        <w:rPr>
          <w:rFonts w:hint="eastAsia" w:ascii="宋体" w:hAnsi="宋体" w:cs="宋体"/>
          <w:szCs w:val="21"/>
        </w:rPr>
        <w:t>文件</w:t>
      </w:r>
      <w:r>
        <w:rPr>
          <w:rFonts w:hint="eastAsia" w:ascii="宋体" w:hAnsi="宋体" w:cs="宋体"/>
          <w:szCs w:val="21"/>
          <w:lang w:eastAsia="zh-TW"/>
        </w:rPr>
        <w:t>没有对招标文件在各方面都作出实质性响应是投标人的风险，有可能导致其投标被拒绝，或被认定为无效投标或被确定为投标无效。</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本</w:t>
      </w:r>
      <w:r>
        <w:rPr>
          <w:rFonts w:hint="eastAsia" w:ascii="宋体" w:hAnsi="宋体" w:cs="宋体"/>
          <w:szCs w:val="21"/>
          <w:lang w:eastAsia="zh-TW"/>
        </w:rPr>
        <w:t>招标文件的解释权归“</w:t>
      </w:r>
      <w:r>
        <w:rPr>
          <w:rFonts w:hint="eastAsia" w:ascii="宋体" w:hAnsi="宋体" w:cs="宋体"/>
          <w:szCs w:val="21"/>
        </w:rPr>
        <w:t>江门市江海区自然资源局</w:t>
      </w:r>
      <w:r>
        <w:rPr>
          <w:rFonts w:hint="eastAsia" w:ascii="宋体" w:hAnsi="宋体" w:cs="宋体"/>
          <w:szCs w:val="21"/>
          <w:lang w:eastAsia="zh-TW"/>
        </w:rPr>
        <w:t>”所有。</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5" w:name="_Toc371432345"/>
      <w:bookmarkStart w:id="26" w:name="_Toc25957"/>
      <w:r>
        <w:rPr>
          <w:rFonts w:hint="eastAsia" w:ascii="宋体" w:hAnsi="宋体"/>
          <w:b/>
          <w:bCs/>
          <w:szCs w:val="21"/>
        </w:rPr>
        <w:t>招标文件的澄清</w:t>
      </w:r>
      <w:bookmarkEnd w:id="25"/>
      <w:bookmarkEnd w:id="2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任何要求对招标文件进行澄清的投标人，均应以书面形式在投标截止时间十五日以前通知采购单位。采购人对投标人所要求澄清的内容均以书面形式予以答复。必要时，采购单位将召开答疑会，并将会议内容以书面形式发给每个购买招标文件的潜在投标人</w:t>
      </w:r>
      <w:r>
        <w:rPr>
          <w:rFonts w:hint="eastAsia" w:ascii="宋体" w:hAnsi="宋体" w:cs="宋体"/>
          <w:szCs w:val="21"/>
        </w:rPr>
        <w:t>，</w:t>
      </w:r>
      <w:r>
        <w:rPr>
          <w:rFonts w:hint="eastAsia" w:ascii="宋体" w:hAnsi="宋体" w:cs="宋体"/>
          <w:szCs w:val="21"/>
          <w:lang w:eastAsia="zh-TW"/>
        </w:rPr>
        <w:t>答复中不包括问题的来源。</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投标人在规定的时间内未对招标文件提出澄清或疑问的，采购单位将视其为无异议。对招标文件中描述有歧意或前后不一致的地方，评标委员会有权进行评判，但对同一条款的评判应适用于每个投标人。</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除非依本须知第8.1规定的有</w:t>
      </w:r>
      <w:r>
        <w:rPr>
          <w:rFonts w:hint="eastAsia" w:ascii="宋体" w:hAnsi="宋体" w:cs="宋体"/>
          <w:szCs w:val="21"/>
          <w:lang w:eastAsia="zh-TW"/>
        </w:rPr>
        <w:t>必要时</w:t>
      </w:r>
      <w:r>
        <w:rPr>
          <w:rFonts w:hint="eastAsia" w:ascii="宋体" w:hAnsi="宋体" w:cs="宋体"/>
          <w:szCs w:val="21"/>
        </w:rPr>
        <w:t>或</w:t>
      </w:r>
      <w:r>
        <w:rPr>
          <w:rFonts w:hint="eastAsia" w:ascii="宋体" w:hAnsi="宋体" w:cs="黑体"/>
          <w:b/>
          <w:szCs w:val="21"/>
        </w:rPr>
        <w:t>须知前附表</w:t>
      </w:r>
      <w:r>
        <w:rPr>
          <w:rFonts w:hint="eastAsia" w:ascii="宋体" w:hAnsi="宋体" w:cs="宋体"/>
          <w:szCs w:val="21"/>
        </w:rPr>
        <w:t>中另有规定，不举行项目集中答疑会或现场考察，如举行集中答疑会或现场考察的，则按以下规定：</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在</w:t>
      </w:r>
      <w:r>
        <w:rPr>
          <w:rFonts w:hint="eastAsia" w:ascii="宋体" w:hAnsi="宋体" w:cs="黑体"/>
          <w:b/>
          <w:szCs w:val="21"/>
          <w:lang w:eastAsia="zh-TW"/>
        </w:rPr>
        <w:t>须知前附表</w:t>
      </w:r>
      <w:r>
        <w:rPr>
          <w:rFonts w:hint="eastAsia" w:ascii="宋体" w:hAnsi="宋体" w:cs="宋体"/>
          <w:szCs w:val="21"/>
        </w:rPr>
        <w:t>中规定的日期、时间和地点组织公开答疑会或现场考察；</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潜在</w:t>
      </w:r>
      <w:r>
        <w:rPr>
          <w:rFonts w:hint="eastAsia" w:ascii="宋体" w:hAnsi="宋体" w:cs="宋体"/>
          <w:szCs w:val="21"/>
          <w:lang w:eastAsia="zh-TW"/>
        </w:rPr>
        <w:t>投标人对本项目提出的疑问，需在答疑会</w:t>
      </w:r>
      <w:r>
        <w:rPr>
          <w:rFonts w:hint="eastAsia" w:ascii="宋体" w:hAnsi="宋体" w:cs="宋体"/>
          <w:szCs w:val="21"/>
        </w:rPr>
        <w:t>或现场考察</w:t>
      </w:r>
      <w:r>
        <w:rPr>
          <w:rFonts w:hint="eastAsia" w:ascii="宋体" w:hAnsi="宋体" w:cs="宋体"/>
          <w:szCs w:val="21"/>
          <w:lang w:eastAsia="zh-TW"/>
        </w:rPr>
        <w:t>召开日前至少一个工作日将问题清单以书面形式（加盖公章）提交至采购单位，</w:t>
      </w:r>
      <w:r>
        <w:rPr>
          <w:rFonts w:hint="eastAsia" w:ascii="宋体" w:hAnsi="宋体" w:cs="宋体"/>
          <w:szCs w:val="21"/>
        </w:rPr>
        <w:t>潜在</w:t>
      </w:r>
      <w:r>
        <w:rPr>
          <w:rFonts w:hint="eastAsia" w:ascii="宋体" w:hAnsi="宋体" w:cs="宋体"/>
          <w:szCs w:val="21"/>
          <w:lang w:eastAsia="zh-TW"/>
        </w:rPr>
        <w:t>投标人代表于上述的时间和地点出席答疑会</w:t>
      </w:r>
      <w:r>
        <w:rPr>
          <w:rFonts w:hint="eastAsia" w:ascii="宋体" w:hAnsi="宋体" w:cs="宋体"/>
          <w:szCs w:val="21"/>
        </w:rPr>
        <w:t>或现场考察</w:t>
      </w:r>
      <w:r>
        <w:rPr>
          <w:rFonts w:hint="eastAsia" w:ascii="宋体" w:hAnsi="宋体" w:cs="宋体"/>
          <w:szCs w:val="21"/>
          <w:lang w:eastAsia="zh-TW"/>
        </w:rPr>
        <w:t>。</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已购买</w:t>
      </w:r>
      <w:r>
        <w:rPr>
          <w:rFonts w:hint="eastAsia" w:ascii="宋体" w:hAnsi="宋体" w:cs="宋体"/>
          <w:szCs w:val="21"/>
        </w:rPr>
        <w:t>招标</w:t>
      </w:r>
      <w:r>
        <w:rPr>
          <w:rFonts w:hint="eastAsia" w:ascii="宋体" w:hAnsi="宋体" w:cs="宋体"/>
          <w:szCs w:val="21"/>
          <w:lang w:eastAsia="zh-TW"/>
        </w:rPr>
        <w:t>文件的投标人如不出席答疑会</w:t>
      </w:r>
      <w:r>
        <w:rPr>
          <w:rFonts w:hint="eastAsia" w:ascii="宋体" w:hAnsi="宋体" w:cs="宋体"/>
          <w:szCs w:val="21"/>
        </w:rPr>
        <w:t>或现场考察</w:t>
      </w:r>
      <w:r>
        <w:rPr>
          <w:rFonts w:hint="eastAsia" w:ascii="宋体" w:hAnsi="宋体" w:cs="宋体"/>
          <w:szCs w:val="21"/>
          <w:lang w:eastAsia="zh-TW"/>
        </w:rPr>
        <w:t>视为对招标文件所有内容无任何异议。</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27" w:name="_Toc24456"/>
      <w:bookmarkStart w:id="28" w:name="_Toc371432346"/>
      <w:r>
        <w:rPr>
          <w:rFonts w:hint="eastAsia" w:ascii="宋体" w:hAnsi="宋体"/>
          <w:b/>
          <w:bCs/>
          <w:szCs w:val="21"/>
        </w:rPr>
        <w:t>招标文件的修改</w:t>
      </w:r>
      <w:bookmarkEnd w:id="27"/>
      <w:bookmarkEnd w:id="2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无论出于何种原因</w:t>
      </w:r>
      <w:r>
        <w:rPr>
          <w:rFonts w:hint="eastAsia" w:ascii="宋体" w:hAnsi="宋体" w:cs="宋体"/>
          <w:szCs w:val="21"/>
        </w:rPr>
        <w:t>，</w:t>
      </w:r>
      <w:r>
        <w:rPr>
          <w:rFonts w:hint="eastAsia" w:ascii="宋体" w:hAnsi="宋体" w:cs="宋体"/>
          <w:szCs w:val="21"/>
          <w:lang w:eastAsia="zh-TW"/>
        </w:rPr>
        <w:t>采购单位可主动地或在解答投标人提出的疑问时对招标文件进行修改</w:t>
      </w:r>
      <w:r>
        <w:rPr>
          <w:rFonts w:hint="eastAsia" w:ascii="宋体" w:hAnsi="宋体" w:cs="宋体"/>
          <w:szCs w:val="21"/>
        </w:rPr>
        <w:t>，</w:t>
      </w:r>
      <w:r>
        <w:rPr>
          <w:rFonts w:hint="eastAsia" w:ascii="宋体" w:hAnsi="宋体" w:cs="宋体"/>
          <w:szCs w:val="21"/>
          <w:lang w:eastAsia="zh-TW"/>
        </w:rPr>
        <w:t>采购单位对已发出的招标文件进行必要修改的，应当在招标文件</w:t>
      </w:r>
      <w:r>
        <w:rPr>
          <w:rFonts w:hint="eastAsia" w:ascii="宋体" w:hAnsi="宋体" w:cs="黑体"/>
          <w:b/>
          <w:szCs w:val="21"/>
        </w:rPr>
        <w:t>须知前附表</w:t>
      </w:r>
      <w:r>
        <w:rPr>
          <w:rFonts w:hint="eastAsia" w:ascii="宋体" w:hAnsi="宋体" w:cs="宋体"/>
          <w:szCs w:val="21"/>
          <w:lang w:eastAsia="zh-TW"/>
        </w:rPr>
        <w:t>中所述提交投标文件截止时间十五日前，在指定的政府采购信息发布媒体上发布更正公告</w:t>
      </w:r>
      <w:r>
        <w:rPr>
          <w:rFonts w:hint="eastAsia" w:ascii="宋体" w:hAnsi="宋体" w:cs="宋体"/>
          <w:szCs w:val="21"/>
        </w:rPr>
        <w:t>，</w:t>
      </w:r>
      <w:r>
        <w:rPr>
          <w:rFonts w:hint="eastAsia" w:ascii="宋体" w:hAnsi="宋体" w:cs="宋体"/>
          <w:szCs w:val="21"/>
          <w:lang w:eastAsia="zh-TW"/>
        </w:rPr>
        <w:t>并以书面形式通知所有招标文件收受人。</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除须知前附表中另有规定，澄清或修改时间距投标截止时间不足十五</w:t>
      </w:r>
      <w:r>
        <w:rPr>
          <w:rFonts w:hint="eastAsia" w:ascii="宋体" w:hAnsi="宋体" w:cs="宋体"/>
          <w:szCs w:val="21"/>
        </w:rPr>
        <w:t>日</w:t>
      </w:r>
      <w:r>
        <w:rPr>
          <w:rFonts w:hint="eastAsia" w:ascii="宋体" w:hAnsi="宋体" w:cs="宋体"/>
          <w:szCs w:val="21"/>
          <w:lang w:eastAsia="zh-TW"/>
        </w:rPr>
        <w:t>的</w:t>
      </w:r>
      <w:r>
        <w:rPr>
          <w:rFonts w:hint="eastAsia" w:ascii="宋体" w:hAnsi="宋体" w:cs="宋体"/>
          <w:szCs w:val="21"/>
        </w:rPr>
        <w:t>，采购人</w:t>
      </w:r>
      <w:r>
        <w:rPr>
          <w:rFonts w:hint="eastAsia" w:ascii="宋体" w:hAnsi="宋体" w:cs="宋体"/>
          <w:szCs w:val="21"/>
          <w:lang w:eastAsia="zh-TW"/>
        </w:rPr>
        <w:t>或采购单位在征得已获取招标文件的供应商同意并书面确认后，可不改变投标截止时间。</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招标文件的修改内容是招标文件的组成部分，将以书面形式通知所有购买招标文件的潜在投标人，并对潜在投标人具有约束力。潜在投标人在收到上述通知后</w:t>
      </w:r>
      <w:r>
        <w:rPr>
          <w:rFonts w:hint="eastAsia" w:ascii="宋体" w:hAnsi="宋体" w:cs="宋体"/>
          <w:szCs w:val="21"/>
        </w:rPr>
        <w:t>，</w:t>
      </w:r>
      <w:r>
        <w:rPr>
          <w:rFonts w:hint="eastAsia" w:ascii="宋体" w:hAnsi="宋体" w:cs="宋体"/>
          <w:szCs w:val="21"/>
          <w:lang w:eastAsia="zh-TW"/>
        </w:rPr>
        <w:t>应立即以书面形式向招标采购单位确认。如在24小时之内无书面回函则视为同意修改内容，并有责任履行相应的义务。</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29" w:name="_Toc371432347"/>
      <w:bookmarkStart w:id="30" w:name="_Toc26553"/>
      <w:r>
        <w:rPr>
          <w:rFonts w:hint="eastAsia" w:ascii="宋体" w:hAnsi="宋体"/>
          <w:b/>
          <w:sz w:val="28"/>
          <w:szCs w:val="28"/>
          <w:lang w:eastAsia="zh-TW"/>
        </w:rPr>
        <w:t>投标文件的编制</w:t>
      </w:r>
      <w:bookmarkEnd w:id="29"/>
      <w:bookmarkEnd w:id="30"/>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1" w:name="_Toc371432348"/>
      <w:bookmarkStart w:id="32" w:name="_Toc15306"/>
      <w:r>
        <w:rPr>
          <w:rFonts w:hint="eastAsia" w:ascii="宋体" w:hAnsi="宋体"/>
          <w:b/>
          <w:bCs/>
          <w:szCs w:val="21"/>
        </w:rPr>
        <w:t>投标的语言</w:t>
      </w:r>
      <w:bookmarkEnd w:id="31"/>
      <w:bookmarkEnd w:id="3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投标人提交的投标文件以及投标人与采购单位就有关投标的所有来往函电均应使用中文书写</w:t>
      </w:r>
      <w:r>
        <w:rPr>
          <w:rFonts w:hint="eastAsia" w:ascii="宋体" w:hAnsi="宋体" w:cs="宋体"/>
          <w:szCs w:val="21"/>
        </w:rPr>
        <w:t>。投</w:t>
      </w:r>
      <w:r>
        <w:rPr>
          <w:rFonts w:hint="eastAsia" w:ascii="宋体" w:hAnsi="宋体" w:cs="宋体"/>
          <w:szCs w:val="21"/>
          <w:lang w:eastAsia="zh-TW"/>
        </w:rPr>
        <w:t>标人提交的支持资料和</w:t>
      </w:r>
      <w:r>
        <w:rPr>
          <w:rFonts w:hint="eastAsia" w:ascii="宋体" w:hAnsi="宋体" w:cs="宋体"/>
          <w:szCs w:val="21"/>
        </w:rPr>
        <w:t>已</w:t>
      </w:r>
      <w:r>
        <w:rPr>
          <w:rFonts w:hint="eastAsia" w:ascii="宋体" w:hAnsi="宋体" w:cs="宋体"/>
          <w:szCs w:val="21"/>
          <w:lang w:eastAsia="zh-TW"/>
        </w:rPr>
        <w:t>印刷的文献可以用另一种语言</w:t>
      </w:r>
      <w:r>
        <w:rPr>
          <w:rFonts w:hint="eastAsia" w:ascii="宋体" w:hAnsi="宋体" w:cs="宋体"/>
          <w:szCs w:val="21"/>
        </w:rPr>
        <w:t>，</w:t>
      </w:r>
      <w:r>
        <w:rPr>
          <w:rFonts w:hint="eastAsia" w:ascii="宋体" w:hAnsi="宋体" w:cs="宋体"/>
          <w:szCs w:val="21"/>
          <w:lang w:eastAsia="zh-TW"/>
        </w:rPr>
        <w:t>但相应内容应附有中文翻译本</w:t>
      </w:r>
      <w:r>
        <w:rPr>
          <w:rFonts w:hint="eastAsia" w:ascii="宋体" w:hAnsi="宋体" w:cs="宋体"/>
          <w:szCs w:val="21"/>
        </w:rPr>
        <w:t>，</w:t>
      </w:r>
      <w:r>
        <w:rPr>
          <w:rFonts w:hint="eastAsia" w:ascii="宋体" w:hAnsi="宋体" w:cs="宋体"/>
          <w:szCs w:val="21"/>
          <w:lang w:eastAsia="zh-TW"/>
        </w:rPr>
        <w:t>在解释投标文件的修改内容时以中文翻译本为准。对中文翻译有异议的</w:t>
      </w:r>
      <w:r>
        <w:rPr>
          <w:rFonts w:hint="eastAsia" w:ascii="宋体" w:hAnsi="宋体" w:cs="宋体"/>
          <w:szCs w:val="21"/>
        </w:rPr>
        <w:t>，</w:t>
      </w:r>
      <w:r>
        <w:rPr>
          <w:rFonts w:hint="eastAsia" w:ascii="宋体" w:hAnsi="宋体" w:cs="宋体"/>
          <w:szCs w:val="21"/>
          <w:lang w:eastAsia="zh-TW"/>
        </w:rPr>
        <w:t>以权威机构的译本为准。</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3" w:name="_Toc371432349"/>
      <w:bookmarkStart w:id="34" w:name="_Toc18524"/>
      <w:r>
        <w:rPr>
          <w:rFonts w:hint="eastAsia" w:ascii="宋体" w:hAnsi="宋体"/>
          <w:b/>
          <w:bCs/>
          <w:szCs w:val="21"/>
        </w:rPr>
        <w:t>投标文件的构成</w:t>
      </w:r>
      <w:bookmarkEnd w:id="33"/>
      <w:bookmarkEnd w:id="34"/>
    </w:p>
    <w:p>
      <w:pPr>
        <w:numPr>
          <w:ilvl w:val="1"/>
          <w:numId w:val="18"/>
        </w:numPr>
        <w:autoSpaceDE w:val="0"/>
        <w:autoSpaceDN w:val="0"/>
        <w:adjustRightInd w:val="0"/>
        <w:snapToGrid w:val="0"/>
        <w:spacing w:line="420" w:lineRule="auto"/>
        <w:ind w:right="315" w:rightChars="150"/>
        <w:rPr>
          <w:rFonts w:ascii="宋体" w:hAnsi="宋体" w:cs="宋体"/>
          <w:szCs w:val="21"/>
          <w:lang w:eastAsia="zh-TW"/>
        </w:rPr>
      </w:pPr>
      <w:r>
        <w:rPr>
          <w:rFonts w:hint="eastAsia" w:ascii="宋体" w:hAnsi="宋体" w:cs="宋体"/>
          <w:szCs w:val="21"/>
          <w:lang w:eastAsia="zh-TW"/>
        </w:rPr>
        <w:t>投标人编写的投标文件应包括</w:t>
      </w:r>
      <w:r>
        <w:rPr>
          <w:rFonts w:hint="eastAsia" w:ascii="宋体" w:hAnsi="宋体" w:cs="宋体"/>
          <w:szCs w:val="21"/>
        </w:rPr>
        <w:t>初审文件、技术文件、商务文件</w:t>
      </w:r>
      <w:r>
        <w:rPr>
          <w:rFonts w:hint="eastAsia" w:ascii="宋体" w:hAnsi="宋体" w:cs="宋体"/>
          <w:szCs w:val="21"/>
          <w:lang w:eastAsia="zh-TW"/>
        </w:rPr>
        <w:t>，编排顺序参见投标文件格式</w:t>
      </w:r>
      <w:r>
        <w:rPr>
          <w:rFonts w:hint="eastAsia" w:ascii="宋体" w:hAnsi="宋体" w:cs="宋体"/>
          <w:szCs w:val="21"/>
        </w:rPr>
        <w:t>。</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投标文件的构成应符合法律法规及招标文件的要求。</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5" w:name="_Toc23624"/>
      <w:bookmarkStart w:id="36" w:name="_Toc371432350"/>
      <w:r>
        <w:rPr>
          <w:rFonts w:hint="eastAsia" w:ascii="宋体" w:hAnsi="宋体"/>
          <w:b/>
          <w:bCs/>
          <w:szCs w:val="21"/>
        </w:rPr>
        <w:t>投标文件的编写</w:t>
      </w:r>
      <w:bookmarkEnd w:id="35"/>
      <w:bookmarkEnd w:id="36"/>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投标人应完整</w:t>
      </w:r>
      <w:r>
        <w:rPr>
          <w:rFonts w:hint="eastAsia" w:ascii="宋体" w:hAnsi="宋体" w:cs="宋体"/>
          <w:szCs w:val="21"/>
        </w:rPr>
        <w:t>、真实、准确</w:t>
      </w:r>
      <w:r>
        <w:rPr>
          <w:rFonts w:hint="eastAsia" w:ascii="宋体" w:hAnsi="宋体" w:cs="宋体"/>
          <w:szCs w:val="21"/>
          <w:lang w:eastAsia="zh-TW"/>
        </w:rPr>
        <w:t>地填写招标文件中提供的投标</w:t>
      </w:r>
      <w:r>
        <w:rPr>
          <w:rFonts w:hint="eastAsia" w:ascii="宋体" w:hAnsi="宋体" w:cs="宋体"/>
          <w:szCs w:val="21"/>
        </w:rPr>
        <w:t>函</w:t>
      </w:r>
      <w:r>
        <w:rPr>
          <w:rFonts w:hint="eastAsia" w:ascii="宋体" w:hAnsi="宋体" w:cs="宋体"/>
          <w:szCs w:val="21"/>
          <w:lang w:eastAsia="zh-TW"/>
        </w:rPr>
        <w:t>、</w:t>
      </w:r>
      <w:r>
        <w:rPr>
          <w:rFonts w:hint="eastAsia" w:ascii="宋体" w:hAnsi="宋体" w:cs="宋体"/>
          <w:szCs w:val="21"/>
        </w:rPr>
        <w:t>开标一览表(报价表)</w:t>
      </w:r>
      <w:r>
        <w:rPr>
          <w:rFonts w:hint="eastAsia" w:ascii="宋体" w:hAnsi="宋体" w:cs="宋体"/>
          <w:szCs w:val="21"/>
          <w:lang w:eastAsia="zh-TW"/>
        </w:rPr>
        <w:t>、投标分项报价表（如适用）以及招标文件中规定的其它所有内容。</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对招标文件中多个包组进行投标的，其投标文件的编制可按每个包组的要求分别装订和封装。投标人应当对投标文件进行装订，对未经装订的投标文件可能发生的文件散落或缺损，由此造成的后果和责任由投标人承担。</w:t>
      </w:r>
    </w:p>
    <w:p>
      <w:pPr>
        <w:numPr>
          <w:ilvl w:val="1"/>
          <w:numId w:val="18"/>
        </w:numPr>
        <w:tabs>
          <w:tab w:val="left" w:pos="709"/>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投标人必须对投标文件所提供的全部资料的真实性承担法律责任，并无条件接受招标采购单位及政府采购监督管理部门等对其中任何资料进行核实的要求。</w:t>
      </w:r>
    </w:p>
    <w:p>
      <w:pPr>
        <w:numPr>
          <w:ilvl w:val="1"/>
          <w:numId w:val="18"/>
        </w:numPr>
        <w:tabs>
          <w:tab w:val="left" w:pos="709"/>
        </w:tabs>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如果因为投标人的投标文件只填写和提供了本招标文件要求的部分内容和附件，或没有提供招标文件中所要求的全部资料及数据，由此造成的后果和责任由投标人承担。</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7" w:name="_Toc371432351"/>
      <w:bookmarkStart w:id="38" w:name="_Toc14283"/>
      <w:r>
        <w:rPr>
          <w:rFonts w:hint="eastAsia" w:ascii="宋体" w:hAnsi="宋体"/>
          <w:b/>
          <w:bCs/>
          <w:szCs w:val="21"/>
        </w:rPr>
        <w:t>投标报价</w:t>
      </w:r>
      <w:bookmarkEnd w:id="37"/>
      <w:bookmarkEnd w:id="38"/>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投标人应按照“第</w:t>
      </w:r>
      <w:r>
        <w:rPr>
          <w:rFonts w:hint="eastAsia" w:ascii="宋体" w:hAnsi="宋体" w:cs="宋体"/>
          <w:szCs w:val="21"/>
        </w:rPr>
        <w:t>四</w:t>
      </w:r>
      <w:r>
        <w:rPr>
          <w:rFonts w:hint="eastAsia" w:ascii="宋体" w:hAnsi="宋体" w:cs="宋体"/>
          <w:szCs w:val="21"/>
          <w:lang w:eastAsia="zh-TW"/>
        </w:rPr>
        <w:t>章</w:t>
      </w:r>
      <w:r>
        <w:rPr>
          <w:rFonts w:hint="eastAsia" w:ascii="宋体" w:hAnsi="宋体" w:cs="宋体"/>
          <w:szCs w:val="21"/>
        </w:rPr>
        <w:t xml:space="preserve"> </w:t>
      </w:r>
      <w:r>
        <w:rPr>
          <w:rFonts w:hint="eastAsia" w:ascii="宋体" w:hAnsi="宋体" w:cs="宋体"/>
          <w:szCs w:val="21"/>
          <w:lang w:eastAsia="zh-TW"/>
        </w:rPr>
        <w:t>用户需求书”</w:t>
      </w:r>
      <w:r>
        <w:rPr>
          <w:rFonts w:hint="eastAsia" w:ascii="宋体" w:hAnsi="宋体" w:cs="宋体"/>
          <w:szCs w:val="21"/>
        </w:rPr>
        <w:t>中</w:t>
      </w:r>
      <w:r>
        <w:rPr>
          <w:rFonts w:hint="eastAsia" w:ascii="宋体" w:hAnsi="宋体" w:cs="宋体"/>
          <w:szCs w:val="21"/>
          <w:lang w:eastAsia="zh-TW"/>
        </w:rPr>
        <w:t>采购项目</w:t>
      </w:r>
      <w:r>
        <w:rPr>
          <w:rFonts w:hint="eastAsia" w:ascii="宋体" w:hAnsi="宋体" w:cs="宋体"/>
          <w:szCs w:val="21"/>
        </w:rPr>
        <w:t>服务</w:t>
      </w:r>
      <w:r>
        <w:rPr>
          <w:rFonts w:hint="eastAsia" w:ascii="宋体" w:hAnsi="宋体" w:cs="宋体"/>
          <w:szCs w:val="21"/>
          <w:lang w:eastAsia="zh-TW"/>
        </w:rPr>
        <w:t>要求规定的内容、责任范围进行报价。并按《</w:t>
      </w:r>
      <w:r>
        <w:rPr>
          <w:rFonts w:hint="eastAsia" w:ascii="宋体" w:hAnsi="宋体" w:cs="宋体"/>
          <w:szCs w:val="21"/>
        </w:rPr>
        <w:t>开标一览表(报价表)</w:t>
      </w:r>
      <w:r>
        <w:rPr>
          <w:rFonts w:hint="eastAsia" w:ascii="宋体" w:hAnsi="宋体" w:cs="宋体"/>
          <w:szCs w:val="21"/>
          <w:lang w:eastAsia="zh-TW"/>
        </w:rPr>
        <w:t>》</w:t>
      </w:r>
      <w:r>
        <w:rPr>
          <w:rFonts w:hint="eastAsia" w:ascii="宋体" w:hAnsi="宋体" w:cs="宋体"/>
          <w:szCs w:val="21"/>
        </w:rPr>
        <w:t>及</w:t>
      </w:r>
      <w:r>
        <w:rPr>
          <w:rFonts w:hint="eastAsia" w:ascii="宋体" w:hAnsi="宋体" w:cs="宋体"/>
          <w:szCs w:val="21"/>
          <w:lang w:eastAsia="zh-TW"/>
        </w:rPr>
        <w:t>《投标分项报价表》（如适用）的</w:t>
      </w:r>
      <w:r>
        <w:rPr>
          <w:rFonts w:hint="eastAsia" w:ascii="宋体" w:hAnsi="宋体" w:cs="宋体"/>
          <w:szCs w:val="21"/>
        </w:rPr>
        <w:t>要求</w:t>
      </w:r>
      <w:r>
        <w:rPr>
          <w:rFonts w:hint="eastAsia" w:ascii="宋体" w:hAnsi="宋体" w:cs="宋体"/>
          <w:szCs w:val="21"/>
          <w:lang w:eastAsia="zh-TW"/>
        </w:rPr>
        <w:t>报出总价和分项价格。投标总价中不得包含招标文件要求以外的内容，否则，在评标时不予核减。投标总价中也不得缺漏招标文件所要求的内容，否则，被视为</w:t>
      </w:r>
      <w:r>
        <w:rPr>
          <w:rFonts w:hint="eastAsia" w:ascii="宋体" w:hAnsi="宋体" w:cs="宋体"/>
          <w:szCs w:val="21"/>
        </w:rPr>
        <w:t>包含在投标报价中</w:t>
      </w:r>
      <w:r>
        <w:rPr>
          <w:rFonts w:hint="eastAsia" w:ascii="宋体" w:hAnsi="宋体" w:cs="宋体"/>
          <w:szCs w:val="21"/>
          <w:lang w:eastAsia="zh-TW"/>
        </w:rPr>
        <w:t>。</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投标分项报价表</w:t>
      </w:r>
      <w:r>
        <w:rPr>
          <w:rFonts w:hint="eastAsia" w:ascii="宋体" w:hAnsi="宋体" w:cs="宋体"/>
          <w:szCs w:val="21"/>
        </w:rPr>
        <w:t>内容应包含：</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招标文件要求全部服务所需的费用；</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rPr>
        <w:t>投标报价包含履行合同所有相关服务所需的费用；</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投标报价均应包含所有的税费；</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其他一切隐含及不可预见的费用；</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投标报价为本次招标内容的总价包干，投标报价即为合同价，不得在中标后提出任何增加费用要求，投标人在投标时应充分考虑相关风险性因素。</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rPr>
        <w:t>投标人在中标并签署合同后，服务期限内出现的任何遗漏，均由中标人负责，采购人将不再支付任何费用。</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对于报价免费的</w:t>
      </w:r>
      <w:r>
        <w:rPr>
          <w:rFonts w:hint="eastAsia" w:ascii="宋体" w:hAnsi="宋体" w:cs="宋体"/>
          <w:szCs w:val="21"/>
        </w:rPr>
        <w:t>内容</w:t>
      </w:r>
      <w:r>
        <w:rPr>
          <w:rFonts w:hint="eastAsia" w:ascii="宋体" w:hAnsi="宋体" w:cs="宋体"/>
          <w:szCs w:val="21"/>
          <w:lang w:eastAsia="zh-TW"/>
        </w:rPr>
        <w:t>须标明“免费”。</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投标人根据本须知</w:t>
      </w:r>
      <w:r>
        <w:rPr>
          <w:rFonts w:hint="eastAsia" w:ascii="宋体" w:hAnsi="宋体" w:cs="宋体"/>
          <w:szCs w:val="21"/>
        </w:rPr>
        <w:t>第13.2条</w:t>
      </w:r>
      <w:r>
        <w:rPr>
          <w:rFonts w:hint="eastAsia" w:ascii="宋体" w:hAnsi="宋体" w:cs="宋体"/>
          <w:szCs w:val="21"/>
          <w:lang w:eastAsia="zh-TW"/>
        </w:rPr>
        <w:t>的规定将投标</w:t>
      </w:r>
      <w:r>
        <w:rPr>
          <w:rFonts w:hint="eastAsia" w:ascii="宋体" w:hAnsi="宋体" w:cs="宋体"/>
          <w:szCs w:val="21"/>
        </w:rPr>
        <w:t>报</w:t>
      </w:r>
      <w:r>
        <w:rPr>
          <w:rFonts w:hint="eastAsia" w:ascii="宋体" w:hAnsi="宋体" w:cs="宋体"/>
          <w:szCs w:val="21"/>
          <w:lang w:eastAsia="zh-TW"/>
        </w:rPr>
        <w:t>价分成几部分</w:t>
      </w:r>
      <w:r>
        <w:rPr>
          <w:rFonts w:hint="eastAsia" w:ascii="宋体" w:hAnsi="宋体" w:cs="宋体"/>
          <w:szCs w:val="21"/>
        </w:rPr>
        <w:t>，</w:t>
      </w:r>
      <w:r>
        <w:rPr>
          <w:rFonts w:hint="eastAsia" w:ascii="宋体" w:hAnsi="宋体" w:cs="宋体"/>
          <w:szCs w:val="21"/>
          <w:lang w:eastAsia="zh-TW"/>
        </w:rPr>
        <w:t>只是为了方便对</w:t>
      </w:r>
      <w:r>
        <w:rPr>
          <w:rFonts w:hint="eastAsia" w:ascii="宋体" w:hAnsi="宋体" w:cs="宋体"/>
          <w:szCs w:val="21"/>
        </w:rPr>
        <w:t>投标文件进行比较，</w:t>
      </w:r>
      <w:r>
        <w:rPr>
          <w:rFonts w:hint="eastAsia" w:ascii="宋体" w:hAnsi="宋体" w:cs="宋体"/>
          <w:szCs w:val="21"/>
          <w:lang w:eastAsia="zh-TW"/>
        </w:rPr>
        <w:t>并不限制采购人以上述任何条件订立合同的权力。</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中另有规定，</w:t>
      </w:r>
      <w:r>
        <w:rPr>
          <w:rFonts w:hint="eastAsia" w:ascii="宋体" w:hAnsi="宋体" w:cs="宋体"/>
          <w:szCs w:val="21"/>
          <w:lang w:eastAsia="zh-TW"/>
        </w:rPr>
        <w:t>投标人所报的投标价在合同执行过程中是固定不变的</w:t>
      </w:r>
      <w:r>
        <w:rPr>
          <w:rFonts w:hint="eastAsia" w:ascii="宋体" w:hAnsi="宋体" w:cs="宋体"/>
          <w:szCs w:val="21"/>
        </w:rPr>
        <w:t>，</w:t>
      </w:r>
      <w:r>
        <w:rPr>
          <w:rFonts w:hint="eastAsia" w:ascii="宋体" w:hAnsi="宋体" w:cs="宋体"/>
          <w:szCs w:val="21"/>
          <w:lang w:eastAsia="zh-TW"/>
        </w:rPr>
        <w:t>不得以任何理由予以变更。任何包含价格调整要求的投标被认为是非实质性响应投标而予以拒绝。</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除</w:t>
      </w:r>
      <w:r>
        <w:rPr>
          <w:rFonts w:hint="eastAsia" w:ascii="宋体" w:hAnsi="宋体"/>
          <w:b/>
          <w:szCs w:val="21"/>
        </w:rPr>
        <w:t>须知前附表</w:t>
      </w:r>
      <w:r>
        <w:rPr>
          <w:rFonts w:hint="eastAsia" w:ascii="宋体" w:hAnsi="宋体"/>
          <w:szCs w:val="21"/>
        </w:rPr>
        <w:t>另有规定外，本次招标不接受具有附加条件的报价，否则将被视为无效投标。</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39" w:name="_Toc371432352"/>
      <w:bookmarkStart w:id="40" w:name="_Toc21214"/>
      <w:r>
        <w:rPr>
          <w:rFonts w:hint="eastAsia" w:ascii="宋体" w:hAnsi="宋体"/>
          <w:b/>
          <w:bCs/>
          <w:szCs w:val="21"/>
        </w:rPr>
        <w:t>投标货币</w:t>
      </w:r>
      <w:bookmarkEnd w:id="39"/>
      <w:bookmarkEnd w:id="40"/>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投标人所提供的服务均应以人民币报价。</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1" w:name="_Toc371432353"/>
      <w:bookmarkStart w:id="42" w:name="_Toc24188"/>
      <w:r>
        <w:rPr>
          <w:rFonts w:hint="eastAsia" w:ascii="宋体" w:hAnsi="宋体"/>
          <w:b/>
          <w:bCs/>
          <w:szCs w:val="21"/>
        </w:rPr>
        <w:t>联合体投标</w:t>
      </w:r>
      <w:bookmarkEnd w:id="41"/>
      <w:bookmarkEnd w:id="4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除非</w:t>
      </w:r>
      <w:r>
        <w:rPr>
          <w:rFonts w:hint="eastAsia" w:ascii="宋体" w:hAnsi="宋体"/>
          <w:b/>
          <w:szCs w:val="21"/>
        </w:rPr>
        <w:t>投标邀请</w:t>
      </w:r>
      <w:r>
        <w:rPr>
          <w:rFonts w:hint="eastAsia" w:ascii="宋体" w:hAnsi="宋体"/>
          <w:szCs w:val="21"/>
        </w:rPr>
        <w:t>中另有规定，不接受联合体投标。如果投标邀请中规定允许联合体投标的，则必须满足：</w:t>
      </w:r>
    </w:p>
    <w:p>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hint="eastAsia" w:ascii="宋体" w:hAnsi="宋体" w:cs="宋体"/>
          <w:szCs w:val="21"/>
        </w:rPr>
        <w:t xml:space="preserve">以联合体形式参加投标的，联合体各方均必须符合本须知“合格的投标人”的一般规定，并至少有一方符合满足“合格的投标人”的特殊条款要求； </w:t>
      </w:r>
    </w:p>
    <w:p>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hint="eastAsia" w:ascii="宋体" w:hAnsi="宋体" w:cs="宋体"/>
          <w:szCs w:val="21"/>
        </w:rPr>
        <w:t>联合体投标的，必须提供各方签订的共同投标协议，明确约定各方承担的工作和相应的责任。联合体各方签订共同投标协议后，不得再以自己名义单独在同一项目（或包组）中投标，也不得组成新的联合体参加同一项目（或包组）投标；</w:t>
      </w:r>
    </w:p>
    <w:p>
      <w:pPr>
        <w:numPr>
          <w:ilvl w:val="2"/>
          <w:numId w:val="18"/>
        </w:numPr>
        <w:tabs>
          <w:tab w:val="left" w:pos="851"/>
          <w:tab w:val="clear" w:pos="709"/>
        </w:tabs>
        <w:autoSpaceDE w:val="0"/>
        <w:autoSpaceDN w:val="0"/>
        <w:adjustRightInd w:val="0"/>
        <w:snapToGrid w:val="0"/>
        <w:spacing w:line="360" w:lineRule="auto"/>
        <w:ind w:left="851" w:right="315" w:rightChars="150" w:hanging="851"/>
        <w:jc w:val="left"/>
        <w:rPr>
          <w:rFonts w:ascii="宋体" w:hAnsi="宋体" w:cs="宋体"/>
          <w:szCs w:val="21"/>
        </w:rPr>
      </w:pPr>
      <w:r>
        <w:rPr>
          <w:rFonts w:ascii="宋体" w:hAnsi="宋体" w:cs="宋体"/>
          <w:szCs w:val="21"/>
        </w:rPr>
        <w:t>联合体</w:t>
      </w:r>
      <w:r>
        <w:rPr>
          <w:rFonts w:hint="eastAsia" w:ascii="宋体" w:hAnsi="宋体" w:cs="宋体"/>
          <w:szCs w:val="21"/>
        </w:rPr>
        <w:t>中标</w:t>
      </w:r>
      <w:r>
        <w:rPr>
          <w:rFonts w:ascii="宋体" w:hAnsi="宋体" w:cs="宋体"/>
          <w:szCs w:val="21"/>
        </w:rPr>
        <w:t>的，联合体各方应当共同与</w:t>
      </w:r>
      <w:r>
        <w:rPr>
          <w:rFonts w:hint="eastAsia" w:ascii="宋体" w:hAnsi="宋体" w:cs="宋体"/>
          <w:szCs w:val="21"/>
        </w:rPr>
        <w:t>采购</w:t>
      </w:r>
      <w:r>
        <w:rPr>
          <w:rFonts w:ascii="宋体" w:hAnsi="宋体" w:cs="宋体"/>
          <w:szCs w:val="21"/>
        </w:rPr>
        <w:t>人签订合同。</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3" w:name="_Toc13325"/>
      <w:bookmarkStart w:id="44" w:name="_Toc371432354"/>
      <w:r>
        <w:rPr>
          <w:rFonts w:hint="eastAsia" w:ascii="宋体" w:hAnsi="宋体"/>
          <w:b/>
          <w:bCs/>
          <w:szCs w:val="21"/>
        </w:rPr>
        <w:t>证明投标人合格和资格的文件</w:t>
      </w:r>
      <w:bookmarkEnd w:id="43"/>
      <w:bookmarkEnd w:id="44"/>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投标人应提交证明其有资格参加投标和中标后有能力履行合同的文件</w:t>
      </w:r>
      <w:r>
        <w:rPr>
          <w:rFonts w:hint="eastAsia" w:ascii="宋体" w:hAnsi="宋体" w:cs="宋体"/>
          <w:szCs w:val="21"/>
        </w:rPr>
        <w:t>，</w:t>
      </w:r>
      <w:r>
        <w:rPr>
          <w:rFonts w:hint="eastAsia" w:ascii="宋体" w:hAnsi="宋体" w:cs="宋体"/>
          <w:szCs w:val="21"/>
          <w:lang w:eastAsia="zh-TW"/>
        </w:rPr>
        <w:t>并作为其投标文件的一部分。如果投标人为联合体</w:t>
      </w:r>
      <w:r>
        <w:rPr>
          <w:rFonts w:hint="eastAsia" w:ascii="宋体" w:hAnsi="宋体" w:cs="宋体"/>
          <w:szCs w:val="21"/>
        </w:rPr>
        <w:t>，</w:t>
      </w:r>
      <w:r>
        <w:rPr>
          <w:rFonts w:hint="eastAsia" w:ascii="宋体" w:hAnsi="宋体" w:cs="宋体"/>
          <w:szCs w:val="21"/>
          <w:lang w:eastAsia="zh-TW"/>
        </w:rPr>
        <w:t>应提交联合体各方的资格证明文件、</w:t>
      </w:r>
      <w:r>
        <w:rPr>
          <w:rFonts w:hint="eastAsia" w:ascii="宋体" w:hAnsi="宋体" w:cs="宋体"/>
          <w:szCs w:val="21"/>
        </w:rPr>
        <w:t>共同投标协议</w:t>
      </w:r>
      <w:r>
        <w:rPr>
          <w:rFonts w:hint="eastAsia" w:ascii="宋体" w:hAnsi="宋体" w:cs="宋体"/>
          <w:szCs w:val="21"/>
          <w:lang w:eastAsia="zh-TW"/>
        </w:rPr>
        <w:t>并注明主体方</w:t>
      </w:r>
      <w:r>
        <w:rPr>
          <w:rFonts w:hint="eastAsia" w:ascii="宋体" w:hAnsi="宋体" w:cs="宋体"/>
          <w:szCs w:val="21"/>
        </w:rPr>
        <w:t>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投标人提交的资格证明文件应证明其</w:t>
      </w:r>
      <w:r>
        <w:rPr>
          <w:rFonts w:hint="eastAsia" w:ascii="宋体" w:hAnsi="宋体" w:cs="宋体"/>
          <w:szCs w:val="21"/>
        </w:rPr>
        <w:t>满足</w:t>
      </w:r>
      <w:r>
        <w:rPr>
          <w:rFonts w:hint="eastAsia" w:ascii="宋体" w:hAnsi="宋体" w:cs="宋体"/>
          <w:szCs w:val="21"/>
          <w:lang w:eastAsia="zh-TW"/>
        </w:rPr>
        <w:t>本须知定义的合格投标人。</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5" w:name="_Toc371432355"/>
      <w:bookmarkStart w:id="46" w:name="_Toc23882"/>
      <w:r>
        <w:rPr>
          <w:rFonts w:hint="eastAsia" w:ascii="宋体" w:hAnsi="宋体"/>
          <w:b/>
          <w:bCs/>
          <w:szCs w:val="21"/>
        </w:rPr>
        <w:t>证明服务的合格性和符合招标文件规定的文件</w:t>
      </w:r>
      <w:bookmarkEnd w:id="45"/>
      <w:bookmarkEnd w:id="46"/>
    </w:p>
    <w:p>
      <w:pPr>
        <w:numPr>
          <w:ilvl w:val="1"/>
          <w:numId w:val="18"/>
        </w:numPr>
        <w:autoSpaceDE w:val="0"/>
        <w:autoSpaceDN w:val="0"/>
        <w:adjustRightInd w:val="0"/>
        <w:snapToGrid w:val="0"/>
        <w:spacing w:line="360" w:lineRule="auto"/>
        <w:ind w:right="315" w:rightChars="150"/>
        <w:jc w:val="left"/>
        <w:rPr>
          <w:rFonts w:ascii="宋体" w:hAnsi="宋体" w:cs="黑体"/>
          <w:bCs/>
          <w:szCs w:val="21"/>
        </w:rPr>
      </w:pPr>
      <w:r>
        <w:rPr>
          <w:rFonts w:hint="eastAsia" w:ascii="宋体" w:hAnsi="宋体" w:cs="宋体"/>
          <w:szCs w:val="21"/>
          <w:lang w:eastAsia="zh-TW"/>
        </w:rPr>
        <w:t>投标人应提交证明文件</w:t>
      </w:r>
      <w:r>
        <w:rPr>
          <w:rFonts w:hint="eastAsia" w:ascii="宋体" w:hAnsi="宋体" w:cs="宋体"/>
          <w:szCs w:val="21"/>
        </w:rPr>
        <w:t>，</w:t>
      </w:r>
      <w:r>
        <w:rPr>
          <w:rFonts w:hint="eastAsia" w:ascii="宋体" w:hAnsi="宋体" w:cs="宋体"/>
          <w:szCs w:val="21"/>
          <w:lang w:eastAsia="zh-TW"/>
        </w:rPr>
        <w:t>证明其拟</w:t>
      </w:r>
      <w:r>
        <w:rPr>
          <w:rFonts w:hint="eastAsia" w:ascii="宋体" w:hAnsi="宋体" w:cs="宋体"/>
          <w:szCs w:val="21"/>
        </w:rPr>
        <w:t>投标</w:t>
      </w:r>
      <w:r>
        <w:rPr>
          <w:rFonts w:hint="eastAsia" w:ascii="宋体" w:hAnsi="宋体" w:cs="宋体"/>
          <w:szCs w:val="21"/>
          <w:lang w:eastAsia="zh-TW"/>
        </w:rPr>
        <w:t>的服务的合格性符合招标文件规定。该证明文件作为投标文件的一部分。</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证明服务与招标文件的要求相一致的文件，可以是文字资料、图纸和数据，它包括：</w:t>
      </w:r>
    </w:p>
    <w:p>
      <w:pPr>
        <w:numPr>
          <w:ilvl w:val="2"/>
          <w:numId w:val="18"/>
        </w:numPr>
        <w:tabs>
          <w:tab w:val="left" w:pos="851"/>
        </w:tabs>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服务主要内容、方案、质量、标准指标等的详细说明；</w:t>
      </w:r>
    </w:p>
    <w:p>
      <w:pPr>
        <w:numPr>
          <w:ilvl w:val="2"/>
          <w:numId w:val="18"/>
        </w:numPr>
        <w:tabs>
          <w:tab w:val="left" w:pos="868"/>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rPr>
        <w:t>对照招标文件服务内容与要求，逐条说明所提供服务已对招标文件的服务内容与要求作出了实质性的响应，并申明与服务内容与要求条文的偏差和例外。特别对有具体参数要求的指标，投标人须提供所投服务的具体参数值。投标人在阐述时应注意招标文件的服务内容、要求和标准。投标人在投标中要实质上满足或超过招标文件的要求。</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7" w:name="_Toc27190"/>
      <w:bookmarkStart w:id="48" w:name="_Toc371432357"/>
      <w:r>
        <w:rPr>
          <w:rFonts w:hint="eastAsia" w:ascii="宋体" w:hAnsi="宋体"/>
          <w:b/>
          <w:bCs/>
          <w:szCs w:val="21"/>
        </w:rPr>
        <w:t>投标有效期</w:t>
      </w:r>
      <w:bookmarkEnd w:id="47"/>
      <w:bookmarkEnd w:id="4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投标应自</w:t>
      </w:r>
      <w:r>
        <w:rPr>
          <w:rFonts w:hint="eastAsia" w:ascii="宋体" w:hAnsi="宋体" w:cs="宋体"/>
          <w:b/>
          <w:szCs w:val="21"/>
          <w:lang w:eastAsia="zh-TW"/>
        </w:rPr>
        <w:t>须知前附表</w:t>
      </w:r>
      <w:r>
        <w:rPr>
          <w:rFonts w:hint="eastAsia" w:ascii="宋体" w:hAnsi="宋体" w:cs="宋体"/>
          <w:szCs w:val="21"/>
          <w:lang w:eastAsia="zh-TW"/>
        </w:rPr>
        <w:t>中规定的</w:t>
      </w:r>
      <w:r>
        <w:rPr>
          <w:rFonts w:hint="eastAsia" w:ascii="宋体" w:hAnsi="宋体" w:cs="宋体"/>
          <w:szCs w:val="21"/>
        </w:rPr>
        <w:t>投标文件递交截止时间</w:t>
      </w:r>
      <w:r>
        <w:rPr>
          <w:rFonts w:hint="eastAsia" w:ascii="宋体" w:hAnsi="宋体" w:cs="宋体"/>
          <w:szCs w:val="21"/>
          <w:lang w:eastAsia="zh-TW"/>
        </w:rPr>
        <w:t>起</w:t>
      </w:r>
      <w:r>
        <w:rPr>
          <w:rFonts w:hint="eastAsia" w:ascii="宋体" w:hAnsi="宋体" w:cs="宋体"/>
          <w:szCs w:val="21"/>
        </w:rPr>
        <w:t>，</w:t>
      </w:r>
      <w:r>
        <w:rPr>
          <w:rFonts w:hint="eastAsia" w:ascii="宋体" w:hAnsi="宋体" w:cs="宋体"/>
          <w:szCs w:val="21"/>
          <w:lang w:eastAsia="zh-TW"/>
        </w:rPr>
        <w:t>并在</w:t>
      </w:r>
      <w:r>
        <w:rPr>
          <w:rFonts w:hint="eastAsia" w:ascii="宋体" w:hAnsi="宋体" w:cs="宋体"/>
          <w:b/>
          <w:szCs w:val="21"/>
          <w:lang w:eastAsia="zh-TW"/>
        </w:rPr>
        <w:t>须知前附表</w:t>
      </w:r>
      <w:r>
        <w:rPr>
          <w:rFonts w:hint="eastAsia" w:ascii="宋体" w:hAnsi="宋体" w:cs="宋体"/>
          <w:szCs w:val="21"/>
          <w:lang w:eastAsia="zh-TW"/>
        </w:rPr>
        <w:t>中所述期限内保持有效。投标有效期不足的投标将被视为非实质性响应</w:t>
      </w:r>
      <w:r>
        <w:rPr>
          <w:rFonts w:hint="eastAsia" w:ascii="宋体" w:hAnsi="宋体"/>
          <w:szCs w:val="21"/>
        </w:rPr>
        <w:t>，</w:t>
      </w:r>
      <w:r>
        <w:rPr>
          <w:rFonts w:hint="eastAsia" w:ascii="宋体" w:hAnsi="宋体" w:cs="宋体"/>
          <w:szCs w:val="21"/>
        </w:rPr>
        <w:t>视为无效投标</w:t>
      </w:r>
      <w:r>
        <w:rPr>
          <w:rFonts w:hint="eastAsia" w:ascii="宋体" w:hAnsi="宋体" w:cs="宋体"/>
          <w:szCs w:val="21"/>
          <w:lang w:eastAsia="zh-TW"/>
        </w:rPr>
        <w:t>。</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特殊情况下</w:t>
      </w:r>
      <w:r>
        <w:rPr>
          <w:rFonts w:hint="eastAsia" w:ascii="宋体" w:hAnsi="宋体" w:cs="宋体"/>
          <w:szCs w:val="21"/>
        </w:rPr>
        <w:t>，</w:t>
      </w:r>
      <w:r>
        <w:rPr>
          <w:rFonts w:hint="eastAsia" w:ascii="宋体" w:hAnsi="宋体" w:cs="宋体"/>
          <w:szCs w:val="21"/>
          <w:lang w:eastAsia="zh-TW"/>
        </w:rPr>
        <w:t>在原投标有效期截止之前</w:t>
      </w:r>
      <w:r>
        <w:rPr>
          <w:rFonts w:hint="eastAsia" w:ascii="宋体" w:hAnsi="宋体" w:cs="宋体"/>
          <w:szCs w:val="21"/>
        </w:rPr>
        <w:t>，</w:t>
      </w:r>
      <w:r>
        <w:rPr>
          <w:rFonts w:hint="eastAsia" w:ascii="宋体" w:hAnsi="宋体" w:cs="宋体"/>
          <w:szCs w:val="21"/>
          <w:lang w:eastAsia="zh-TW"/>
        </w:rPr>
        <w:t>采购单位可要求投标人延长投标有效期。这种要求与答复均应以书面形式提交。投标人可拒绝采购单位的这种要求</w:t>
      </w:r>
      <w:r>
        <w:rPr>
          <w:rFonts w:hint="eastAsia" w:ascii="宋体" w:hAnsi="宋体" w:cs="宋体"/>
          <w:szCs w:val="21"/>
        </w:rPr>
        <w:t>，</w:t>
      </w:r>
      <w:r>
        <w:rPr>
          <w:rFonts w:hint="eastAsia" w:ascii="宋体" w:hAnsi="宋体" w:cs="宋体"/>
          <w:szCs w:val="21"/>
          <w:lang w:eastAsia="zh-TW"/>
        </w:rPr>
        <w:t>其投标在原投标有效期期满后将不再有效。同意延长投标有效期的投标人将不会被要求和允许修正其投标。</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49" w:name="_Toc22072"/>
      <w:bookmarkStart w:id="50" w:name="_Toc371432358"/>
      <w:r>
        <w:rPr>
          <w:rFonts w:hint="eastAsia" w:ascii="宋体" w:hAnsi="宋体"/>
          <w:b/>
          <w:bCs/>
          <w:szCs w:val="21"/>
        </w:rPr>
        <w:t>投标文件的式样和签署</w:t>
      </w:r>
      <w:bookmarkEnd w:id="49"/>
      <w:bookmarkEnd w:id="50"/>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投标文件的式样：投标人应准备一份投标文件正本</w:t>
      </w:r>
      <w:r>
        <w:rPr>
          <w:rFonts w:hint="eastAsia" w:ascii="宋体" w:hAnsi="宋体" w:cs="宋体"/>
          <w:szCs w:val="21"/>
        </w:rPr>
        <w:t>、电子文件</w:t>
      </w:r>
      <w:r>
        <w:rPr>
          <w:rFonts w:hint="eastAsia" w:ascii="宋体" w:hAnsi="宋体" w:cs="宋体"/>
          <w:szCs w:val="21"/>
          <w:lang w:eastAsia="zh-TW"/>
        </w:rPr>
        <w:t>和</w:t>
      </w:r>
      <w:r>
        <w:rPr>
          <w:rFonts w:hint="eastAsia" w:ascii="宋体" w:hAnsi="宋体" w:cs="宋体"/>
          <w:b/>
          <w:szCs w:val="21"/>
          <w:lang w:eastAsia="zh-TW"/>
        </w:rPr>
        <w:t>须知前附表</w:t>
      </w:r>
      <w:r>
        <w:rPr>
          <w:rFonts w:hint="eastAsia" w:ascii="宋体" w:hAnsi="宋体" w:cs="宋体"/>
          <w:szCs w:val="21"/>
          <w:lang w:eastAsia="zh-TW"/>
        </w:rPr>
        <w:t>中规定数目的副本</w:t>
      </w:r>
      <w:r>
        <w:rPr>
          <w:rFonts w:hint="eastAsia" w:ascii="宋体" w:hAnsi="宋体" w:cs="宋体"/>
          <w:szCs w:val="21"/>
        </w:rPr>
        <w:t>，</w:t>
      </w:r>
      <w:r>
        <w:rPr>
          <w:rFonts w:hint="eastAsia" w:ascii="宋体" w:hAnsi="宋体" w:cs="宋体"/>
          <w:szCs w:val="21"/>
          <w:lang w:eastAsia="zh-TW"/>
        </w:rPr>
        <w:t>投标文件的副本可采用正本的复印件。每套投标文件须清楚地标明“正本”或</w:t>
      </w:r>
      <w:r>
        <w:rPr>
          <w:rFonts w:hint="eastAsia" w:ascii="宋体" w:hAnsi="宋体" w:cs="宋体"/>
          <w:szCs w:val="21"/>
        </w:rPr>
        <w:t>“副</w:t>
      </w:r>
      <w:r>
        <w:rPr>
          <w:rFonts w:hint="eastAsia" w:ascii="宋体" w:hAnsi="宋体" w:cs="宋体"/>
          <w:szCs w:val="21"/>
          <w:lang w:eastAsia="zh-TW"/>
        </w:rPr>
        <w:t>本</w:t>
      </w:r>
      <w:r>
        <w:rPr>
          <w:rFonts w:hint="eastAsia" w:ascii="宋体" w:hAnsi="宋体" w:cs="宋体"/>
          <w:szCs w:val="21"/>
        </w:rPr>
        <w:t>”</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投标文件的签署：</w:t>
      </w:r>
    </w:p>
    <w:p>
      <w:pPr>
        <w:numPr>
          <w:ilvl w:val="2"/>
          <w:numId w:val="18"/>
        </w:numPr>
        <w:tabs>
          <w:tab w:val="left" w:pos="851"/>
          <w:tab w:val="left" w:pos="1134"/>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rPr>
        <w:t>投标文件的正本需打印或用不褪色墨水书写，招标文件要求签名的由法定代表人或经其正式授权的代表签字，投标文件每一页均要求加盖投标人公章，副本可以复印，与正本具有同等法律效力。授权代表须将以书面形式出具的《法定代表人授权委托书》附在投标文件中。</w:t>
      </w:r>
    </w:p>
    <w:p>
      <w:pPr>
        <w:numPr>
          <w:ilvl w:val="2"/>
          <w:numId w:val="18"/>
        </w:numPr>
        <w:tabs>
          <w:tab w:val="left" w:pos="851"/>
          <w:tab w:val="clear" w:pos="709"/>
        </w:tabs>
        <w:autoSpaceDE w:val="0"/>
        <w:autoSpaceDN w:val="0"/>
        <w:adjustRightInd w:val="0"/>
        <w:snapToGrid w:val="0"/>
        <w:spacing w:line="360" w:lineRule="auto"/>
        <w:ind w:left="840" w:right="315" w:rightChars="150" w:hanging="840"/>
        <w:jc w:val="left"/>
        <w:rPr>
          <w:rFonts w:ascii="宋体" w:hAnsi="宋体" w:cs="宋体"/>
          <w:szCs w:val="21"/>
        </w:rPr>
      </w:pPr>
      <w:r>
        <w:rPr>
          <w:rFonts w:hint="eastAsia" w:ascii="宋体" w:hAnsi="宋体" w:cs="宋体"/>
          <w:szCs w:val="21"/>
        </w:rPr>
        <w:t>投标文件中的任何重要的插字、涂改和增删，必须由法定代表人或经其正式授权的代表在旁边签章或签字才有效。</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51" w:name="_Toc371432359"/>
      <w:bookmarkStart w:id="52" w:name="_Toc5074"/>
      <w:r>
        <w:rPr>
          <w:rFonts w:hint="eastAsia" w:ascii="宋体" w:hAnsi="宋体"/>
          <w:b/>
          <w:sz w:val="28"/>
          <w:szCs w:val="28"/>
          <w:lang w:eastAsia="zh-TW"/>
        </w:rPr>
        <w:t>投标文件的递交</w:t>
      </w:r>
      <w:bookmarkEnd w:id="51"/>
      <w:bookmarkEnd w:id="52"/>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3" w:name="_Toc26710"/>
      <w:bookmarkStart w:id="54" w:name="_Toc371432360"/>
      <w:r>
        <w:rPr>
          <w:rFonts w:hint="eastAsia" w:ascii="宋体" w:hAnsi="宋体"/>
          <w:b/>
          <w:bCs/>
          <w:szCs w:val="21"/>
        </w:rPr>
        <w:t>投标文件的密封和标记</w:t>
      </w:r>
      <w:bookmarkEnd w:id="53"/>
      <w:bookmarkEnd w:id="54"/>
    </w:p>
    <w:p>
      <w:pPr>
        <w:numPr>
          <w:ilvl w:val="1"/>
          <w:numId w:val="18"/>
        </w:numPr>
        <w:autoSpaceDE w:val="0"/>
        <w:autoSpaceDN w:val="0"/>
        <w:adjustRightInd w:val="0"/>
        <w:snapToGrid w:val="0"/>
        <w:spacing w:line="420" w:lineRule="auto"/>
        <w:ind w:right="315" w:rightChars="150"/>
        <w:rPr>
          <w:rFonts w:ascii="宋体" w:hAnsi="宋体" w:cs="黑体"/>
          <w:b/>
          <w:bCs/>
          <w:dstrike/>
          <w:szCs w:val="21"/>
        </w:rPr>
      </w:pPr>
      <w:r>
        <w:rPr>
          <w:rFonts w:hint="eastAsia" w:ascii="宋体" w:hAnsi="宋体" w:cs="宋体"/>
          <w:szCs w:val="21"/>
          <w:lang w:eastAsia="zh-TW"/>
        </w:rPr>
        <w:t>为方便开标唱标</w:t>
      </w:r>
      <w:r>
        <w:rPr>
          <w:rFonts w:hint="eastAsia" w:ascii="宋体" w:hAnsi="宋体" w:cs="宋体"/>
          <w:szCs w:val="21"/>
        </w:rPr>
        <w:t>，</w:t>
      </w:r>
      <w:r>
        <w:rPr>
          <w:rFonts w:hint="eastAsia" w:ascii="宋体" w:hAnsi="宋体" w:cs="宋体"/>
          <w:szCs w:val="21"/>
          <w:lang w:eastAsia="zh-TW"/>
        </w:rPr>
        <w:t>投标人应将开标一览表(报价表)</w:t>
      </w:r>
      <w:r>
        <w:rPr>
          <w:rFonts w:hint="eastAsia" w:ascii="宋体" w:hAnsi="宋体" w:cs="宋体"/>
          <w:szCs w:val="21"/>
        </w:rPr>
        <w:t>、</w:t>
      </w:r>
      <w:r>
        <w:rPr>
          <w:rFonts w:hint="eastAsia" w:ascii="宋体" w:hAnsi="宋体" w:cs="宋体"/>
          <w:szCs w:val="21"/>
          <w:lang w:eastAsia="zh-TW"/>
        </w:rPr>
        <w:t>法定代表人证明书或法定代表人授权委托书</w:t>
      </w:r>
      <w:r>
        <w:rPr>
          <w:rFonts w:hint="eastAsia" w:ascii="宋体" w:hAnsi="宋体" w:cs="宋体"/>
          <w:szCs w:val="21"/>
        </w:rPr>
        <w:t>和电子文件</w:t>
      </w:r>
      <w:r>
        <w:rPr>
          <w:rFonts w:hint="eastAsia" w:ascii="宋体" w:hAnsi="宋体" w:cs="宋体"/>
          <w:szCs w:val="21"/>
          <w:lang w:eastAsia="zh-TW"/>
        </w:rPr>
        <w:t>单独一起密封提交，</w:t>
      </w:r>
      <w:r>
        <w:rPr>
          <w:rFonts w:hint="eastAsia" w:ascii="宋体" w:hAnsi="宋体" w:cs="宋体"/>
          <w:szCs w:val="21"/>
        </w:rPr>
        <w:t>若本项目（或包组）接受联合体投标，则联合体投标，应将各方共同签署的《联合投标协议》和《投标联合体授权主体方协议书》一并提交，</w:t>
      </w:r>
      <w:r>
        <w:rPr>
          <w:rFonts w:hint="eastAsia" w:ascii="宋体" w:hAnsi="宋体" w:cs="宋体"/>
          <w:szCs w:val="21"/>
          <w:lang w:eastAsia="zh-TW"/>
        </w:rPr>
        <w:t>并在信封上标明</w:t>
      </w:r>
      <w:r>
        <w:rPr>
          <w:rFonts w:hint="eastAsia" w:ascii="宋体" w:hAnsi="宋体" w:cs="宋体"/>
          <w:szCs w:val="21"/>
        </w:rPr>
        <w:t>“开标信封”的</w:t>
      </w:r>
      <w:r>
        <w:rPr>
          <w:rFonts w:hint="eastAsia" w:ascii="宋体" w:hAnsi="宋体" w:cs="宋体"/>
          <w:szCs w:val="21"/>
          <w:lang w:eastAsia="zh-TW"/>
        </w:rPr>
        <w:t>字样。投标人应将投标文件正本和所有的副本分开密封装在单独的信封中</w:t>
      </w:r>
      <w:r>
        <w:rPr>
          <w:rFonts w:hint="eastAsia" w:ascii="宋体" w:hAnsi="宋体" w:cs="宋体"/>
          <w:szCs w:val="21"/>
        </w:rPr>
        <w:t>，</w:t>
      </w:r>
      <w:r>
        <w:rPr>
          <w:rFonts w:hint="eastAsia" w:ascii="宋体" w:hAnsi="宋体" w:cs="宋体"/>
          <w:szCs w:val="21"/>
          <w:lang w:eastAsia="zh-TW"/>
        </w:rPr>
        <w:t>且在信封</w:t>
      </w:r>
      <w:r>
        <w:rPr>
          <w:rFonts w:hint="eastAsia" w:ascii="宋体" w:hAnsi="宋体" w:cs="宋体"/>
          <w:szCs w:val="21"/>
        </w:rPr>
        <w:t>上</w:t>
      </w:r>
      <w:r>
        <w:rPr>
          <w:rFonts w:hint="eastAsia" w:ascii="宋体" w:hAnsi="宋体" w:cs="宋体"/>
          <w:szCs w:val="21"/>
          <w:lang w:eastAsia="zh-TW"/>
        </w:rPr>
        <w:t>标明</w:t>
      </w:r>
      <w:r>
        <w:rPr>
          <w:rFonts w:hint="eastAsia" w:ascii="宋体" w:hAnsi="宋体" w:cs="宋体"/>
          <w:szCs w:val="21"/>
        </w:rPr>
        <w:t>“</w:t>
      </w:r>
      <w:r>
        <w:rPr>
          <w:rFonts w:hint="eastAsia" w:ascii="宋体" w:hAnsi="宋体" w:cs="宋体"/>
          <w:szCs w:val="21"/>
          <w:lang w:eastAsia="zh-TW"/>
        </w:rPr>
        <w:t>正本</w:t>
      </w:r>
      <w:r>
        <w:rPr>
          <w:rFonts w:hint="eastAsia" w:ascii="宋体" w:hAnsi="宋体" w:cs="宋体"/>
          <w:szCs w:val="21"/>
        </w:rPr>
        <w:t>”“</w:t>
      </w:r>
      <w:r>
        <w:rPr>
          <w:rFonts w:hint="eastAsia" w:ascii="宋体" w:hAnsi="宋体"/>
          <w:szCs w:val="21"/>
        </w:rPr>
        <w:t>副</w:t>
      </w:r>
      <w:r>
        <w:rPr>
          <w:rFonts w:hint="eastAsia" w:ascii="宋体" w:hAnsi="宋体" w:cs="宋体"/>
          <w:szCs w:val="21"/>
          <w:lang w:eastAsia="zh-TW"/>
        </w:rPr>
        <w:t>本</w:t>
      </w:r>
      <w:r>
        <w:rPr>
          <w:rFonts w:hint="eastAsia" w:ascii="宋体" w:hAnsi="宋体" w:cs="宋体"/>
          <w:szCs w:val="21"/>
        </w:rPr>
        <w:t>”</w:t>
      </w:r>
      <w:r>
        <w:rPr>
          <w:rFonts w:hint="eastAsia" w:ascii="宋体" w:hAnsi="宋体" w:cs="宋体"/>
          <w:szCs w:val="21"/>
          <w:lang w:eastAsia="zh-TW"/>
        </w:rPr>
        <w:t>字样。</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rPr>
        <w:t>投标文件封装：</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rPr>
      </w:pPr>
      <w:r>
        <w:rPr>
          <w:rFonts w:hint="eastAsia" w:ascii="宋体" w:hAnsi="宋体" w:cs="宋体"/>
          <w:szCs w:val="21"/>
        </w:rPr>
        <w:t>清楚写明投标人名称和地址。</w:t>
      </w:r>
    </w:p>
    <w:p>
      <w:pPr>
        <w:numPr>
          <w:ilvl w:val="2"/>
          <w:numId w:val="18"/>
        </w:numPr>
        <w:tabs>
          <w:tab w:val="left" w:pos="851"/>
          <w:tab w:val="clear" w:pos="709"/>
        </w:tabs>
        <w:autoSpaceDE w:val="0"/>
        <w:autoSpaceDN w:val="0"/>
        <w:adjustRightInd w:val="0"/>
        <w:snapToGrid w:val="0"/>
        <w:spacing w:line="360" w:lineRule="auto"/>
        <w:ind w:left="868" w:right="315" w:rightChars="150" w:hanging="868"/>
        <w:jc w:val="left"/>
        <w:rPr>
          <w:rFonts w:ascii="宋体" w:hAnsi="宋体" w:cs="宋体"/>
          <w:szCs w:val="21"/>
        </w:rPr>
      </w:pPr>
      <w:r>
        <w:rPr>
          <w:rFonts w:hint="eastAsia" w:ascii="宋体" w:hAnsi="宋体" w:cs="宋体"/>
          <w:szCs w:val="21"/>
          <w:lang w:eastAsia="zh-TW"/>
        </w:rPr>
        <w:t>注明投标邀请中指明的项目名称、</w:t>
      </w:r>
      <w:r>
        <w:rPr>
          <w:rFonts w:hint="eastAsia" w:ascii="宋体" w:hAnsi="宋体" w:cs="宋体"/>
          <w:szCs w:val="21"/>
        </w:rPr>
        <w:t>项</w:t>
      </w:r>
      <w:r>
        <w:rPr>
          <w:rFonts w:hint="eastAsia" w:ascii="宋体" w:hAnsi="宋体" w:cs="宋体"/>
          <w:szCs w:val="21"/>
          <w:lang w:eastAsia="zh-TW"/>
        </w:rPr>
        <w:t>目编号、包组号（如有）和</w:t>
      </w:r>
      <w:r>
        <w:rPr>
          <w:rFonts w:hint="eastAsia" w:ascii="宋体" w:hAnsi="宋体"/>
          <w:szCs w:val="21"/>
        </w:rPr>
        <w:t>“</w:t>
      </w:r>
      <w:r>
        <w:rPr>
          <w:rFonts w:hint="eastAsia" w:ascii="宋体" w:hAnsi="宋体" w:cs="宋体"/>
          <w:szCs w:val="21"/>
          <w:lang w:eastAsia="zh-TW"/>
        </w:rPr>
        <w:t>在</w:t>
      </w:r>
      <w:r>
        <w:rPr>
          <w:rFonts w:ascii="宋体" w:hAnsi="宋体" w:cs="宋体"/>
          <w:szCs w:val="21"/>
        </w:rPr>
        <w:t>(</w:t>
      </w:r>
      <w:r>
        <w:rPr>
          <w:rFonts w:hint="eastAsia" w:ascii="宋体" w:hAnsi="宋体" w:cs="宋体"/>
          <w:szCs w:val="21"/>
          <w:u w:val="single"/>
        </w:rPr>
        <w:t>招标文件中规定的开标日期和时间</w:t>
      </w:r>
      <w:r>
        <w:rPr>
          <w:rFonts w:ascii="宋体" w:hAnsi="宋体" w:cs="宋体"/>
          <w:szCs w:val="21"/>
        </w:rPr>
        <w:t>)</w:t>
      </w:r>
      <w:r>
        <w:rPr>
          <w:rFonts w:hint="eastAsia" w:ascii="宋体" w:hAnsi="宋体" w:cs="宋体"/>
          <w:szCs w:val="21"/>
        </w:rPr>
        <w:t>之前不得启封”的</w:t>
      </w:r>
      <w:r>
        <w:rPr>
          <w:rFonts w:hint="eastAsia" w:ascii="宋体" w:hAnsi="宋体" w:cs="宋体"/>
          <w:szCs w:val="21"/>
          <w:lang w:eastAsia="zh-TW"/>
        </w:rPr>
        <w:t>字样。</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如果未按本须知</w:t>
      </w:r>
      <w:r>
        <w:rPr>
          <w:rFonts w:hint="eastAsia" w:ascii="宋体" w:hAnsi="宋体" w:cs="宋体"/>
          <w:szCs w:val="21"/>
        </w:rPr>
        <w:t>上款</w:t>
      </w:r>
      <w:r>
        <w:rPr>
          <w:rFonts w:hint="eastAsia" w:ascii="宋体" w:hAnsi="宋体" w:cs="宋体"/>
          <w:szCs w:val="21"/>
          <w:lang w:eastAsia="zh-TW"/>
        </w:rPr>
        <w:t>要求加写标记和</w:t>
      </w:r>
      <w:r>
        <w:rPr>
          <w:rFonts w:hint="eastAsia" w:ascii="宋体" w:hAnsi="宋体" w:cs="宋体"/>
          <w:szCs w:val="21"/>
        </w:rPr>
        <w:t>密封，</w:t>
      </w:r>
      <w:r>
        <w:rPr>
          <w:rFonts w:hint="eastAsia" w:ascii="宋体" w:hAnsi="宋体" w:cs="宋体"/>
          <w:szCs w:val="21"/>
          <w:lang w:eastAsia="zh-TW"/>
        </w:rPr>
        <w:t>对误投或提前启封概不负责</w:t>
      </w:r>
      <w:r>
        <w:rPr>
          <w:rFonts w:hint="eastAsia" w:ascii="宋体" w:hAnsi="宋体" w:cs="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5" w:name="_Toc371432361"/>
      <w:bookmarkStart w:id="56" w:name="_Toc19520"/>
      <w:r>
        <w:rPr>
          <w:rFonts w:hint="eastAsia" w:ascii="宋体" w:hAnsi="宋体"/>
          <w:b/>
          <w:bCs/>
          <w:szCs w:val="21"/>
        </w:rPr>
        <w:t>投标截止期</w:t>
      </w:r>
      <w:bookmarkEnd w:id="55"/>
      <w:bookmarkEnd w:id="5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投标人应在不迟于</w:t>
      </w:r>
      <w:r>
        <w:rPr>
          <w:rFonts w:hint="eastAsia" w:ascii="宋体" w:hAnsi="宋体" w:cs="宋体"/>
          <w:b/>
          <w:szCs w:val="21"/>
        </w:rPr>
        <w:t>须知前附表</w:t>
      </w:r>
      <w:r>
        <w:rPr>
          <w:rFonts w:hint="eastAsia" w:ascii="宋体" w:hAnsi="宋体" w:cs="宋体"/>
          <w:szCs w:val="21"/>
          <w:lang w:eastAsia="zh-TW"/>
        </w:rPr>
        <w:t>中规定的截止日期和时间将投标文件递交至采购单位</w:t>
      </w:r>
      <w:r>
        <w:rPr>
          <w:rFonts w:hint="eastAsia" w:ascii="宋体" w:hAnsi="宋体" w:cs="宋体"/>
          <w:szCs w:val="21"/>
        </w:rPr>
        <w:t>，</w:t>
      </w:r>
      <w:r>
        <w:rPr>
          <w:rFonts w:hint="eastAsia" w:ascii="宋体" w:hAnsi="宋体" w:cs="宋体"/>
          <w:szCs w:val="21"/>
          <w:lang w:eastAsia="zh-TW"/>
        </w:rPr>
        <w:t>递交地点应是</w:t>
      </w:r>
      <w:r>
        <w:rPr>
          <w:rFonts w:hint="eastAsia" w:ascii="宋体" w:hAnsi="宋体" w:cs="宋体"/>
          <w:b/>
          <w:szCs w:val="21"/>
          <w:lang w:eastAsia="zh-TW"/>
        </w:rPr>
        <w:t>须知前附表</w:t>
      </w:r>
      <w:r>
        <w:rPr>
          <w:rFonts w:hint="eastAsia" w:ascii="宋体" w:hAnsi="宋体" w:cs="宋体"/>
          <w:szCs w:val="21"/>
          <w:lang w:eastAsia="zh-TW"/>
        </w:rPr>
        <w:t>中指明的地址。</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cs="宋体"/>
          <w:szCs w:val="21"/>
        </w:rPr>
        <w:t>，</w:t>
      </w:r>
      <w:r>
        <w:rPr>
          <w:rFonts w:hint="eastAsia" w:ascii="宋体" w:hAnsi="宋体" w:cs="宋体"/>
          <w:szCs w:val="21"/>
          <w:lang w:eastAsia="zh-TW"/>
        </w:rPr>
        <w:t>招标采购单位和投标人受投标截止期制约的所有权利和义务均应延长至新的截止期。</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采购单位将拒绝在规定的</w:t>
      </w:r>
      <w:r>
        <w:rPr>
          <w:rFonts w:hint="eastAsia" w:ascii="宋体" w:hAnsi="宋体" w:cs="宋体"/>
          <w:szCs w:val="21"/>
        </w:rPr>
        <w:t>投标</w:t>
      </w:r>
      <w:r>
        <w:rPr>
          <w:rFonts w:hint="eastAsia" w:ascii="宋体" w:hAnsi="宋体" w:cs="宋体"/>
          <w:szCs w:val="21"/>
          <w:lang w:eastAsia="zh-TW"/>
        </w:rPr>
        <w:t>截止期后收到的任何投标文件。</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57" w:name="_Toc371432362"/>
      <w:bookmarkStart w:id="58" w:name="_Toc8146"/>
      <w:r>
        <w:rPr>
          <w:rFonts w:hint="eastAsia" w:ascii="宋体" w:hAnsi="宋体"/>
          <w:b/>
          <w:bCs/>
          <w:szCs w:val="21"/>
        </w:rPr>
        <w:t>投标文件的修改和撤回</w:t>
      </w:r>
      <w:bookmarkEnd w:id="57"/>
      <w:bookmarkEnd w:id="5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投标人在投标截止时间前，可以对所递交的投标文件进行补充、修改或者撤回，并书面通知招标采购单位。补充、修改的内容应当按招标文件要求签署、盖章，并作为投标文件的组成部分。在投标截止时间之后，投标人不得对其投标文件做任何修改和补充。</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59" w:name="_Toc371432363"/>
      <w:bookmarkStart w:id="60" w:name="_Toc31771"/>
      <w:r>
        <w:rPr>
          <w:rFonts w:hint="eastAsia" w:ascii="宋体" w:hAnsi="宋体"/>
          <w:b/>
          <w:sz w:val="28"/>
          <w:szCs w:val="28"/>
          <w:lang w:eastAsia="zh-TW"/>
        </w:rPr>
        <w:t>开标与评标</w:t>
      </w:r>
      <w:bookmarkEnd w:id="59"/>
      <w:bookmarkEnd w:id="60"/>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1" w:name="_Toc371432364"/>
      <w:bookmarkStart w:id="62" w:name="_Toc9075"/>
      <w:r>
        <w:rPr>
          <w:rFonts w:hint="eastAsia" w:ascii="宋体" w:hAnsi="宋体"/>
          <w:b/>
          <w:bCs/>
          <w:szCs w:val="21"/>
        </w:rPr>
        <w:t>开标</w:t>
      </w:r>
      <w:bookmarkEnd w:id="61"/>
      <w:bookmarkEnd w:id="6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采购</w:t>
      </w:r>
      <w:r>
        <w:rPr>
          <w:rFonts w:hint="eastAsia" w:ascii="宋体" w:hAnsi="宋体" w:cs="宋体"/>
          <w:szCs w:val="21"/>
        </w:rPr>
        <w:t>单位</w:t>
      </w:r>
      <w:r>
        <w:rPr>
          <w:rFonts w:hint="eastAsia" w:ascii="宋体" w:hAnsi="宋体" w:cs="宋体"/>
          <w:szCs w:val="21"/>
          <w:lang w:eastAsia="zh-TW"/>
        </w:rPr>
        <w:t>在投标邀请中规定的日期、时</w:t>
      </w:r>
      <w:r>
        <w:rPr>
          <w:rFonts w:hint="eastAsia" w:ascii="宋体" w:hAnsi="宋体" w:cs="宋体"/>
          <w:szCs w:val="21"/>
        </w:rPr>
        <w:t>间</w:t>
      </w:r>
      <w:r>
        <w:rPr>
          <w:rFonts w:hint="eastAsia" w:ascii="宋体" w:hAnsi="宋体" w:cs="宋体"/>
          <w:szCs w:val="21"/>
          <w:lang w:eastAsia="zh-TW"/>
        </w:rPr>
        <w:t>和地点组织公开开标。开标时邀请所有投标人代表参加。参加开标的代表应签名报到以证明其出席。</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开标时</w:t>
      </w:r>
      <w:r>
        <w:rPr>
          <w:rFonts w:hint="eastAsia" w:ascii="宋体" w:hAnsi="宋体" w:cs="宋体"/>
          <w:szCs w:val="21"/>
        </w:rPr>
        <w:t>，</w:t>
      </w:r>
      <w:r>
        <w:rPr>
          <w:rFonts w:hint="eastAsia" w:ascii="宋体" w:hAnsi="宋体" w:cs="宋体"/>
          <w:szCs w:val="21"/>
          <w:lang w:eastAsia="zh-TW"/>
        </w:rPr>
        <w:t>由按签到顺序递交投标文件的前三名投标人代表作为全体投标人推选的代表</w:t>
      </w:r>
      <w:r>
        <w:rPr>
          <w:rFonts w:hint="eastAsia" w:ascii="宋体" w:hAnsi="宋体" w:cs="宋体"/>
          <w:szCs w:val="21"/>
        </w:rPr>
        <w:t>就所有</w:t>
      </w:r>
      <w:r>
        <w:rPr>
          <w:rFonts w:hint="eastAsia" w:ascii="宋体" w:hAnsi="宋体" w:cs="宋体"/>
          <w:szCs w:val="21"/>
          <w:lang w:eastAsia="zh-TW"/>
        </w:rPr>
        <w:t>投标文件的密封情况</w:t>
      </w:r>
      <w:r>
        <w:rPr>
          <w:rFonts w:hint="eastAsia" w:ascii="宋体" w:hAnsi="宋体" w:cs="宋体"/>
          <w:szCs w:val="21"/>
        </w:rPr>
        <w:t>进行检查</w:t>
      </w:r>
      <w:r>
        <w:rPr>
          <w:rFonts w:hint="eastAsia" w:ascii="宋体" w:hAnsi="宋体" w:cs="宋体"/>
          <w:szCs w:val="21"/>
          <w:lang w:eastAsia="zh-TW"/>
        </w:rPr>
        <w:t>，经确认无误后由招标工作人员当众拆封，宣读投标人名称、投标价格、价格折扣、投标文件的其他主要内容和招标文件允许提供的备选投标方案</w:t>
      </w:r>
      <w:r>
        <w:rPr>
          <w:rFonts w:hint="eastAsia" w:ascii="宋体" w:hAnsi="宋体" w:cs="宋体"/>
          <w:szCs w:val="21"/>
        </w:rPr>
        <w:t>，</w:t>
      </w:r>
      <w:r>
        <w:rPr>
          <w:rFonts w:hint="eastAsia" w:ascii="宋体" w:hAnsi="宋体" w:cs="宋体"/>
          <w:szCs w:val="21"/>
          <w:lang w:eastAsia="zh-TW"/>
        </w:rPr>
        <w:t>以及采购单位认为合适的其他内容。</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在开标时</w:t>
      </w:r>
      <w:r>
        <w:rPr>
          <w:rFonts w:hint="eastAsia" w:ascii="宋体" w:hAnsi="宋体" w:cs="宋体"/>
          <w:szCs w:val="21"/>
        </w:rPr>
        <w:t>，未宣读的投标价格、价格折扣和招标文件允许提供的备选投标方案等实质内容，</w:t>
      </w:r>
      <w:r>
        <w:rPr>
          <w:rFonts w:hint="eastAsia" w:ascii="宋体" w:hAnsi="宋体" w:cs="宋体"/>
          <w:szCs w:val="21"/>
          <w:lang w:eastAsia="zh-TW"/>
        </w:rPr>
        <w:t>评标时不予</w:t>
      </w:r>
      <w:r>
        <w:rPr>
          <w:rFonts w:hint="eastAsia" w:ascii="宋体" w:hAnsi="宋体" w:cs="宋体"/>
          <w:szCs w:val="21"/>
        </w:rPr>
        <w:t>承认</w:t>
      </w:r>
      <w:r>
        <w:rPr>
          <w:rFonts w:hint="eastAsia" w:ascii="宋体" w:hAnsi="宋体" w:cs="宋体"/>
          <w:szCs w:val="21"/>
          <w:lang w:eastAsia="zh-TW"/>
        </w:rPr>
        <w:t>。</w:t>
      </w:r>
    </w:p>
    <w:p>
      <w:pPr>
        <w:numPr>
          <w:ilvl w:val="1"/>
          <w:numId w:val="18"/>
        </w:numPr>
        <w:autoSpaceDE w:val="0"/>
        <w:autoSpaceDN w:val="0"/>
        <w:adjustRightInd w:val="0"/>
        <w:snapToGrid w:val="0"/>
        <w:spacing w:line="360" w:lineRule="auto"/>
        <w:ind w:right="315" w:rightChars="150"/>
        <w:rPr>
          <w:rFonts w:ascii="宋体" w:hAnsi="宋体"/>
          <w:szCs w:val="21"/>
        </w:rPr>
      </w:pPr>
      <w:r>
        <w:rPr>
          <w:rFonts w:hint="eastAsia" w:ascii="宋体" w:hAnsi="宋体" w:cs="宋体"/>
          <w:szCs w:val="21"/>
          <w:lang w:eastAsia="zh-TW"/>
        </w:rPr>
        <w:t>采购单位将做开标记录</w:t>
      </w:r>
      <w:r>
        <w:rPr>
          <w:rFonts w:hint="eastAsia" w:ascii="宋体" w:hAnsi="宋体" w:cs="宋体"/>
          <w:szCs w:val="21"/>
        </w:rPr>
        <w:t>，开标记录由投标人代表和有关人员共同签字确认</w:t>
      </w:r>
      <w:r>
        <w:rPr>
          <w:rFonts w:hint="eastAsia" w:ascii="宋体" w:hAnsi="宋体" w:cs="宋体"/>
          <w:szCs w:val="21"/>
          <w:lang w:eastAsia="zh-TW"/>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3" w:name="_Toc371432365"/>
      <w:bookmarkStart w:id="64" w:name="_Toc30014"/>
      <w:r>
        <w:rPr>
          <w:rFonts w:hint="eastAsia" w:ascii="宋体" w:hAnsi="宋体"/>
          <w:b/>
          <w:bCs/>
          <w:szCs w:val="21"/>
        </w:rPr>
        <w:t>评标委员会和评标方法</w:t>
      </w:r>
      <w:bookmarkEnd w:id="63"/>
      <w:bookmarkEnd w:id="64"/>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评标由依照政府采购法律、法规、规章、政策的规定，组建的评标委员会负责。评标委员会成员按政府采购规定由采购人代表和</w:t>
      </w:r>
      <w:r>
        <w:rPr>
          <w:rFonts w:hint="eastAsia" w:ascii="宋体" w:hAnsi="宋体"/>
          <w:bCs/>
          <w:color w:val="000000"/>
          <w:szCs w:val="21"/>
        </w:rPr>
        <w:t>江海区自然资源局政府采购工作领导小组人员</w:t>
      </w:r>
      <w:r>
        <w:rPr>
          <w:rFonts w:hint="eastAsia" w:ascii="宋体" w:hAnsi="宋体" w:cs="宋体"/>
          <w:szCs w:val="21"/>
          <w:lang w:eastAsia="zh-TW"/>
        </w:rPr>
        <w:t>组成，采购人代表人数、专家人数构成将按照</w:t>
      </w:r>
      <w:r>
        <w:rPr>
          <w:rFonts w:hint="eastAsia" w:ascii="宋体" w:hAnsi="宋体" w:cs="宋体"/>
          <w:b/>
          <w:szCs w:val="21"/>
          <w:lang w:eastAsia="zh-TW"/>
        </w:rPr>
        <w:t>须知前附表</w:t>
      </w:r>
      <w:r>
        <w:rPr>
          <w:rFonts w:hint="eastAsia" w:ascii="宋体" w:hAnsi="宋体" w:cs="宋体"/>
          <w:szCs w:val="21"/>
          <w:lang w:eastAsia="zh-TW"/>
        </w:rPr>
        <w:t>中确定。</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评标委员会名单在</w:t>
      </w:r>
      <w:r>
        <w:rPr>
          <w:rFonts w:hint="eastAsia" w:ascii="宋体" w:hAnsi="宋体" w:cs="宋体"/>
          <w:szCs w:val="21"/>
        </w:rPr>
        <w:t>评审</w:t>
      </w:r>
      <w:r>
        <w:rPr>
          <w:rFonts w:hint="eastAsia" w:ascii="宋体" w:hAnsi="宋体" w:cs="宋体"/>
          <w:szCs w:val="21"/>
          <w:lang w:eastAsia="zh-TW"/>
        </w:rPr>
        <w:t>结果确定前严格保密。评审专家有下列情形之一的，受到邀请应主动提出回避，采购当事人也可以要求该评审专家回避：</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参与招标文件论证的；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参加采购活动前3年内与供应商存在劳动关系；</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参加采购活动前3年内担任供应商的董事、监事；</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参加采购活动前3年内是供应商的控股股东或者实际控制人；</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与供应商的法定代表人或者负责人有夫妻、直系血亲、三代以内旁系血亲或者近姻亲关系；</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cs="宋体"/>
          <w:szCs w:val="21"/>
          <w:lang w:eastAsia="zh-TW"/>
        </w:rPr>
      </w:pPr>
      <w:r>
        <w:rPr>
          <w:rFonts w:hint="eastAsia" w:ascii="宋体" w:hAnsi="宋体" w:cs="宋体"/>
          <w:szCs w:val="21"/>
          <w:lang w:eastAsia="zh-TW"/>
        </w:rPr>
        <w:t>与供应商有其他可能影响政府采购活动公平、公正进行的关系。</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评标委员会和有关工作人员不得透露对投标文件的评审和比较以及与评标有关的其他情况。</w:t>
      </w:r>
    </w:p>
    <w:p>
      <w:pPr>
        <w:numPr>
          <w:ilvl w:val="1"/>
          <w:numId w:val="18"/>
        </w:numPr>
        <w:autoSpaceDE w:val="0"/>
        <w:autoSpaceDN w:val="0"/>
        <w:adjustRightInd w:val="0"/>
        <w:snapToGrid w:val="0"/>
        <w:spacing w:line="360" w:lineRule="auto"/>
        <w:ind w:right="315" w:rightChars="150"/>
        <w:rPr>
          <w:rFonts w:ascii="宋体" w:hAnsi="宋体" w:cs="宋体"/>
          <w:szCs w:val="21"/>
          <w:lang w:eastAsia="zh-TW"/>
        </w:rPr>
      </w:pPr>
      <w:r>
        <w:rPr>
          <w:rFonts w:hint="eastAsia" w:ascii="宋体" w:hAnsi="宋体" w:cs="宋体"/>
          <w:szCs w:val="21"/>
          <w:lang w:eastAsia="zh-TW"/>
        </w:rPr>
        <w:t>评标委员会将按照</w:t>
      </w:r>
      <w:r>
        <w:rPr>
          <w:rFonts w:hint="eastAsia" w:ascii="宋体" w:hAnsi="宋体" w:cs="宋体"/>
          <w:b/>
          <w:szCs w:val="21"/>
          <w:lang w:eastAsia="zh-TW"/>
        </w:rPr>
        <w:t>须知前附表</w:t>
      </w:r>
      <w:r>
        <w:rPr>
          <w:rFonts w:hint="eastAsia" w:ascii="宋体" w:hAnsi="宋体" w:cs="宋体"/>
          <w:szCs w:val="21"/>
          <w:lang w:eastAsia="zh-TW"/>
        </w:rPr>
        <w:t>中确定的评标方法</w:t>
      </w:r>
      <w:r>
        <w:rPr>
          <w:rFonts w:hint="eastAsia" w:ascii="宋体" w:hAnsi="宋体" w:cs="宋体"/>
          <w:szCs w:val="21"/>
        </w:rPr>
        <w:t>和</w:t>
      </w:r>
      <w:r>
        <w:rPr>
          <w:rFonts w:hint="eastAsia" w:ascii="宋体" w:hAnsi="宋体" w:cs="宋体"/>
          <w:szCs w:val="21"/>
          <w:lang w:eastAsia="zh-TW"/>
        </w:rPr>
        <w:t>本招标文件第五章中规定</w:t>
      </w:r>
      <w:r>
        <w:rPr>
          <w:rFonts w:hint="eastAsia" w:ascii="宋体" w:hAnsi="宋体" w:cs="宋体"/>
          <w:szCs w:val="21"/>
        </w:rPr>
        <w:t>的评标</w:t>
      </w:r>
      <w:r>
        <w:rPr>
          <w:rFonts w:hint="eastAsia" w:ascii="宋体" w:hAnsi="宋体" w:cs="宋体"/>
          <w:szCs w:val="21"/>
          <w:lang w:eastAsia="zh-TW"/>
        </w:rPr>
        <w:t>标准进行评标。</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5" w:name="_Toc29462"/>
      <w:bookmarkStart w:id="66" w:name="_Toc371432366"/>
      <w:r>
        <w:rPr>
          <w:rFonts w:hint="eastAsia" w:ascii="宋体" w:hAnsi="宋体"/>
          <w:b/>
          <w:bCs/>
          <w:szCs w:val="21"/>
        </w:rPr>
        <w:t>投标文件的初审</w:t>
      </w:r>
      <w:bookmarkEnd w:id="65"/>
      <w:bookmarkEnd w:id="6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评标委员会将</w:t>
      </w:r>
      <w:r>
        <w:rPr>
          <w:rFonts w:hint="eastAsia" w:ascii="宋体" w:hAnsi="宋体" w:cs="宋体"/>
          <w:szCs w:val="21"/>
        </w:rPr>
        <w:t>依法</w:t>
      </w:r>
      <w:r>
        <w:rPr>
          <w:rFonts w:hint="eastAsia" w:ascii="宋体" w:hAnsi="宋体" w:cs="宋体"/>
          <w:szCs w:val="21"/>
          <w:lang w:eastAsia="zh-TW"/>
        </w:rPr>
        <w:t>审查投标文件是否完整、文件签署是否合格、是否按招标文件的规定密封和标记、有无计算</w:t>
      </w:r>
      <w:r>
        <w:rPr>
          <w:rFonts w:hint="eastAsia" w:ascii="宋体" w:hAnsi="宋体" w:cs="宋体"/>
          <w:szCs w:val="21"/>
        </w:rPr>
        <w:t>上</w:t>
      </w:r>
      <w:r>
        <w:rPr>
          <w:rFonts w:hint="eastAsia" w:ascii="宋体" w:hAnsi="宋体" w:cs="宋体"/>
          <w:szCs w:val="21"/>
          <w:lang w:eastAsia="zh-TW"/>
        </w:rPr>
        <w:t>的错误等。</w:t>
      </w:r>
    </w:p>
    <w:p>
      <w:pPr>
        <w:numPr>
          <w:ilvl w:val="1"/>
          <w:numId w:val="18"/>
        </w:numPr>
        <w:autoSpaceDE w:val="0"/>
        <w:autoSpaceDN w:val="0"/>
        <w:adjustRightInd w:val="0"/>
        <w:snapToGrid w:val="0"/>
        <w:spacing w:line="360" w:lineRule="auto"/>
        <w:ind w:right="315" w:rightChars="150"/>
        <w:rPr>
          <w:rFonts w:ascii="宋体" w:hAnsi="宋体" w:cs="宋体"/>
          <w:szCs w:val="21"/>
        </w:rPr>
      </w:pPr>
      <w:r>
        <w:rPr>
          <w:rFonts w:hint="eastAsia" w:ascii="宋体" w:hAnsi="宋体" w:cs="宋体"/>
          <w:szCs w:val="21"/>
          <w:lang w:eastAsia="zh-TW"/>
        </w:rPr>
        <w:t>开标时，投标文件中开标一览表(报价表)内容与投标文件中明细表内容不一致的，以开标一览表(报价表)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cs="宋体"/>
          <w:szCs w:val="21"/>
        </w:rPr>
        <w:t>。如果投标人不接受对其错误的更正，其投标将被视为无效投标或确定为投标无效。</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对于投标文件中不构成实质性偏差的不正规、不一致或不规则</w:t>
      </w:r>
      <w:r>
        <w:rPr>
          <w:rFonts w:hint="eastAsia" w:ascii="宋体" w:hAnsi="宋体" w:cs="宋体"/>
          <w:szCs w:val="21"/>
        </w:rPr>
        <w:t>，</w:t>
      </w:r>
      <w:r>
        <w:rPr>
          <w:rFonts w:hint="eastAsia" w:ascii="宋体" w:hAnsi="宋体" w:cs="宋体"/>
          <w:szCs w:val="21"/>
          <w:lang w:eastAsia="zh-TW"/>
        </w:rPr>
        <w:t>评标委员会可以接受</w:t>
      </w:r>
      <w:r>
        <w:rPr>
          <w:rFonts w:hint="eastAsia" w:ascii="宋体" w:hAnsi="宋体" w:cs="宋体"/>
          <w:szCs w:val="21"/>
        </w:rPr>
        <w:t>，</w:t>
      </w:r>
      <w:r>
        <w:rPr>
          <w:rFonts w:hint="eastAsia" w:ascii="宋体" w:hAnsi="宋体" w:cs="宋体"/>
          <w:szCs w:val="21"/>
          <w:lang w:eastAsia="zh-TW"/>
        </w:rPr>
        <w:t>但这种接受不能损害或影响任何投标人的相对排序。</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在详细评标之前</w:t>
      </w:r>
      <w:r>
        <w:rPr>
          <w:rFonts w:hint="eastAsia" w:ascii="宋体" w:hAnsi="宋体" w:cs="宋体"/>
          <w:szCs w:val="21"/>
        </w:rPr>
        <w:t>，</w:t>
      </w:r>
      <w:r>
        <w:rPr>
          <w:rFonts w:hint="eastAsia" w:ascii="宋体" w:hAnsi="宋体" w:cs="宋体"/>
          <w:szCs w:val="21"/>
          <w:lang w:eastAsia="zh-TW"/>
        </w:rPr>
        <w:t>评标委员会要审查每份投标文件是否实质上响应了招标文件的要求。实质上</w:t>
      </w:r>
      <w:r>
        <w:rPr>
          <w:rFonts w:hint="eastAsia" w:ascii="宋体" w:hAnsi="宋体" w:cs="宋体"/>
          <w:szCs w:val="21"/>
        </w:rPr>
        <w:t>响</w:t>
      </w:r>
      <w:r>
        <w:rPr>
          <w:rFonts w:hint="eastAsia" w:ascii="宋体" w:hAnsi="宋体" w:cs="宋体"/>
          <w:szCs w:val="21"/>
          <w:lang w:eastAsia="zh-TW"/>
        </w:rPr>
        <w:t>应的投标</w:t>
      </w:r>
      <w:r>
        <w:rPr>
          <w:rFonts w:hint="eastAsia" w:ascii="宋体" w:hAnsi="宋体" w:cs="宋体"/>
          <w:szCs w:val="21"/>
        </w:rPr>
        <w:t>文件</w:t>
      </w:r>
      <w:r>
        <w:rPr>
          <w:rFonts w:hint="eastAsia" w:ascii="宋体" w:hAnsi="宋体" w:cs="宋体"/>
          <w:szCs w:val="21"/>
          <w:lang w:eastAsia="zh-TW"/>
        </w:rPr>
        <w:t>应该是与招标文件要求的关键条款</w:t>
      </w:r>
      <w:r>
        <w:rPr>
          <w:rFonts w:hint="eastAsia" w:ascii="宋体" w:hAnsi="宋体" w:cs="宋体"/>
          <w:szCs w:val="21"/>
        </w:rPr>
        <w:t>、</w:t>
      </w:r>
      <w:r>
        <w:rPr>
          <w:rFonts w:hint="eastAsia" w:ascii="宋体" w:hAnsi="宋体" w:cs="宋体"/>
          <w:szCs w:val="21"/>
          <w:lang w:eastAsia="zh-TW"/>
        </w:rPr>
        <w:t>条件和规格相符</w:t>
      </w:r>
      <w:r>
        <w:rPr>
          <w:rFonts w:hint="eastAsia" w:ascii="宋体" w:hAnsi="宋体" w:cs="宋体"/>
          <w:szCs w:val="21"/>
        </w:rPr>
        <w:t>或优于，</w:t>
      </w:r>
      <w:r>
        <w:rPr>
          <w:rFonts w:hint="eastAsia" w:ascii="宋体" w:hAnsi="宋体" w:cs="宋体"/>
          <w:szCs w:val="21"/>
          <w:lang w:eastAsia="zh-TW"/>
        </w:rPr>
        <w:t>没有</w:t>
      </w:r>
      <w:r>
        <w:rPr>
          <w:rFonts w:hint="eastAsia" w:ascii="宋体" w:hAnsi="宋体" w:cs="宋体"/>
          <w:szCs w:val="21"/>
        </w:rPr>
        <w:t>实质</w:t>
      </w:r>
      <w:r>
        <w:rPr>
          <w:rFonts w:hint="eastAsia" w:ascii="宋体" w:hAnsi="宋体" w:cs="宋体"/>
          <w:szCs w:val="21"/>
          <w:lang w:eastAsia="zh-TW"/>
        </w:rPr>
        <w:t>偏离的投标</w:t>
      </w:r>
      <w:r>
        <w:rPr>
          <w:rFonts w:hint="eastAsia" w:ascii="宋体" w:hAnsi="宋体" w:cs="宋体"/>
          <w:szCs w:val="21"/>
        </w:rPr>
        <w:t>文件</w:t>
      </w:r>
      <w:r>
        <w:rPr>
          <w:rFonts w:hint="eastAsia" w:ascii="宋体" w:hAnsi="宋体" w:cs="宋体"/>
          <w:szCs w:val="21"/>
          <w:lang w:eastAsia="zh-TW"/>
        </w:rPr>
        <w:t>。评标委员会决定投标的响应性只根据投标</w:t>
      </w:r>
      <w:r>
        <w:rPr>
          <w:rFonts w:hint="eastAsia" w:ascii="宋体" w:hAnsi="宋体" w:cs="宋体"/>
          <w:szCs w:val="21"/>
        </w:rPr>
        <w:t>文件</w:t>
      </w:r>
      <w:r>
        <w:rPr>
          <w:rFonts w:hint="eastAsia" w:ascii="宋体" w:hAnsi="宋体" w:cs="宋体"/>
          <w:szCs w:val="21"/>
          <w:lang w:eastAsia="zh-TW"/>
        </w:rPr>
        <w:t>本身的真实无误的内容</w:t>
      </w:r>
      <w:r>
        <w:rPr>
          <w:rFonts w:hint="eastAsia" w:ascii="宋体" w:hAnsi="宋体" w:cs="宋体"/>
          <w:szCs w:val="21"/>
        </w:rPr>
        <w:t>，</w:t>
      </w:r>
      <w:r>
        <w:rPr>
          <w:rFonts w:hint="eastAsia" w:ascii="宋体" w:hAnsi="宋体" w:cs="宋体"/>
          <w:szCs w:val="21"/>
          <w:lang w:eastAsia="zh-TW"/>
        </w:rPr>
        <w:t>而不依据外部的证据</w:t>
      </w:r>
      <w:r>
        <w:rPr>
          <w:rFonts w:hint="eastAsia" w:ascii="宋体" w:hAnsi="宋体" w:cs="宋体"/>
          <w:szCs w:val="21"/>
        </w:rPr>
        <w:t>，</w:t>
      </w:r>
      <w:r>
        <w:rPr>
          <w:rFonts w:hint="eastAsia" w:ascii="宋体" w:hAnsi="宋体" w:cs="宋体"/>
          <w:szCs w:val="21"/>
          <w:lang w:eastAsia="zh-TW"/>
        </w:rPr>
        <w:t>但投标有不真实不正确的内容时除外。</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cs="宋体"/>
          <w:szCs w:val="21"/>
          <w:lang w:eastAsia="zh-TW"/>
        </w:rPr>
        <w:t>实质上没有响应招标文件要求的投标将</w:t>
      </w:r>
      <w:r>
        <w:rPr>
          <w:rFonts w:hint="eastAsia" w:ascii="宋体" w:hAnsi="宋体" w:cs="宋体"/>
          <w:szCs w:val="21"/>
        </w:rPr>
        <w:t>被视为无效投标</w:t>
      </w:r>
      <w:r>
        <w:rPr>
          <w:rFonts w:hint="eastAsia" w:ascii="宋体" w:hAnsi="宋体" w:cs="宋体"/>
          <w:szCs w:val="21"/>
          <w:lang w:eastAsia="zh-TW"/>
        </w:rPr>
        <w:t>。投标人不得通过修正或撤销不合要求的偏离或保留从而使其投标成为实质上响应的投标。</w:t>
      </w:r>
    </w:p>
    <w:p>
      <w:pPr>
        <w:numPr>
          <w:ilvl w:val="2"/>
          <w:numId w:val="18"/>
        </w:numPr>
        <w:tabs>
          <w:tab w:val="left" w:pos="851"/>
        </w:tabs>
        <w:autoSpaceDE w:val="0"/>
        <w:autoSpaceDN w:val="0"/>
        <w:adjustRightInd w:val="0"/>
        <w:snapToGrid w:val="0"/>
        <w:spacing w:line="360" w:lineRule="auto"/>
        <w:ind w:left="851" w:right="315" w:rightChars="150" w:hanging="851"/>
        <w:jc w:val="left"/>
        <w:rPr>
          <w:rFonts w:ascii="宋体" w:hAnsi="宋体" w:cs="宋体"/>
          <w:szCs w:val="21"/>
          <w:lang w:eastAsia="zh-TW"/>
        </w:rPr>
      </w:pPr>
      <w:r>
        <w:rPr>
          <w:rFonts w:hint="eastAsia" w:ascii="宋体" w:hAnsi="宋体" w:cs="宋体"/>
          <w:szCs w:val="21"/>
          <w:lang w:eastAsia="zh-TW"/>
        </w:rPr>
        <w:t xml:space="preserve">在资格性审查、符合性检查时，未能通过资格性、符合性审查被认定为无效投标，具体条款详见招标文件第五章《资格、符合性评审条款》。  </w:t>
      </w:r>
    </w:p>
    <w:p>
      <w:pPr>
        <w:numPr>
          <w:ilvl w:val="2"/>
          <w:numId w:val="18"/>
        </w:numPr>
        <w:tabs>
          <w:tab w:val="left" w:pos="851"/>
          <w:tab w:val="clear" w:pos="709"/>
        </w:tabs>
        <w:autoSpaceDE w:val="0"/>
        <w:autoSpaceDN w:val="0"/>
        <w:adjustRightInd w:val="0"/>
        <w:snapToGrid w:val="0"/>
        <w:spacing w:line="360" w:lineRule="auto"/>
        <w:ind w:left="868" w:right="315" w:rightChars="150" w:hanging="868"/>
        <w:jc w:val="left"/>
        <w:rPr>
          <w:rFonts w:ascii="宋体" w:hAnsi="宋体" w:cs="宋体"/>
          <w:szCs w:val="21"/>
          <w:lang w:eastAsia="zh-TW"/>
        </w:rPr>
      </w:pPr>
      <w:r>
        <w:rPr>
          <w:rFonts w:hint="eastAsia" w:ascii="宋体" w:hAnsi="宋体" w:cs="宋体"/>
          <w:szCs w:val="21"/>
          <w:lang w:eastAsia="zh-TW"/>
        </w:rPr>
        <w:t>评标委员会对各投标人进行资格性和符合性审查过程中，对初步被认定为初审不合格或无效投标者应实行及时告知，由评标委员会主任或采购人代表将集体意见现场及时告知投标当事人，以让其核证、澄清事实。</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7" w:name="_Toc371432367"/>
      <w:bookmarkStart w:id="68" w:name="_Toc32729"/>
      <w:r>
        <w:rPr>
          <w:rFonts w:hint="eastAsia" w:ascii="宋体" w:hAnsi="宋体"/>
          <w:b/>
          <w:bCs/>
          <w:szCs w:val="21"/>
        </w:rPr>
        <w:t>投标文件的澄清</w:t>
      </w:r>
      <w:bookmarkEnd w:id="67"/>
      <w:bookmarkEnd w:id="68"/>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szCs w:val="21"/>
        </w:rPr>
        <w:t>不得超出投标文件的范围或者改变投标文件的实质性内容。</w:t>
      </w:r>
      <w:r>
        <w:rPr>
          <w:rFonts w:hint="eastAsia" w:ascii="宋体" w:hAnsi="宋体" w:cs="宋体"/>
          <w:szCs w:val="21"/>
          <w:lang w:eastAsia="zh-TW"/>
        </w:rPr>
        <w:t>投标人的澄清、说明或者补正应当采用书面形式</w:t>
      </w:r>
      <w:r>
        <w:rPr>
          <w:rFonts w:hint="eastAsia" w:ascii="宋体" w:hAnsi="宋体" w:cs="宋体"/>
          <w:szCs w:val="21"/>
        </w:rPr>
        <w:t>，</w:t>
      </w:r>
      <w:r>
        <w:rPr>
          <w:rFonts w:hint="eastAsia" w:ascii="宋体" w:hAnsi="宋体" w:cs="宋体"/>
          <w:szCs w:val="21"/>
          <w:lang w:eastAsia="zh-TW"/>
        </w:rPr>
        <w:t>由其授权的代表签字</w:t>
      </w:r>
      <w:r>
        <w:rPr>
          <w:rFonts w:hint="eastAsia" w:ascii="宋体" w:hAnsi="宋体" w:cs="宋体"/>
          <w:szCs w:val="21"/>
        </w:rPr>
        <w:t>或盖章</w:t>
      </w:r>
      <w:r>
        <w:rPr>
          <w:rFonts w:hint="eastAsia" w:ascii="宋体" w:hAnsi="宋体" w:cs="宋体"/>
          <w:szCs w:val="21"/>
          <w:lang w:eastAsia="zh-TW"/>
        </w:rPr>
        <w:t>，并不得超出投标文件的范围或者改变投标文件的实质性内容</w:t>
      </w:r>
      <w:r>
        <w:rPr>
          <w:rFonts w:hint="eastAsia" w:ascii="宋体" w:hAnsi="宋体" w:cs="宋体"/>
          <w:szCs w:val="21"/>
        </w:rPr>
        <w:t>。</w:t>
      </w:r>
      <w:r>
        <w:rPr>
          <w:rFonts w:hint="eastAsia" w:ascii="宋体" w:hAnsi="宋体" w:cs="宋体"/>
          <w:szCs w:val="21"/>
          <w:lang w:eastAsia="zh-TW"/>
        </w:rPr>
        <w:t>有关澄清的答复均应由投标人的法定代表人或授权代表签字</w:t>
      </w:r>
      <w:r>
        <w:rPr>
          <w:rFonts w:hint="eastAsia" w:ascii="宋体" w:hAnsi="宋体" w:cs="宋体"/>
          <w:szCs w:val="21"/>
        </w:rPr>
        <w:t>或盖章</w:t>
      </w:r>
      <w:r>
        <w:rPr>
          <w:rFonts w:hint="eastAsia" w:ascii="宋体" w:hAnsi="宋体" w:cs="宋体"/>
          <w:szCs w:val="21"/>
          <w:lang w:eastAsia="zh-TW"/>
        </w:rPr>
        <w:t>的书面形式作出。</w:t>
      </w:r>
    </w:p>
    <w:p>
      <w:pPr>
        <w:numPr>
          <w:ilvl w:val="1"/>
          <w:numId w:val="18"/>
        </w:numPr>
        <w:autoSpaceDE w:val="0"/>
        <w:autoSpaceDN w:val="0"/>
        <w:adjustRightInd w:val="0"/>
        <w:snapToGrid w:val="0"/>
        <w:spacing w:line="360" w:lineRule="auto"/>
        <w:ind w:right="315" w:rightChars="150"/>
        <w:jc w:val="left"/>
        <w:rPr>
          <w:rFonts w:ascii="宋体" w:hAnsi="宋体" w:cs="宋体"/>
          <w:szCs w:val="21"/>
          <w:lang w:eastAsia="zh-TW"/>
        </w:rPr>
      </w:pPr>
      <w:r>
        <w:rPr>
          <w:rFonts w:hint="eastAsia" w:ascii="宋体" w:hAnsi="宋体" w:cs="宋体"/>
          <w:szCs w:val="21"/>
          <w:lang w:eastAsia="zh-TW"/>
        </w:rPr>
        <w:t>投标人的澄清文件是其投标文件的组成部分。</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69" w:name="_Toc26336"/>
      <w:bookmarkStart w:id="70" w:name="_Toc371432368"/>
      <w:r>
        <w:rPr>
          <w:rFonts w:hint="eastAsia" w:ascii="宋体" w:hAnsi="宋体"/>
          <w:b/>
          <w:bCs/>
          <w:szCs w:val="21"/>
        </w:rPr>
        <w:t>投标文件详细评价</w:t>
      </w:r>
      <w:bookmarkEnd w:id="69"/>
      <w:bookmarkEnd w:id="70"/>
    </w:p>
    <w:p>
      <w:pPr>
        <w:numPr>
          <w:ilvl w:val="1"/>
          <w:numId w:val="18"/>
        </w:numPr>
        <w:autoSpaceDE w:val="0"/>
        <w:autoSpaceDN w:val="0"/>
        <w:adjustRightInd w:val="0"/>
        <w:snapToGrid w:val="0"/>
        <w:spacing w:line="360" w:lineRule="auto"/>
        <w:ind w:right="315" w:rightChars="150"/>
        <w:rPr>
          <w:rFonts w:ascii="宋体" w:hAnsi="宋体" w:cs="黑体"/>
          <w:b/>
          <w:bCs/>
          <w:szCs w:val="21"/>
        </w:rPr>
      </w:pPr>
      <w:r>
        <w:rPr>
          <w:rFonts w:hint="eastAsia" w:ascii="宋体" w:hAnsi="宋体"/>
          <w:szCs w:val="21"/>
        </w:rPr>
        <w:t>评</w:t>
      </w:r>
      <w:r>
        <w:rPr>
          <w:rFonts w:hint="eastAsia" w:ascii="宋体" w:hAnsi="宋体" w:cs="宋体"/>
          <w:szCs w:val="21"/>
          <w:lang w:eastAsia="zh-TW"/>
        </w:rPr>
        <w:t>标委员会将</w:t>
      </w:r>
      <w:r>
        <w:rPr>
          <w:rFonts w:hint="eastAsia" w:ascii="宋体" w:hAnsi="宋体" w:cs="宋体"/>
          <w:szCs w:val="21"/>
        </w:rPr>
        <w:t>对通过</w:t>
      </w:r>
      <w:r>
        <w:rPr>
          <w:rFonts w:hint="eastAsia" w:ascii="宋体" w:hAnsi="宋体" w:cs="宋体"/>
          <w:szCs w:val="21"/>
          <w:lang w:eastAsia="zh-TW"/>
        </w:rPr>
        <w:t>资格性、符合性审查的投标</w:t>
      </w:r>
      <w:r>
        <w:rPr>
          <w:rFonts w:hint="eastAsia" w:ascii="宋体" w:hAnsi="宋体" w:cs="宋体"/>
          <w:szCs w:val="21"/>
        </w:rPr>
        <w:t>文件</w:t>
      </w:r>
      <w:r>
        <w:rPr>
          <w:rFonts w:hint="eastAsia" w:ascii="宋体" w:hAnsi="宋体" w:cs="宋体"/>
          <w:szCs w:val="21"/>
          <w:lang w:eastAsia="zh-TW"/>
        </w:rPr>
        <w:t>进行</w:t>
      </w:r>
      <w:r>
        <w:rPr>
          <w:rFonts w:hint="eastAsia" w:ascii="宋体" w:hAnsi="宋体" w:cs="宋体"/>
          <w:szCs w:val="21"/>
        </w:rPr>
        <w:t>详细</w:t>
      </w:r>
      <w:r>
        <w:rPr>
          <w:rFonts w:hint="eastAsia" w:ascii="宋体" w:hAnsi="宋体" w:cs="宋体"/>
          <w:szCs w:val="21"/>
          <w:lang w:eastAsia="zh-TW"/>
        </w:rPr>
        <w:t>评价和比较。</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1" w:name="_Toc371432369"/>
      <w:bookmarkStart w:id="72" w:name="_Toc26953"/>
      <w:r>
        <w:rPr>
          <w:rFonts w:hint="eastAsia" w:ascii="宋体" w:hAnsi="宋体"/>
          <w:b/>
          <w:bCs/>
          <w:szCs w:val="21"/>
        </w:rPr>
        <w:t>定标原则与授标</w:t>
      </w:r>
      <w:bookmarkEnd w:id="71"/>
      <w:bookmarkEnd w:id="7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评标委员会按照招标文件确定的评标方法、步骤、标准，对投标文件进行评审，提出书面评标报告。</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采用综合评分法的，按评审后得分由高到低顺序排列。得分相同的，按投标报价由低到高顺序排列。得分且投标报价相同的，按技术指标优劣顺序排列。除</w:t>
      </w:r>
      <w:r>
        <w:rPr>
          <w:rFonts w:hint="eastAsia" w:ascii="宋体" w:hAnsi="宋体"/>
          <w:b/>
          <w:szCs w:val="21"/>
        </w:rPr>
        <w:t>须知前附表</w:t>
      </w:r>
      <w:r>
        <w:rPr>
          <w:rFonts w:hint="eastAsia" w:ascii="宋体" w:hAnsi="宋体"/>
          <w:szCs w:val="21"/>
        </w:rPr>
        <w:t>另有规定的，推荐综合得分排名第一的投标人为第一中标候选人，排名第二的投标人为第二中标候选人。</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采用</w:t>
      </w:r>
      <w:r>
        <w:rPr>
          <w:rFonts w:hint="eastAsia" w:ascii="宋体" w:hAnsi="宋体" w:cs="宋体"/>
          <w:szCs w:val="21"/>
          <w:lang w:eastAsia="zh-TW"/>
        </w:rPr>
        <w:t>最低评标价法</w:t>
      </w:r>
      <w:r>
        <w:rPr>
          <w:rFonts w:hint="eastAsia" w:ascii="宋体" w:hAnsi="宋体" w:cs="宋体"/>
          <w:szCs w:val="21"/>
        </w:rPr>
        <w:t>的，</w:t>
      </w:r>
      <w:r>
        <w:rPr>
          <w:rFonts w:hint="eastAsia" w:ascii="宋体" w:hAnsi="宋体" w:cs="宋体"/>
          <w:szCs w:val="21"/>
          <w:lang w:eastAsia="zh-TW"/>
        </w:rPr>
        <w:t>按投标报价由低到高顺序排列。投标报价相同的，按技术指标优劣顺序排列。评标委员会认为，排在前面的中标候选人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人递补，以此类推。</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ascii="宋体" w:hAnsi="宋体"/>
          <w:szCs w:val="21"/>
        </w:rPr>
        <w:t>评标委员会提</w:t>
      </w:r>
      <w:r>
        <w:rPr>
          <w:rFonts w:hint="eastAsia" w:ascii="宋体" w:hAnsi="宋体"/>
          <w:szCs w:val="21"/>
        </w:rPr>
        <w:t>交</w:t>
      </w:r>
      <w:r>
        <w:rPr>
          <w:rFonts w:ascii="宋体" w:hAnsi="宋体"/>
          <w:szCs w:val="21"/>
        </w:rPr>
        <w:t>评</w:t>
      </w:r>
      <w:r>
        <w:rPr>
          <w:rFonts w:hint="eastAsia" w:ascii="宋体" w:hAnsi="宋体"/>
          <w:szCs w:val="21"/>
        </w:rPr>
        <w:t>标</w:t>
      </w:r>
      <w:r>
        <w:rPr>
          <w:rFonts w:ascii="宋体" w:hAnsi="宋体"/>
          <w:szCs w:val="21"/>
        </w:rPr>
        <w:t>报告和推荐中标意见报</w:t>
      </w:r>
      <w:r>
        <w:rPr>
          <w:rFonts w:hint="eastAsia" w:ascii="宋体" w:hAnsi="宋体"/>
          <w:szCs w:val="21"/>
        </w:rPr>
        <w:t>采购人确认，采购人在收到评标报告后的法定时间内，按照评标报告中推荐的中标候选人顺序确定中标人，也可以事先授权评标委员会直接确定中标人。确认后采购单位将在刊登本项目招标公告的法定媒体上</w:t>
      </w:r>
      <w:r>
        <w:rPr>
          <w:rFonts w:ascii="宋体" w:hAnsi="宋体"/>
          <w:szCs w:val="21"/>
        </w:rPr>
        <w:t>发</w:t>
      </w:r>
      <w:r>
        <w:rPr>
          <w:rFonts w:hint="eastAsia" w:ascii="宋体" w:hAnsi="宋体"/>
          <w:szCs w:val="21"/>
        </w:rPr>
        <w:t>布中标公告。不在中标名单之列者即为未中标人，采购单位不再以其他方式另行通知。</w:t>
      </w:r>
    </w:p>
    <w:p>
      <w:pPr>
        <w:numPr>
          <w:ilvl w:val="1"/>
          <w:numId w:val="18"/>
        </w:numPr>
        <w:autoSpaceDE w:val="0"/>
        <w:autoSpaceDN w:val="0"/>
        <w:adjustRightInd w:val="0"/>
        <w:snapToGrid w:val="0"/>
        <w:spacing w:line="360" w:lineRule="auto"/>
        <w:ind w:right="315" w:rightChars="150"/>
        <w:jc w:val="left"/>
        <w:rPr>
          <w:rFonts w:ascii="宋体" w:hAnsi="宋体"/>
          <w:szCs w:val="21"/>
        </w:rPr>
      </w:pPr>
      <w:r>
        <w:rPr>
          <w:rFonts w:hint="eastAsia" w:ascii="宋体" w:hAnsi="宋体"/>
          <w:szCs w:val="21"/>
        </w:rPr>
        <w:t>因不可抗力或自身原因不能履行政府采购合同的、不按要求与采购人签订政府采购合同、中标人放弃中标、中标资格被依法确认无效的，采购人可以与排位在中标人之后第一位的中标候选人签订政府采购合同，没有其他中标候选人的，应当重新组织采购活动。</w:t>
      </w:r>
    </w:p>
    <w:p>
      <w:pPr>
        <w:numPr>
          <w:ilvl w:val="1"/>
          <w:numId w:val="18"/>
        </w:numPr>
        <w:autoSpaceDE w:val="0"/>
        <w:autoSpaceDN w:val="0"/>
        <w:adjustRightInd w:val="0"/>
        <w:snapToGrid w:val="0"/>
        <w:spacing w:line="360" w:lineRule="auto"/>
        <w:ind w:right="315" w:rightChars="150"/>
        <w:rPr>
          <w:rFonts w:ascii="宋体" w:hAnsi="宋体"/>
          <w:szCs w:val="21"/>
        </w:rPr>
      </w:pPr>
      <w:r>
        <w:rPr>
          <w:rFonts w:ascii="宋体" w:hAnsi="宋体"/>
          <w:szCs w:val="21"/>
        </w:rPr>
        <w:t xml:space="preserve">在招标采购中，出现下列情形之一的，应予废标： </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符合专业条件的供应商或者对</w:t>
      </w:r>
      <w:r>
        <w:rPr>
          <w:rFonts w:hint="eastAsia" w:ascii="宋体" w:hAnsi="宋体"/>
          <w:szCs w:val="21"/>
        </w:rPr>
        <w:t>招标</w:t>
      </w:r>
      <w:r>
        <w:rPr>
          <w:rFonts w:ascii="宋体" w:hAnsi="宋体"/>
          <w:szCs w:val="21"/>
        </w:rPr>
        <w:t>文件作实质响应的供应商不足三家的；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出现影响采购公正的违法、违规行为的；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投标人的报价均超过了采购预算，采购人不能支付的；</w:t>
      </w:r>
    </w:p>
    <w:p>
      <w:pPr>
        <w:numPr>
          <w:ilvl w:val="2"/>
          <w:numId w:val="18"/>
        </w:numPr>
        <w:tabs>
          <w:tab w:val="left" w:pos="567"/>
          <w:tab w:val="left" w:pos="851"/>
          <w:tab w:val="clear" w:pos="709"/>
        </w:tabs>
        <w:autoSpaceDE w:val="0"/>
        <w:autoSpaceDN w:val="0"/>
        <w:adjustRightInd w:val="0"/>
        <w:snapToGrid w:val="0"/>
        <w:spacing w:line="360" w:lineRule="auto"/>
        <w:ind w:left="567" w:right="315" w:rightChars="150" w:hanging="567"/>
        <w:rPr>
          <w:rFonts w:ascii="宋体" w:hAnsi="宋体"/>
          <w:szCs w:val="21"/>
        </w:rPr>
      </w:pPr>
      <w:r>
        <w:rPr>
          <w:rFonts w:ascii="宋体" w:hAnsi="宋体"/>
          <w:szCs w:val="21"/>
        </w:rPr>
        <w:t>因重大变故，采购任务取消的</w:t>
      </w:r>
      <w:r>
        <w:rPr>
          <w:rFonts w:hint="eastAsia" w:ascii="宋体" w:hAnsi="宋体"/>
          <w:szCs w:val="21"/>
        </w:rPr>
        <w:t>。</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3" w:name="_Toc371432370"/>
      <w:bookmarkStart w:id="74" w:name="_Toc23879"/>
      <w:r>
        <w:rPr>
          <w:rFonts w:hint="eastAsia" w:ascii="宋体" w:hAnsi="宋体"/>
          <w:b/>
          <w:bCs/>
          <w:szCs w:val="21"/>
        </w:rPr>
        <w:t>质疑与回复</w:t>
      </w:r>
      <w:bookmarkEnd w:id="73"/>
      <w:bookmarkEnd w:id="74"/>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投标人有质疑时，应当以书面形式（加盖投标人公章）在质疑有效期限内向</w:t>
      </w:r>
      <w:r>
        <w:rPr>
          <w:rFonts w:hint="eastAsia" w:ascii="宋体" w:hAnsi="宋体" w:cs="宋体"/>
          <w:szCs w:val="21"/>
        </w:rPr>
        <w:t>招标采购单位</w:t>
      </w:r>
      <w:r>
        <w:rPr>
          <w:rFonts w:hint="eastAsia" w:ascii="宋体" w:hAnsi="宋体"/>
          <w:szCs w:val="21"/>
        </w:rPr>
        <w:t>提交质疑书原件，逾期质疑无效。投标人以电话、传真或电邮形式提交的质疑属于无效质疑。</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质疑内容不得含有虚假、恶意成分。依据“谁主张谁举证”的原则，质疑者提供的质疑书应当包括下列主要内容：具体的质疑事项、事实依据及相关确凿的证明材料和注明事实的确切来源、投标人名称及地址、授权代表姓名及其联系电话、质疑时间，质疑书应当署名并由法定代表人或授权代表签字并加盖公章。</w:t>
      </w:r>
      <w:r>
        <w:rPr>
          <w:rFonts w:hint="eastAsia" w:ascii="宋体" w:hAnsi="宋体" w:cs="宋体"/>
          <w:szCs w:val="21"/>
        </w:rPr>
        <w:t>招标采购单位</w:t>
      </w:r>
      <w:r>
        <w:rPr>
          <w:rFonts w:hint="eastAsia" w:ascii="宋体" w:hAnsi="宋体"/>
          <w:szCs w:val="21"/>
        </w:rPr>
        <w:t>受理书面质疑书原件之日起，在规定的期限内作出答复。对于捏造事实、滥用维权扰乱采购秩序的恶意质疑者或举证不全查无实据被驳回次数在一年内达三次以上，将纳入不良行为记录名单并承担相应的法律责任。</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rPr>
        <w:t>招标采购单位</w:t>
      </w:r>
      <w:r>
        <w:rPr>
          <w:rFonts w:hint="eastAsia" w:ascii="宋体" w:hAnsi="宋体"/>
          <w:szCs w:val="21"/>
        </w:rPr>
        <w:t>在收到供应商的有效书面质疑后七个工作日内作出答复，但答复的内容不涉及商业秘密，质疑供应商对采购人、采购单位的质疑答复不满意，或采购人、采购单位未在规定期限内作出答复的，可以在答复期满后十五个工作日内向同级政府采购监督管理部门提出投诉。</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5" w:name="_Toc27278"/>
      <w:bookmarkStart w:id="76" w:name="_Toc371432371"/>
      <w:r>
        <w:rPr>
          <w:rFonts w:hint="eastAsia" w:ascii="宋体" w:hAnsi="宋体"/>
          <w:b/>
          <w:bCs/>
          <w:szCs w:val="21"/>
        </w:rPr>
        <w:t>中标通知书</w:t>
      </w:r>
      <w:bookmarkEnd w:id="75"/>
      <w:bookmarkEnd w:id="76"/>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中标人确定后</w:t>
      </w:r>
      <w:r>
        <w:rPr>
          <w:rFonts w:hint="eastAsia" w:ascii="宋体" w:hAnsi="宋体" w:cs="宋体"/>
          <w:szCs w:val="21"/>
        </w:rPr>
        <w:t>，</w:t>
      </w:r>
      <w:r>
        <w:rPr>
          <w:rFonts w:hint="eastAsia" w:ascii="宋体" w:hAnsi="宋体" w:cs="宋体"/>
          <w:szCs w:val="21"/>
          <w:lang w:eastAsia="zh-TW"/>
        </w:rPr>
        <w:t>采购单位将在政府采购监督管理部门</w:t>
      </w:r>
      <w:r>
        <w:rPr>
          <w:rFonts w:hint="eastAsia" w:ascii="宋体" w:hAnsi="宋体" w:cs="宋体"/>
          <w:szCs w:val="21"/>
        </w:rPr>
        <w:t>法定</w:t>
      </w:r>
      <w:r>
        <w:rPr>
          <w:rFonts w:hint="eastAsia" w:ascii="宋体" w:hAnsi="宋体" w:cs="宋体"/>
          <w:szCs w:val="21"/>
          <w:lang w:eastAsia="zh-TW"/>
        </w:rPr>
        <w:t>的媒体上发布中标公告，并向中标人发出《中标通知书》</w:t>
      </w:r>
      <w:r>
        <w:rPr>
          <w:rFonts w:hint="eastAsia" w:ascii="宋体" w:hAnsi="宋体" w:cs="宋体"/>
          <w:szCs w:val="21"/>
        </w:rPr>
        <w:t>，</w:t>
      </w:r>
      <w:r>
        <w:rPr>
          <w:rFonts w:hint="eastAsia" w:ascii="宋体" w:hAnsi="宋体"/>
          <w:szCs w:val="21"/>
        </w:rPr>
        <w:t>向采购人及未中标人发出《招标结果通知书》，</w:t>
      </w:r>
      <w:r>
        <w:rPr>
          <w:rFonts w:hint="eastAsia" w:ascii="宋体" w:hAnsi="宋体" w:cs="宋体"/>
          <w:szCs w:val="21"/>
          <w:lang w:eastAsia="zh-TW"/>
        </w:rPr>
        <w:t>《中标通知书》对中标人和采购人具有同等法律效力。</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szCs w:val="21"/>
        </w:rPr>
        <w:t>《中标通知书》将作为授予合同资格的合法依据，是合同的一个组成部分。</w:t>
      </w:r>
    </w:p>
    <w:p>
      <w:pPr>
        <w:numPr>
          <w:ilvl w:val="0"/>
          <w:numId w:val="19"/>
        </w:numPr>
        <w:autoSpaceDE w:val="0"/>
        <w:autoSpaceDN w:val="0"/>
        <w:adjustRightInd w:val="0"/>
        <w:snapToGrid w:val="0"/>
        <w:spacing w:before="240" w:beforeLines="100" w:line="360" w:lineRule="auto"/>
        <w:ind w:left="601" w:right="315" w:rightChars="150" w:hanging="601"/>
        <w:jc w:val="center"/>
        <w:outlineLvl w:val="0"/>
        <w:rPr>
          <w:rFonts w:ascii="宋体" w:hAnsi="宋体"/>
          <w:b/>
          <w:sz w:val="28"/>
          <w:szCs w:val="28"/>
          <w:lang w:eastAsia="zh-TW"/>
        </w:rPr>
      </w:pPr>
      <w:bookmarkStart w:id="77" w:name="_Toc13860"/>
      <w:bookmarkStart w:id="78" w:name="_Toc371432372"/>
      <w:r>
        <w:rPr>
          <w:rFonts w:hint="eastAsia" w:ascii="宋体" w:hAnsi="宋体"/>
          <w:b/>
          <w:sz w:val="28"/>
          <w:szCs w:val="28"/>
          <w:lang w:eastAsia="zh-TW"/>
        </w:rPr>
        <w:t>授予合同</w:t>
      </w:r>
      <w:bookmarkEnd w:id="77"/>
      <w:bookmarkEnd w:id="78"/>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79" w:name="_Toc11157"/>
      <w:bookmarkStart w:id="80" w:name="_Toc371432373"/>
      <w:r>
        <w:rPr>
          <w:rFonts w:hint="eastAsia" w:ascii="宋体" w:hAnsi="宋体"/>
          <w:b/>
          <w:bCs/>
          <w:szCs w:val="21"/>
        </w:rPr>
        <w:t>合同的订立</w:t>
      </w:r>
      <w:bookmarkEnd w:id="79"/>
      <w:bookmarkEnd w:id="80"/>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rPr>
        <w:t>除非</w:t>
      </w:r>
      <w:r>
        <w:rPr>
          <w:rFonts w:hint="eastAsia" w:ascii="宋体" w:hAnsi="宋体" w:cs="宋体"/>
          <w:b/>
          <w:szCs w:val="21"/>
        </w:rPr>
        <w:t>须知前附表</w:t>
      </w:r>
      <w:r>
        <w:rPr>
          <w:rFonts w:hint="eastAsia" w:ascii="宋体" w:hAnsi="宋体" w:cs="宋体"/>
          <w:szCs w:val="21"/>
        </w:rPr>
        <w:t>另有规定，</w:t>
      </w:r>
      <w:r>
        <w:rPr>
          <w:rFonts w:hint="eastAsia" w:ascii="宋体" w:hAnsi="宋体" w:cs="宋体"/>
          <w:szCs w:val="21"/>
          <w:lang w:eastAsia="zh-TW"/>
        </w:rPr>
        <w:t>采购人</w:t>
      </w:r>
      <w:r>
        <w:rPr>
          <w:rFonts w:hint="eastAsia" w:ascii="宋体" w:hAnsi="宋体"/>
          <w:spacing w:val="7"/>
          <w:kern w:val="0"/>
          <w:szCs w:val="21"/>
        </w:rPr>
        <w:t>发布采购结果公告之日</w:t>
      </w:r>
      <w:r>
        <w:rPr>
          <w:rFonts w:hint="eastAsia" w:ascii="宋体" w:hAnsi="宋体" w:cs="宋体"/>
          <w:szCs w:val="21"/>
          <w:lang w:eastAsia="zh-TW"/>
        </w:rPr>
        <w:t>起三十日内，按照招标文件和中标人投标文件的约定，与中标人签订书面合同。所签订的合同不得对招标文件和中标人投标文件作实质性修改</w:t>
      </w:r>
      <w:r>
        <w:rPr>
          <w:rFonts w:hint="eastAsia" w:ascii="宋体" w:hAnsi="宋体" w:cs="宋体"/>
          <w:szCs w:val="21"/>
        </w:rPr>
        <w:t>。</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rPr>
        <w:t xml:space="preserve">招标采购单位不得向中标人提出任何不合理的要求，作为签订合同的条件，不得与中标人私下订立背离合同实质性内容的协议。 </w:t>
      </w:r>
    </w:p>
    <w:p>
      <w:pPr>
        <w:numPr>
          <w:ilvl w:val="1"/>
          <w:numId w:val="18"/>
        </w:numPr>
        <w:autoSpaceDE w:val="0"/>
        <w:autoSpaceDN w:val="0"/>
        <w:adjustRightInd w:val="0"/>
        <w:snapToGrid w:val="0"/>
        <w:spacing w:line="360" w:lineRule="auto"/>
        <w:ind w:right="315" w:rightChars="150"/>
        <w:jc w:val="left"/>
        <w:rPr>
          <w:rFonts w:ascii="宋体" w:hAnsi="宋体" w:cs="宋体"/>
          <w:szCs w:val="21"/>
        </w:rPr>
      </w:pPr>
      <w:r>
        <w:rPr>
          <w:rFonts w:hint="eastAsia" w:ascii="宋体" w:hAnsi="宋体" w:cs="宋体"/>
          <w:szCs w:val="21"/>
          <w:lang w:eastAsia="zh-TW"/>
        </w:rPr>
        <w:t>签订政府采购合同后</w:t>
      </w:r>
      <w:r>
        <w:rPr>
          <w:rFonts w:hint="eastAsia" w:ascii="宋体" w:hAnsi="宋体" w:cs="宋体"/>
          <w:szCs w:val="21"/>
        </w:rPr>
        <w:t>七</w:t>
      </w:r>
      <w:r>
        <w:rPr>
          <w:rFonts w:hint="eastAsia" w:ascii="宋体" w:hAnsi="宋体" w:cs="宋体"/>
          <w:szCs w:val="21"/>
          <w:lang w:eastAsia="zh-TW"/>
        </w:rPr>
        <w:t>个工作日内，采购人应将政府采购合同副本报</w:t>
      </w:r>
      <w:r>
        <w:rPr>
          <w:rFonts w:hint="eastAsia" w:ascii="宋体" w:hAnsi="宋体" w:cs="宋体"/>
          <w:szCs w:val="21"/>
        </w:rPr>
        <w:t>局</w:t>
      </w:r>
      <w:r>
        <w:rPr>
          <w:rFonts w:hint="eastAsia" w:ascii="宋体" w:hAnsi="宋体" w:cs="宋体"/>
          <w:szCs w:val="21"/>
          <w:lang w:eastAsia="zh-TW"/>
        </w:rPr>
        <w:t>采购监督管理部门备案。</w:t>
      </w:r>
    </w:p>
    <w:p>
      <w:pPr>
        <w:numPr>
          <w:ilvl w:val="0"/>
          <w:numId w:val="18"/>
        </w:numPr>
        <w:autoSpaceDE w:val="0"/>
        <w:autoSpaceDN w:val="0"/>
        <w:adjustRightInd w:val="0"/>
        <w:snapToGrid w:val="0"/>
        <w:spacing w:line="360" w:lineRule="auto"/>
        <w:ind w:right="315" w:rightChars="150"/>
        <w:outlineLvl w:val="0"/>
        <w:rPr>
          <w:rFonts w:ascii="宋体" w:hAnsi="宋体"/>
          <w:b/>
          <w:bCs/>
          <w:szCs w:val="21"/>
        </w:rPr>
      </w:pPr>
      <w:bookmarkStart w:id="81" w:name="_Toc371432374"/>
      <w:bookmarkStart w:id="82" w:name="_Toc27482"/>
      <w:r>
        <w:rPr>
          <w:rFonts w:hint="eastAsia" w:ascii="宋体" w:hAnsi="宋体"/>
          <w:b/>
          <w:bCs/>
          <w:szCs w:val="21"/>
        </w:rPr>
        <w:t>合同的履行</w:t>
      </w:r>
      <w:bookmarkEnd w:id="81"/>
      <w:bookmarkEnd w:id="82"/>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政府采购合同订立后，合同各方不得擅自变更、中止或者终止合同。政府采购合同需要变更的，采购人应将有关合同变更内容，以书面形式报同级政府采购监督管理</w:t>
      </w:r>
      <w:r>
        <w:rPr>
          <w:rFonts w:hint="eastAsia" w:ascii="宋体" w:hAnsi="宋体" w:cs="宋体"/>
          <w:szCs w:val="21"/>
        </w:rPr>
        <w:t>部门</w:t>
      </w:r>
      <w:r>
        <w:rPr>
          <w:rFonts w:hint="eastAsia" w:ascii="宋体" w:hAnsi="宋体" w:cs="宋体"/>
          <w:szCs w:val="21"/>
          <w:lang w:eastAsia="zh-TW"/>
        </w:rPr>
        <w:t>备案；因特殊情况需要中止或终止合同的，采购人应将中止或终止合同的理由以及相应措施，以书面形式报同级政府采购监督管理</w:t>
      </w:r>
      <w:r>
        <w:rPr>
          <w:rFonts w:hint="eastAsia" w:ascii="宋体" w:hAnsi="宋体" w:cs="宋体"/>
          <w:szCs w:val="21"/>
        </w:rPr>
        <w:t>部门</w:t>
      </w:r>
      <w:r>
        <w:rPr>
          <w:rFonts w:hint="eastAsia" w:ascii="宋体" w:hAnsi="宋体" w:cs="宋体"/>
          <w:szCs w:val="21"/>
          <w:lang w:eastAsia="zh-TW"/>
        </w:rPr>
        <w:t>备案。</w:t>
      </w:r>
    </w:p>
    <w:p>
      <w:pPr>
        <w:numPr>
          <w:ilvl w:val="1"/>
          <w:numId w:val="18"/>
        </w:numPr>
        <w:autoSpaceDE w:val="0"/>
        <w:autoSpaceDN w:val="0"/>
        <w:adjustRightInd w:val="0"/>
        <w:snapToGrid w:val="0"/>
        <w:spacing w:line="360" w:lineRule="auto"/>
        <w:ind w:right="315" w:rightChars="150"/>
        <w:jc w:val="left"/>
        <w:rPr>
          <w:rFonts w:ascii="宋体" w:hAnsi="宋体" w:cs="黑体"/>
          <w:b/>
          <w:bCs/>
          <w:szCs w:val="21"/>
        </w:rPr>
      </w:pPr>
      <w:r>
        <w:rPr>
          <w:rFonts w:hint="eastAsia" w:ascii="宋体" w:hAnsi="宋体" w:cs="宋体"/>
          <w:szCs w:val="21"/>
          <w:lang w:eastAsia="zh-TW"/>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采购金额的百分之十。签订补充合同的必须按规定备案。</w:t>
      </w:r>
    </w:p>
    <w:p>
      <w:pPr>
        <w:autoSpaceDE w:val="0"/>
        <w:autoSpaceDN w:val="0"/>
        <w:adjustRightInd w:val="0"/>
        <w:snapToGrid w:val="0"/>
        <w:spacing w:line="360" w:lineRule="auto"/>
        <w:ind w:right="315" w:rightChars="150"/>
        <w:jc w:val="left"/>
        <w:rPr>
          <w:rFonts w:ascii="宋体" w:hAnsi="宋体" w:cs="宋体"/>
          <w:szCs w:val="21"/>
          <w:lang w:eastAsia="zh-TW"/>
        </w:rPr>
      </w:pPr>
    </w:p>
    <w:p>
      <w:pPr>
        <w:autoSpaceDE w:val="0"/>
        <w:autoSpaceDN w:val="0"/>
        <w:adjustRightInd w:val="0"/>
        <w:snapToGrid w:val="0"/>
        <w:spacing w:line="360" w:lineRule="auto"/>
        <w:ind w:right="315" w:rightChars="150"/>
        <w:jc w:val="left"/>
        <w:rPr>
          <w:rFonts w:ascii="宋体" w:hAnsi="宋体" w:cs="宋体"/>
          <w:szCs w:val="21"/>
          <w:lang w:eastAsia="zh-TW"/>
        </w:rPr>
      </w:pPr>
    </w:p>
    <w:bookmarkEnd w:id="7"/>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p>
    <w:p>
      <w:pPr>
        <w:snapToGrid w:val="0"/>
        <w:spacing w:line="360" w:lineRule="auto"/>
        <w:ind w:left="315" w:hanging="315" w:hangingChars="150"/>
        <w:jc w:val="center"/>
        <w:rPr>
          <w:rFonts w:ascii="宋体" w:hAnsi="宋体"/>
        </w:rPr>
      </w:pPr>
      <w:bookmarkStart w:id="114" w:name="_GoBack"/>
      <w:bookmarkEnd w:id="114"/>
    </w:p>
    <w:p>
      <w:pPr>
        <w:snapToGrid w:val="0"/>
        <w:spacing w:line="360" w:lineRule="auto"/>
        <w:rPr>
          <w:rFonts w:ascii="宋体" w:hAnsi="宋体"/>
        </w:rPr>
      </w:pPr>
    </w:p>
    <w:p>
      <w:pPr>
        <w:numPr>
          <w:ilvl w:val="0"/>
          <w:numId w:val="12"/>
        </w:numPr>
        <w:tabs>
          <w:tab w:val="left" w:pos="1843"/>
        </w:tabs>
        <w:jc w:val="center"/>
        <w:outlineLvl w:val="0"/>
        <w:rPr>
          <w:b/>
          <w:sz w:val="50"/>
          <w:szCs w:val="50"/>
        </w:rPr>
      </w:pPr>
      <w:bookmarkStart w:id="83" w:name="_Toc6457"/>
      <w:bookmarkStart w:id="84" w:name="_Toc4529"/>
      <w:r>
        <w:rPr>
          <w:rFonts w:hint="eastAsia"/>
          <w:b/>
          <w:sz w:val="50"/>
          <w:szCs w:val="50"/>
        </w:rPr>
        <w:t>合同通用条款</w:t>
      </w:r>
      <w:bookmarkEnd w:id="83"/>
      <w:bookmarkEnd w:id="84"/>
    </w:p>
    <w:p>
      <w:pPr>
        <w:pStyle w:val="9"/>
        <w:rPr>
          <w:rFonts w:ascii="宋体" w:hAnsi="宋体"/>
        </w:rPr>
      </w:pPr>
    </w:p>
    <w:p>
      <w:pPr>
        <w:spacing w:line="360" w:lineRule="auto"/>
        <w:rPr>
          <w:rFonts w:eastAsia="仿宋_GB2312"/>
          <w:b/>
          <w:sz w:val="28"/>
          <w:szCs w:val="28"/>
          <w:u w:val="single"/>
        </w:rPr>
      </w:pPr>
      <w:r>
        <w:rPr>
          <w:rFonts w:eastAsia="仿宋_GB2312"/>
          <w:b/>
          <w:bCs/>
          <w:sz w:val="28"/>
          <w:szCs w:val="28"/>
        </w:rPr>
        <w:t>委托方（甲方）</w:t>
      </w:r>
      <w:r>
        <w:rPr>
          <w:rFonts w:eastAsia="仿宋_GB2312"/>
          <w:sz w:val="28"/>
          <w:szCs w:val="28"/>
        </w:rPr>
        <w:t>：</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 xml:space="preserve">    </w:t>
      </w:r>
      <w:r>
        <w:rPr>
          <w:rFonts w:eastAsia="仿宋_GB2312"/>
          <w:sz w:val="28"/>
          <w:szCs w:val="28"/>
        </w:rPr>
        <w:t>住所地：</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法定代表人：</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统一信用代码</w:t>
      </w:r>
      <w:r>
        <w:rPr>
          <w:rFonts w:eastAsia="仿宋_GB2312"/>
          <w:sz w:val="28"/>
          <w:szCs w:val="28"/>
        </w:rPr>
        <w:t>：</w:t>
      </w:r>
      <w:r>
        <w:rPr>
          <w:rFonts w:hint="eastAsia" w:eastAsia="仿宋_GB2312"/>
          <w:sz w:val="28"/>
          <w:szCs w:val="28"/>
          <w:u w:val="single"/>
        </w:rPr>
        <w:t xml:space="preserve">                      </w:t>
      </w:r>
    </w:p>
    <w:p>
      <w:pPr>
        <w:adjustRightInd w:val="0"/>
        <w:snapToGrid w:val="0"/>
        <w:spacing w:line="360" w:lineRule="auto"/>
        <w:rPr>
          <w:rFonts w:eastAsia="仿宋_GB2312"/>
          <w:sz w:val="28"/>
          <w:szCs w:val="28"/>
        </w:rPr>
      </w:pPr>
      <w:r>
        <w:rPr>
          <w:rFonts w:eastAsia="仿宋_GB2312"/>
          <w:b/>
          <w:bCs/>
          <w:sz w:val="28"/>
          <w:szCs w:val="28"/>
        </w:rPr>
        <w:t>受托方（乙方）</w:t>
      </w:r>
      <w:r>
        <w:rPr>
          <w:rFonts w:eastAsia="仿宋_GB2312"/>
          <w:sz w:val="28"/>
          <w:szCs w:val="28"/>
        </w:rPr>
        <w:t xml:space="preserve">： </w:t>
      </w:r>
    </w:p>
    <w:p>
      <w:pPr>
        <w:adjustRightInd w:val="0"/>
        <w:snapToGrid w:val="0"/>
        <w:spacing w:line="360" w:lineRule="auto"/>
        <w:ind w:firstLine="560" w:firstLineChars="200"/>
        <w:rPr>
          <w:rFonts w:eastAsia="仿宋_GB2312"/>
          <w:sz w:val="28"/>
          <w:szCs w:val="28"/>
        </w:rPr>
      </w:pPr>
      <w:r>
        <w:rPr>
          <w:rFonts w:eastAsia="仿宋_GB2312"/>
          <w:sz w:val="28"/>
          <w:szCs w:val="28"/>
        </w:rPr>
        <w:t>住所地：</w:t>
      </w:r>
      <w:r>
        <w:rPr>
          <w:rFonts w:hint="eastAsia" w:eastAsia="仿宋_GB2312"/>
          <w:sz w:val="28"/>
          <w:szCs w:val="28"/>
          <w:u w:val="single"/>
        </w:rPr>
        <w:t xml:space="preserve">                              </w:t>
      </w:r>
      <w:r>
        <w:rPr>
          <w:rFonts w:hint="eastAsia" w:eastAsia="仿宋_GB2312"/>
          <w:sz w:val="28"/>
          <w:szCs w:val="28"/>
        </w:rPr>
        <w:t xml:space="preserve">         </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法定代表人：</w:t>
      </w:r>
      <w:r>
        <w:rPr>
          <w:rFonts w:hint="eastAsia" w:eastAsia="仿宋_GB2312"/>
          <w:sz w:val="28"/>
          <w:szCs w:val="28"/>
          <w:u w:val="single"/>
        </w:rPr>
        <w:t xml:space="preserve">                          </w:t>
      </w:r>
      <w:r>
        <w:rPr>
          <w:rFonts w:hint="eastAsia" w:eastAsia="仿宋_GB2312"/>
          <w:sz w:val="28"/>
          <w:szCs w:val="28"/>
        </w:rPr>
        <w:t xml:space="preserve">                </w:t>
      </w:r>
    </w:p>
    <w:p>
      <w:pPr>
        <w:adjustRightInd w:val="0"/>
        <w:snapToGrid w:val="0"/>
        <w:spacing w:line="360" w:lineRule="auto"/>
        <w:ind w:firstLine="560" w:firstLineChars="200"/>
        <w:rPr>
          <w:rFonts w:eastAsia="仿宋_GB2312"/>
          <w:sz w:val="28"/>
          <w:szCs w:val="28"/>
          <w:u w:val="single"/>
        </w:rPr>
      </w:pPr>
      <w:r>
        <w:rPr>
          <w:rFonts w:hint="eastAsia" w:eastAsia="仿宋_GB2312"/>
          <w:sz w:val="28"/>
          <w:szCs w:val="28"/>
        </w:rPr>
        <w:t>统一信用代码</w:t>
      </w:r>
      <w:r>
        <w:rPr>
          <w:rFonts w:eastAsia="仿宋_GB2312"/>
          <w:sz w:val="28"/>
          <w:szCs w:val="28"/>
        </w:rPr>
        <w:t>号：</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开户银行：</w:t>
      </w:r>
      <w:r>
        <w:rPr>
          <w:rFonts w:eastAsia="仿宋_GB2312"/>
          <w:sz w:val="28"/>
          <w:szCs w:val="28"/>
          <w:u w:val="single"/>
        </w:rPr>
        <w:t xml:space="preserve"> </w:t>
      </w:r>
    </w:p>
    <w:p>
      <w:pPr>
        <w:adjustRightInd w:val="0"/>
        <w:snapToGrid w:val="0"/>
        <w:spacing w:line="360" w:lineRule="auto"/>
        <w:ind w:firstLine="560" w:firstLineChars="200"/>
        <w:rPr>
          <w:rFonts w:eastAsia="仿宋_GB2312"/>
          <w:sz w:val="28"/>
          <w:szCs w:val="28"/>
        </w:rPr>
      </w:pPr>
      <w:r>
        <w:rPr>
          <w:rFonts w:eastAsia="仿宋_GB2312"/>
          <w:sz w:val="28"/>
          <w:szCs w:val="28"/>
        </w:rPr>
        <w:t>银行账号：</w:t>
      </w:r>
    </w:p>
    <w:p>
      <w:pPr>
        <w:adjustRightInd w:val="0"/>
        <w:snapToGrid w:val="0"/>
        <w:spacing w:line="360" w:lineRule="auto"/>
        <w:ind w:firstLine="562" w:firstLineChars="200"/>
        <w:rPr>
          <w:rFonts w:eastAsia="仿宋_GB2312"/>
          <w:b/>
          <w:bCs/>
          <w:sz w:val="28"/>
          <w:szCs w:val="28"/>
        </w:rPr>
      </w:pPr>
      <w:r>
        <w:rPr>
          <w:rFonts w:eastAsia="仿宋_GB2312"/>
          <w:b/>
          <w:bCs/>
          <w:sz w:val="28"/>
          <w:szCs w:val="28"/>
        </w:rPr>
        <w:t>联系方式</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通讯地址：</w:t>
      </w:r>
    </w:p>
    <w:p>
      <w:pPr>
        <w:adjustRightInd w:val="0"/>
        <w:snapToGrid w:val="0"/>
        <w:spacing w:line="360" w:lineRule="auto"/>
        <w:ind w:firstLine="560" w:firstLineChars="200"/>
        <w:rPr>
          <w:rFonts w:eastAsia="仿宋_GB2312"/>
          <w:sz w:val="28"/>
          <w:szCs w:val="28"/>
          <w:u w:val="single"/>
        </w:rPr>
      </w:pPr>
      <w:r>
        <w:rPr>
          <w:rFonts w:eastAsia="仿宋_GB2312"/>
          <w:sz w:val="28"/>
          <w:szCs w:val="28"/>
        </w:rPr>
        <w:t>电话：</w:t>
      </w:r>
      <w:r>
        <w:rPr>
          <w:rFonts w:hint="eastAsia" w:eastAsia="仿宋_GB2312"/>
          <w:sz w:val="28"/>
          <w:szCs w:val="28"/>
          <w:u w:val="single"/>
        </w:rPr>
        <w:t xml:space="preserve">                 </w:t>
      </w:r>
      <w:r>
        <w:rPr>
          <w:rFonts w:eastAsia="仿宋_GB2312"/>
          <w:sz w:val="28"/>
          <w:szCs w:val="28"/>
        </w:rPr>
        <w:t>传真：</w:t>
      </w:r>
      <w:r>
        <w:rPr>
          <w:rFonts w:hint="eastAsia" w:eastAsia="仿宋_GB2312"/>
          <w:sz w:val="28"/>
          <w:szCs w:val="28"/>
          <w:u w:val="single"/>
        </w:rPr>
        <w:t xml:space="preserve">              </w:t>
      </w:r>
    </w:p>
    <w:p>
      <w:pPr>
        <w:adjustRightInd w:val="0"/>
        <w:snapToGrid w:val="0"/>
        <w:spacing w:line="360" w:lineRule="auto"/>
        <w:ind w:firstLine="560" w:firstLineChars="200"/>
        <w:rPr>
          <w:rFonts w:eastAsia="仿宋_GB2312"/>
          <w:sz w:val="28"/>
          <w:szCs w:val="28"/>
        </w:rPr>
      </w:pPr>
      <w:r>
        <w:rPr>
          <w:rFonts w:eastAsia="仿宋_GB2312"/>
          <w:sz w:val="28"/>
          <w:szCs w:val="28"/>
        </w:rPr>
        <w:t>电子信箱：</w:t>
      </w:r>
      <w:r>
        <w:rPr>
          <w:rFonts w:hint="eastAsia"/>
        </w:rPr>
        <w:t xml:space="preserve"> </w:t>
      </w:r>
      <w:r>
        <w:rPr>
          <w:rFonts w:hint="eastAsia"/>
          <w:u w:val="single"/>
        </w:rPr>
        <w:t xml:space="preserve">                                        </w:t>
      </w:r>
      <w:r>
        <w:rPr>
          <w:rFonts w:eastAsia="仿宋_GB2312"/>
          <w:sz w:val="28"/>
          <w:szCs w:val="28"/>
        </w:rPr>
        <w:t xml:space="preserve"> </w:t>
      </w:r>
    </w:p>
    <w:p>
      <w:pPr>
        <w:adjustRightInd w:val="0"/>
        <w:snapToGrid w:val="0"/>
        <w:spacing w:line="360" w:lineRule="auto"/>
        <w:ind w:firstLine="560" w:firstLineChars="200"/>
        <w:jc w:val="left"/>
        <w:rPr>
          <w:rFonts w:eastAsia="仿宋_GB2312"/>
          <w:sz w:val="28"/>
          <w:szCs w:val="28"/>
        </w:rPr>
      </w:pPr>
    </w:p>
    <w:p>
      <w:pPr>
        <w:spacing w:line="360" w:lineRule="auto"/>
        <w:ind w:right="315" w:rightChars="150"/>
        <w:jc w:val="left"/>
        <w:rPr>
          <w:rFonts w:ascii="宋体" w:hAnsi="宋体"/>
          <w:szCs w:val="21"/>
        </w:rPr>
      </w:pPr>
      <w:r>
        <w:rPr>
          <w:rFonts w:hint="eastAsia" w:ascii="宋体" w:hAnsi="宋体"/>
          <w:szCs w:val="21"/>
        </w:rPr>
        <w:t xml:space="preserve"> </w:t>
      </w: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jc w:val="left"/>
        <w:rPr>
          <w:rFonts w:ascii="宋体" w:hAnsi="宋体"/>
          <w:szCs w:val="21"/>
        </w:rPr>
      </w:pPr>
    </w:p>
    <w:p>
      <w:pPr>
        <w:spacing w:line="360" w:lineRule="auto"/>
        <w:ind w:right="315" w:rightChars="150"/>
        <w:rPr>
          <w:rFonts w:ascii="宋体" w:hAnsi="宋体"/>
          <w:szCs w:val="21"/>
        </w:rPr>
      </w:pPr>
      <w:r>
        <w:rPr>
          <w:rFonts w:hint="eastAsia" w:ascii="宋体" w:hAnsi="宋体"/>
          <w:szCs w:val="21"/>
        </w:rPr>
        <w:t xml:space="preserve">项目名称：                                   </w:t>
      </w:r>
      <w:r>
        <w:rPr>
          <w:rFonts w:hint="eastAsia" w:ascii="宋体" w:hAnsi="宋体" w:cs="宋体"/>
          <w:szCs w:val="21"/>
        </w:rPr>
        <w:t>项目</w:t>
      </w:r>
      <w:r>
        <w:rPr>
          <w:rFonts w:hint="eastAsia" w:ascii="宋体" w:hAnsi="宋体"/>
          <w:szCs w:val="21"/>
        </w:rPr>
        <w:t xml:space="preserve">编号：  </w:t>
      </w:r>
    </w:p>
    <w:p>
      <w:pPr>
        <w:spacing w:line="360" w:lineRule="auto"/>
        <w:ind w:right="315" w:rightChars="150" w:firstLine="420" w:firstLineChars="200"/>
        <w:rPr>
          <w:rFonts w:ascii="宋体" w:hAnsi="宋体"/>
          <w:szCs w:val="21"/>
        </w:rPr>
      </w:pPr>
      <w:r>
        <w:rPr>
          <w:rFonts w:hint="eastAsia" w:ascii="宋体" w:hAnsi="宋体"/>
          <w:szCs w:val="21"/>
        </w:rPr>
        <w:t>根据 《</w:t>
      </w:r>
      <w:r>
        <w:rPr>
          <w:rFonts w:hint="eastAsia" w:ascii="宋体" w:hAnsi="宋体"/>
          <w:szCs w:val="21"/>
          <w:u w:val="single"/>
        </w:rPr>
        <w:t xml:space="preserve">                      </w:t>
      </w:r>
      <w:r>
        <w:rPr>
          <w:rFonts w:hint="eastAsia" w:ascii="宋体" w:hAnsi="宋体"/>
          <w:szCs w:val="21"/>
        </w:rPr>
        <w:t>》的采购结果，按照《中华人民共和国政府采购法》</w:t>
      </w:r>
      <w:r>
        <w:rPr>
          <w:rFonts w:hint="eastAsia" w:ascii="宋体" w:hAnsi="宋体" w:cs="宋体"/>
          <w:szCs w:val="21"/>
        </w:rPr>
        <w:t>及其实施条例</w:t>
      </w:r>
      <w:r>
        <w:rPr>
          <w:rFonts w:hint="eastAsia" w:ascii="宋体" w:hAnsi="宋体"/>
          <w:szCs w:val="21"/>
        </w:rPr>
        <w:t>、《中华人民共和国合同法》的规定，</w:t>
      </w:r>
      <w:r>
        <w:rPr>
          <w:rFonts w:hint="eastAsia" w:ascii="宋体" w:hAnsi="宋体"/>
          <w:kern w:val="28"/>
          <w:szCs w:val="21"/>
        </w:rPr>
        <w:t>经双方协商，</w:t>
      </w:r>
      <w:r>
        <w:rPr>
          <w:rFonts w:hint="eastAsia" w:ascii="宋体" w:hAnsi="宋体"/>
          <w:szCs w:val="21"/>
        </w:rPr>
        <w:t>本着平等互利和诚实信用的原则，</w:t>
      </w:r>
      <w:r>
        <w:rPr>
          <w:rFonts w:hint="eastAsia" w:ascii="宋体" w:hAnsi="宋体"/>
          <w:kern w:val="28"/>
          <w:szCs w:val="21"/>
        </w:rPr>
        <w:t>一致同意签订本合同如下</w:t>
      </w:r>
      <w:r>
        <w:rPr>
          <w:rFonts w:hint="eastAsia" w:ascii="宋体" w:hAnsi="宋体"/>
          <w:szCs w:val="21"/>
        </w:rPr>
        <w:t>。</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合同金额</w:t>
      </w:r>
    </w:p>
    <w:p>
      <w:pPr>
        <w:pStyle w:val="27"/>
        <w:spacing w:line="360" w:lineRule="auto"/>
        <w:ind w:right="315" w:rightChars="150" w:firstLine="420" w:firstLineChars="200"/>
        <w:rPr>
          <w:rFonts w:hAnsi="宋体"/>
        </w:rPr>
      </w:pPr>
      <w:r>
        <w:rPr>
          <w:rFonts w:hint="eastAsia" w:hAnsi="宋体"/>
        </w:rPr>
        <w:t>合同金额为（大写）：_________________元（￥_______________元）。</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服务范围</w:t>
      </w:r>
    </w:p>
    <w:p>
      <w:pPr>
        <w:spacing w:line="360" w:lineRule="auto"/>
        <w:ind w:right="315" w:rightChars="150"/>
        <w:rPr>
          <w:rFonts w:ascii="宋体" w:hAnsi="宋体"/>
          <w:szCs w:val="21"/>
        </w:rPr>
      </w:pPr>
      <w:r>
        <w:rPr>
          <w:rFonts w:hint="eastAsia" w:ascii="宋体" w:hAnsi="宋体"/>
          <w:szCs w:val="21"/>
        </w:rPr>
        <w:t>　　甲方聘请乙方提供以下服务：</w:t>
      </w:r>
    </w:p>
    <w:p>
      <w:pPr>
        <w:spacing w:line="360" w:lineRule="auto"/>
        <w:ind w:right="315" w:rightChars="150"/>
        <w:jc w:val="left"/>
        <w:rPr>
          <w:rFonts w:ascii="宋体" w:hAnsi="宋体"/>
          <w:szCs w:val="21"/>
          <w:u w:val="single"/>
        </w:rPr>
      </w:pPr>
      <w:r>
        <w:rPr>
          <w:rFonts w:hint="eastAsia" w:ascii="宋体" w:hAnsi="宋体"/>
          <w:szCs w:val="21"/>
        </w:rPr>
        <w:t>　　1．本合同项下的服务指：</w:t>
      </w:r>
    </w:p>
    <w:p>
      <w:pPr>
        <w:snapToGrid w:val="0"/>
        <w:spacing w:line="360" w:lineRule="auto"/>
        <w:ind w:firstLine="435"/>
        <w:rPr>
          <w:rFonts w:ascii="宋体"/>
          <w:bCs/>
          <w:szCs w:val="20"/>
        </w:rPr>
      </w:pPr>
      <w:r>
        <w:rPr>
          <w:rFonts w:hint="eastAsia" w:ascii="宋体"/>
          <w:bCs/>
          <w:szCs w:val="20"/>
        </w:rPr>
        <w:t>2.</w:t>
      </w:r>
      <w:r>
        <w:rPr>
          <w:rFonts w:hint="eastAsia" w:ascii="宋体" w:hAnsi="宋体"/>
          <w:szCs w:val="21"/>
        </w:rPr>
        <w:t>一次性通过验收。</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甲方乙方的权利和义务</w:t>
      </w:r>
    </w:p>
    <w:p>
      <w:pPr>
        <w:spacing w:line="360" w:lineRule="auto"/>
        <w:ind w:right="315" w:rightChars="150"/>
        <w:rPr>
          <w:rFonts w:ascii="宋体" w:hAnsi="宋体"/>
          <w:szCs w:val="21"/>
        </w:rPr>
      </w:pPr>
      <w:r>
        <w:rPr>
          <w:rFonts w:hint="eastAsia" w:ascii="宋体" w:hAnsi="宋体"/>
          <w:szCs w:val="21"/>
        </w:rPr>
        <w:t>　　（一） 甲方的权利和义务</w:t>
      </w:r>
    </w:p>
    <w:p>
      <w:pPr>
        <w:spacing w:line="360" w:lineRule="auto"/>
        <w:ind w:right="315" w:rightChars="150"/>
        <w:rPr>
          <w:rFonts w:ascii="宋体" w:hAnsi="宋体"/>
          <w:szCs w:val="21"/>
        </w:rPr>
      </w:pPr>
    </w:p>
    <w:p>
      <w:pPr>
        <w:spacing w:line="360" w:lineRule="auto"/>
        <w:ind w:right="315" w:rightChars="150"/>
        <w:rPr>
          <w:rFonts w:ascii="宋体" w:hAnsi="宋体"/>
          <w:szCs w:val="21"/>
        </w:rPr>
      </w:pPr>
      <w:r>
        <w:rPr>
          <w:rFonts w:hint="eastAsia" w:ascii="宋体" w:hAnsi="宋体"/>
          <w:szCs w:val="21"/>
        </w:rPr>
        <w:t>　　（二） 乙方的权利和义务</w:t>
      </w:r>
    </w:p>
    <w:p>
      <w:pPr>
        <w:spacing w:line="360" w:lineRule="auto"/>
        <w:ind w:right="315" w:rightChars="150"/>
        <w:rPr>
          <w:rFonts w:ascii="宋体" w:hAnsi="宋体"/>
          <w:szCs w:val="21"/>
        </w:rPr>
      </w:pP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服务期间（项目完成期限）</w:t>
      </w:r>
    </w:p>
    <w:p>
      <w:pPr>
        <w:spacing w:line="360" w:lineRule="auto"/>
        <w:ind w:right="315" w:rightChars="150" w:firstLine="435"/>
        <w:rPr>
          <w:rFonts w:ascii="宋体" w:hAnsi="宋体"/>
          <w:szCs w:val="21"/>
        </w:rPr>
      </w:pPr>
      <w:r>
        <w:rPr>
          <w:rFonts w:hint="eastAsia" w:ascii="宋体" w:hAnsi="宋体"/>
          <w:szCs w:val="21"/>
        </w:rPr>
        <w:t>委托服务期间自</w:t>
      </w:r>
      <w:r>
        <w:rPr>
          <w:rFonts w:hint="eastAsia" w:ascii="宋体" w:hAnsi="宋体"/>
          <w:szCs w:val="21"/>
          <w:u w:val="single"/>
        </w:rPr>
        <w:t>_____</w:t>
      </w:r>
      <w:r>
        <w:rPr>
          <w:rFonts w:hint="eastAsia" w:ascii="宋体" w:hAnsi="宋体"/>
          <w:szCs w:val="21"/>
        </w:rPr>
        <w:t>年</w:t>
      </w:r>
      <w:r>
        <w:rPr>
          <w:rFonts w:hint="eastAsia" w:ascii="宋体" w:hAnsi="宋体"/>
          <w:szCs w:val="21"/>
          <w:u w:val="single"/>
        </w:rPr>
        <w:t xml:space="preserve">_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_____</w:t>
      </w:r>
      <w:r>
        <w:rPr>
          <w:rFonts w:hint="eastAsia" w:ascii="宋体" w:hAnsi="宋体"/>
          <w:szCs w:val="21"/>
        </w:rPr>
        <w:t>年</w:t>
      </w:r>
      <w:r>
        <w:rPr>
          <w:rFonts w:hint="eastAsia" w:ascii="宋体" w:hAnsi="宋体"/>
          <w:szCs w:val="21"/>
          <w:u w:val="single"/>
        </w:rPr>
        <w:t>___</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日止。</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付款方式（招标文件用户需求书另有规定从其规定）</w:t>
      </w:r>
    </w:p>
    <w:p>
      <w:pPr>
        <w:spacing w:line="360" w:lineRule="auto"/>
        <w:ind w:right="315" w:rightChars="150" w:firstLine="420" w:firstLineChars="200"/>
        <w:rPr>
          <w:rFonts w:ascii="宋体" w:hAnsi="宋体"/>
          <w:szCs w:val="21"/>
        </w:rPr>
      </w:pPr>
      <w:r>
        <w:rPr>
          <w:rFonts w:hint="eastAsia" w:ascii="宋体" w:hAnsi="宋体"/>
          <w:szCs w:val="21"/>
        </w:rPr>
        <w:t>由甲方按下列程序付款。</w:t>
      </w:r>
    </w:p>
    <w:p>
      <w:pPr>
        <w:spacing w:line="360" w:lineRule="auto"/>
        <w:ind w:right="315" w:rightChars="150"/>
        <w:rPr>
          <w:rFonts w:ascii="宋体" w:hAnsi="宋体"/>
          <w:szCs w:val="21"/>
        </w:rPr>
      </w:pPr>
      <w:r>
        <w:rPr>
          <w:rFonts w:hint="eastAsia" w:ascii="宋体" w:hAnsi="宋体" w:cs="宋体"/>
          <w:szCs w:val="21"/>
        </w:rPr>
        <w:t>1）在合同实施及服务人员到达服务地后__天内，甲方应将第一次付款总服务费的__(-%)付给乙方。</w:t>
      </w:r>
    </w:p>
    <w:p>
      <w:pPr>
        <w:spacing w:line="360" w:lineRule="auto"/>
        <w:ind w:left="315" w:right="315" w:rightChars="150" w:hanging="315" w:hangingChars="150"/>
        <w:rPr>
          <w:rFonts w:ascii="宋体" w:hAnsi="宋体"/>
          <w:szCs w:val="21"/>
        </w:rPr>
      </w:pPr>
      <w:r>
        <w:rPr>
          <w:rFonts w:hint="eastAsia" w:ascii="宋体" w:hAnsi="宋体" w:cs="宋体"/>
          <w:szCs w:val="21"/>
        </w:rPr>
        <w:t>2）第二次付款额应为总服务费的__(-%)，甲方应在乙方已经准备好，并递交了服务报告及其它相关文件，而这些报告和文件符合合同附件上的要求并被甲方验收后付给乙方。</w:t>
      </w:r>
    </w:p>
    <w:p>
      <w:pPr>
        <w:spacing w:line="360" w:lineRule="auto"/>
        <w:ind w:left="315" w:right="315" w:rightChars="150" w:hanging="315" w:hangingChars="150"/>
        <w:rPr>
          <w:rFonts w:ascii="宋体" w:hAnsi="宋体" w:cs="宋体"/>
          <w:szCs w:val="21"/>
        </w:rPr>
      </w:pPr>
      <w:r>
        <w:rPr>
          <w:rFonts w:hint="eastAsia" w:ascii="宋体" w:hAnsi="宋体" w:cs="宋体"/>
          <w:szCs w:val="21"/>
        </w:rPr>
        <w:t>3）最后一次付款额应为总服务费的__(-%)，甲方应在乙方递交了服务总结报告和说明并完全履行合同完毕</w:t>
      </w:r>
      <w:r>
        <w:rPr>
          <w:rFonts w:hint="eastAsia" w:ascii="宋体" w:hAnsi="宋体" w:cs="宋体"/>
          <w:szCs w:val="21"/>
          <w:u w:val="single"/>
        </w:rPr>
        <w:t xml:space="preserve">    </w:t>
      </w:r>
      <w:r>
        <w:rPr>
          <w:rFonts w:hint="eastAsia" w:ascii="宋体" w:hAnsi="宋体" w:cs="宋体"/>
          <w:szCs w:val="21"/>
        </w:rPr>
        <w:t>日内付给乙方。</w:t>
      </w:r>
    </w:p>
    <w:p>
      <w:pPr>
        <w:spacing w:line="360" w:lineRule="auto"/>
        <w:ind w:left="315" w:right="315" w:rightChars="150" w:hanging="315" w:hangingChars="150"/>
        <w:rPr>
          <w:rFonts w:ascii="宋体" w:hAnsi="宋体" w:cs="宋体"/>
          <w:szCs w:val="21"/>
        </w:rPr>
      </w:pPr>
      <w:r>
        <w:rPr>
          <w:rFonts w:hint="eastAsia" w:ascii="宋体" w:hAnsi="宋体" w:cs="宋体"/>
          <w:szCs w:val="21"/>
        </w:rPr>
        <w:t>4）因甲方使用的是财政资金，甲方在前款规定的付款时间为向政府采购支付部门提出办理财政支付申请手续的时间（不含政府财政支付部门审核的时间），在规定时间内提出支付申请手续后即视为甲方已经按期支付。</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知识产权产权归属</w:t>
      </w:r>
    </w:p>
    <w:p>
      <w:pPr>
        <w:spacing w:line="360" w:lineRule="auto"/>
        <w:ind w:right="315" w:rightChars="150" w:firstLine="420" w:firstLineChars="200"/>
        <w:rPr>
          <w:rFonts w:ascii="宋体" w:hAnsi="宋体" w:cs="宋体"/>
          <w:szCs w:val="21"/>
        </w:rPr>
      </w:pPr>
      <w:r>
        <w:rPr>
          <w:rFonts w:hint="eastAsia" w:ascii="宋体" w:hAnsi="宋体" w:cs="宋体"/>
          <w:szCs w:val="21"/>
        </w:rPr>
        <w:t>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保密</w:t>
      </w:r>
    </w:p>
    <w:p>
      <w:pPr>
        <w:spacing w:line="360" w:lineRule="auto"/>
        <w:ind w:right="315" w:rightChars="150" w:firstLine="420" w:firstLineChars="200"/>
        <w:rPr>
          <w:rFonts w:ascii="宋体" w:hAnsi="宋体" w:cs="宋体"/>
          <w:szCs w:val="21"/>
        </w:rPr>
      </w:pPr>
      <w:r>
        <w:rPr>
          <w:rFonts w:hint="eastAsia" w:ascii="宋体" w:hAnsi="宋体" w:cs="宋体"/>
          <w:szCs w:val="21"/>
        </w:rPr>
        <w:t>项目实施过程中至乙方正式向甲方交付技术文档资料时止，乙方必须采取措施对本项目实施过程中的数据、源代码、技术文档等资料保密，否则，由于乙方过错导致的上述资料泄密的，乙方必须承担一切责任。项目完成后，甲、乙双方均有责任对本项目的技术保密承担责任。</w:t>
      </w:r>
    </w:p>
    <w:p>
      <w:pPr>
        <w:tabs>
          <w:tab w:val="left" w:pos="900"/>
        </w:tabs>
        <w:spacing w:line="360" w:lineRule="auto"/>
        <w:ind w:left="315" w:right="315" w:rightChars="150" w:hanging="315" w:hangingChars="150"/>
        <w:rPr>
          <w:rFonts w:ascii="宋体" w:hAnsi="宋体"/>
          <w:szCs w:val="21"/>
        </w:rPr>
      </w:pPr>
      <w:r>
        <w:rPr>
          <w:rFonts w:hint="eastAsia" w:ascii="宋体" w:hAnsi="宋体"/>
          <w:szCs w:val="21"/>
        </w:rPr>
        <w:t>1）未经乙方事先书面同意，甲方不得将由乙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pPr>
        <w:tabs>
          <w:tab w:val="left" w:pos="900"/>
        </w:tabs>
        <w:spacing w:line="360" w:lineRule="auto"/>
        <w:ind w:left="315" w:right="315" w:rightChars="150" w:hanging="315" w:hangingChars="150"/>
        <w:rPr>
          <w:rFonts w:ascii="宋体" w:hAnsi="宋体"/>
          <w:szCs w:val="21"/>
        </w:rPr>
      </w:pPr>
      <w:r>
        <w:rPr>
          <w:rFonts w:hint="eastAsia" w:ascii="宋体" w:hAnsi="宋体"/>
          <w:szCs w:val="21"/>
        </w:rPr>
        <w:t>2）除了合同本身之外，上款所列举的任何物件均是乙方的财产。如果乙方有要求，甲方在完成合同后应将这些物件及全部复制件还给乙方。</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违约责任与赔偿损失</w:t>
      </w:r>
    </w:p>
    <w:p>
      <w:pPr>
        <w:tabs>
          <w:tab w:val="left" w:pos="900"/>
        </w:tabs>
        <w:spacing w:line="360" w:lineRule="auto"/>
        <w:ind w:left="315" w:right="315" w:rightChars="150" w:hanging="315" w:hangingChars="150"/>
        <w:rPr>
          <w:rFonts w:ascii="宋体" w:hAnsi="宋体"/>
          <w:szCs w:val="21"/>
        </w:rPr>
      </w:pPr>
      <w:r>
        <w:rPr>
          <w:rFonts w:hint="eastAsia" w:ascii="宋体" w:hAnsi="宋体"/>
          <w:szCs w:val="21"/>
        </w:rPr>
        <w:t>1）乙方负责施工建设的工程如不符合设计要求的，甲方有权拒收，并且乙方须向甲方方支付本合同总价5%的违约金。</w:t>
      </w:r>
    </w:p>
    <w:p>
      <w:pPr>
        <w:tabs>
          <w:tab w:val="left" w:pos="720"/>
          <w:tab w:val="left" w:pos="900"/>
        </w:tabs>
        <w:spacing w:line="360" w:lineRule="auto"/>
        <w:ind w:left="315" w:right="315" w:rightChars="150" w:hanging="315" w:hangingChars="150"/>
        <w:rPr>
          <w:rFonts w:ascii="宋体" w:hAnsi="宋体"/>
          <w:szCs w:val="21"/>
        </w:rPr>
      </w:pPr>
      <w:r>
        <w:rPr>
          <w:rFonts w:hint="eastAsia" w:ascii="宋体" w:hAnsi="宋体"/>
          <w:szCs w:val="21"/>
        </w:rPr>
        <w:t>2）如因乙方原因未能按本合同规定的交货时间完成工程建设，从逾期之日起每日按本合同总价3‰的数额向甲方支付违约金；逾期15天以上（含15天）的，甲方有权终止合同，要求乙方支付违约金，并且给甲方造成的经济损失由乙方承担赔偿责任。</w:t>
      </w:r>
    </w:p>
    <w:p>
      <w:pPr>
        <w:spacing w:line="360" w:lineRule="auto"/>
        <w:ind w:left="315" w:right="315" w:rightChars="150" w:hanging="315" w:hangingChars="150"/>
        <w:rPr>
          <w:rFonts w:ascii="宋体" w:hAnsi="宋体"/>
          <w:szCs w:val="21"/>
        </w:rPr>
      </w:pPr>
      <w:r>
        <w:rPr>
          <w:rFonts w:hint="eastAsia" w:ascii="宋体" w:hAnsi="宋体"/>
          <w:szCs w:val="21"/>
        </w:rPr>
        <w:t>3）甲方无正当理由不通过竣工验收申请，到期拒付工程款项的，甲方向乙方偿付本合同总价5%的违约金。甲方逾期付款，则每日按本合同总价的3‰向乙方偿付违约金。</w:t>
      </w:r>
    </w:p>
    <w:p>
      <w:pPr>
        <w:spacing w:line="360" w:lineRule="auto"/>
        <w:ind w:right="315" w:rightChars="150"/>
        <w:rPr>
          <w:rFonts w:ascii="宋体" w:hAnsi="宋体"/>
          <w:bCs/>
          <w:szCs w:val="21"/>
        </w:rPr>
      </w:pPr>
      <w:r>
        <w:rPr>
          <w:rFonts w:hint="eastAsia" w:ascii="宋体" w:hAnsi="宋体"/>
          <w:bCs/>
          <w:szCs w:val="21"/>
        </w:rPr>
        <w:t>4）其它违约责任按《中华人民共和国合同法》处理。</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争端的解决</w:t>
      </w:r>
    </w:p>
    <w:p>
      <w:pPr>
        <w:spacing w:line="360" w:lineRule="auto"/>
        <w:ind w:right="315" w:rightChars="150" w:firstLine="420" w:firstLineChars="200"/>
        <w:rPr>
          <w:rFonts w:ascii="宋体" w:hAnsi="宋体"/>
          <w:szCs w:val="21"/>
        </w:rPr>
      </w:pPr>
      <w:r>
        <w:rPr>
          <w:rFonts w:hint="eastAsia" w:ascii="宋体" w:hAnsi="宋体"/>
          <w:szCs w:val="21"/>
        </w:rPr>
        <w:t>合同执行过程中发生的任何争议，如双方不能通过友好协商解决，甲、乙双方一致同意向甲方所在地人民法院提起诉讼。</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不可抗力</w:t>
      </w:r>
    </w:p>
    <w:p>
      <w:pPr>
        <w:spacing w:line="360" w:lineRule="auto"/>
        <w:ind w:right="315" w:rightChars="150" w:firstLine="420" w:firstLineChars="200"/>
        <w:rPr>
          <w:rFonts w:ascii="宋体" w:hAnsi="宋体"/>
          <w:szCs w:val="21"/>
        </w:rPr>
      </w:pPr>
      <w:r>
        <w:rPr>
          <w:rFonts w:hint="eastAsia" w:ascii="宋体" w:hAnsi="宋体"/>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税费</w:t>
      </w:r>
    </w:p>
    <w:p>
      <w:pPr>
        <w:spacing w:line="360" w:lineRule="auto"/>
        <w:ind w:right="315" w:rightChars="150" w:firstLine="420" w:firstLineChars="200"/>
        <w:rPr>
          <w:rFonts w:ascii="宋体" w:hAnsi="宋体"/>
          <w:szCs w:val="21"/>
        </w:rPr>
      </w:pPr>
      <w:r>
        <w:rPr>
          <w:rFonts w:hint="eastAsia" w:ascii="宋体" w:hAnsi="宋体"/>
          <w:szCs w:val="21"/>
        </w:rPr>
        <w:t>在中国境内、外发生的与本合同执行有关的一切税费均由乙方负担。</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其它</w:t>
      </w:r>
    </w:p>
    <w:p>
      <w:pPr>
        <w:spacing w:line="360" w:lineRule="auto"/>
        <w:ind w:left="349" w:right="315" w:rightChars="150" w:hanging="348" w:hangingChars="166"/>
        <w:rPr>
          <w:rFonts w:ascii="宋体" w:hAnsi="宋体"/>
          <w:b/>
          <w:szCs w:val="21"/>
        </w:rPr>
      </w:pPr>
      <w:r>
        <w:rPr>
          <w:rFonts w:hint="eastAsia" w:ascii="宋体" w:hAnsi="宋体"/>
          <w:szCs w:val="21"/>
        </w:rPr>
        <w:t>1）本合同所有附件、采购文件、投标文件、中标通知书均为合同的有效组成部分，与本合同具有同等法律效力。</w:t>
      </w:r>
    </w:p>
    <w:p>
      <w:pPr>
        <w:spacing w:line="360" w:lineRule="auto"/>
        <w:ind w:left="321" w:right="315" w:rightChars="150" w:hanging="321" w:hangingChars="153"/>
        <w:rPr>
          <w:rFonts w:ascii="宋体" w:hAnsi="宋体"/>
          <w:szCs w:val="21"/>
        </w:rPr>
      </w:pPr>
      <w:r>
        <w:rPr>
          <w:rFonts w:hint="eastAsia" w:ascii="宋体" w:hAnsi="宋体"/>
          <w:bCs/>
          <w:szCs w:val="21"/>
        </w:rPr>
        <w:t>2</w:t>
      </w:r>
      <w:r>
        <w:rPr>
          <w:rFonts w:hint="eastAsia" w:ascii="宋体" w:hAnsi="宋体"/>
          <w:szCs w:val="21"/>
        </w:rPr>
        <w:t>）在执行本合同的过程中，所有经双方签署确认的文件（包括会议纪要、补充协议、往来信函）即成为本合同的有效组成部分。</w:t>
      </w:r>
    </w:p>
    <w:p>
      <w:pPr>
        <w:spacing w:line="360" w:lineRule="auto"/>
        <w:ind w:right="315" w:rightChars="150"/>
        <w:rPr>
          <w:rFonts w:ascii="宋体" w:hAnsi="宋体"/>
          <w:szCs w:val="21"/>
        </w:rPr>
      </w:pPr>
      <w:r>
        <w:rPr>
          <w:rFonts w:hint="eastAsia" w:ascii="宋体" w:hAnsi="宋体"/>
          <w:szCs w:val="21"/>
        </w:rPr>
        <w:t xml:space="preserve">3）如一方地址、电话、传真号码有变更，应在变更当日内书面通知对方，否则，应承担相应责任。 </w:t>
      </w:r>
    </w:p>
    <w:p>
      <w:pPr>
        <w:spacing w:line="360" w:lineRule="auto"/>
        <w:ind w:right="315" w:rightChars="150"/>
        <w:rPr>
          <w:rFonts w:ascii="宋体" w:hAnsi="宋体"/>
          <w:szCs w:val="21"/>
        </w:rPr>
      </w:pPr>
      <w:r>
        <w:rPr>
          <w:rFonts w:hint="eastAsia" w:ascii="宋体" w:hAnsi="宋体"/>
          <w:szCs w:val="21"/>
        </w:rPr>
        <w:t>4）除甲方事先书面同意外，乙方不得部分或全部转让其应履行的合同项下的义务。</w:t>
      </w:r>
    </w:p>
    <w:p>
      <w:pPr>
        <w:numPr>
          <w:ilvl w:val="0"/>
          <w:numId w:val="20"/>
        </w:numPr>
        <w:tabs>
          <w:tab w:val="left" w:pos="426"/>
          <w:tab w:val="clear" w:pos="420"/>
        </w:tabs>
        <w:autoSpaceDE w:val="0"/>
        <w:autoSpaceDN w:val="0"/>
        <w:adjustRightInd w:val="0"/>
        <w:spacing w:line="360" w:lineRule="auto"/>
        <w:ind w:right="315" w:rightChars="150"/>
        <w:jc w:val="left"/>
        <w:rPr>
          <w:rFonts w:ascii="宋体" w:hAnsi="宋体"/>
          <w:b/>
          <w:szCs w:val="21"/>
        </w:rPr>
      </w:pPr>
      <w:r>
        <w:rPr>
          <w:rFonts w:hint="eastAsia" w:ascii="宋体" w:hAnsi="宋体"/>
          <w:b/>
          <w:szCs w:val="21"/>
        </w:rPr>
        <w:t>合同生效：</w:t>
      </w:r>
    </w:p>
    <w:p>
      <w:pPr>
        <w:spacing w:line="360" w:lineRule="auto"/>
        <w:ind w:right="315" w:rightChars="150"/>
        <w:rPr>
          <w:rFonts w:ascii="宋体" w:hAnsi="宋体" w:cs="宋体"/>
          <w:szCs w:val="21"/>
        </w:rPr>
      </w:pPr>
      <w:r>
        <w:rPr>
          <w:rFonts w:hint="eastAsia" w:ascii="宋体" w:hAnsi="宋体" w:cs="宋体"/>
          <w:szCs w:val="21"/>
        </w:rPr>
        <w:t>1）合同自甲乙双方法人代表或其授权代表签字盖章之日起生效。</w:t>
      </w:r>
    </w:p>
    <w:p>
      <w:pPr>
        <w:spacing w:line="360" w:lineRule="auto"/>
        <w:ind w:right="315" w:rightChars="150"/>
        <w:rPr>
          <w:rFonts w:ascii="宋体" w:hAnsi="宋体"/>
          <w:szCs w:val="21"/>
        </w:rPr>
      </w:pPr>
      <w:r>
        <w:rPr>
          <w:rFonts w:hint="eastAsia" w:ascii="宋体" w:hAnsi="宋体"/>
          <w:szCs w:val="21"/>
        </w:rPr>
        <w:t>2）</w:t>
      </w:r>
      <w:r>
        <w:rPr>
          <w:rFonts w:hint="eastAsia" w:ascii="宋体" w:hAnsi="宋体" w:cs="宋体"/>
          <w:szCs w:val="21"/>
        </w:rPr>
        <w:t>合同壹式</w:t>
      </w:r>
      <w:r>
        <w:rPr>
          <w:rFonts w:hint="eastAsia" w:ascii="宋体" w:hAnsi="宋体" w:cs="宋体"/>
          <w:szCs w:val="21"/>
          <w:u w:val="single"/>
        </w:rPr>
        <w:t xml:space="preserve">    </w:t>
      </w:r>
      <w:r>
        <w:rPr>
          <w:rFonts w:hint="eastAsia" w:ascii="宋体" w:hAnsi="宋体" w:cs="宋体"/>
          <w:szCs w:val="21"/>
        </w:rPr>
        <w:t>份，其中甲乙双方各执</w:t>
      </w:r>
      <w:r>
        <w:rPr>
          <w:rFonts w:hint="eastAsia" w:ascii="宋体" w:hAnsi="宋体" w:cs="宋体"/>
          <w:szCs w:val="21"/>
          <w:u w:val="single"/>
        </w:rPr>
        <w:t xml:space="preserve">     </w:t>
      </w:r>
      <w:r>
        <w:rPr>
          <w:rFonts w:hint="eastAsia" w:ascii="宋体" w:hAnsi="宋体" w:cs="宋体"/>
          <w:szCs w:val="21"/>
        </w:rPr>
        <w:t>份，采购单位执壹份，政府采购监督管理部门</w:t>
      </w:r>
      <w:r>
        <w:rPr>
          <w:rFonts w:hint="eastAsia" w:ascii="宋体" w:hAnsi="宋体" w:cs="宋体"/>
          <w:szCs w:val="21"/>
          <w:u w:val="single"/>
        </w:rPr>
        <w:t xml:space="preserve">     </w:t>
      </w:r>
      <w:r>
        <w:rPr>
          <w:rFonts w:hint="eastAsia" w:ascii="宋体" w:hAnsi="宋体" w:cs="宋体"/>
          <w:szCs w:val="21"/>
        </w:rPr>
        <w:t>份</w:t>
      </w:r>
      <w:r>
        <w:rPr>
          <w:rFonts w:hint="eastAsia" w:ascii="宋体" w:hAnsi="宋体"/>
          <w:szCs w:val="21"/>
        </w:rPr>
        <w:t>。</w:t>
      </w:r>
    </w:p>
    <w:p>
      <w:pPr>
        <w:spacing w:line="360" w:lineRule="auto"/>
        <w:ind w:right="315" w:rightChars="150"/>
        <w:rPr>
          <w:rFonts w:ascii="宋体" w:hAnsi="宋体"/>
          <w:b/>
          <w:szCs w:val="21"/>
        </w:rPr>
      </w:pPr>
    </w:p>
    <w:p>
      <w:pPr>
        <w:ind w:right="315" w:rightChars="150"/>
        <w:rPr>
          <w:rFonts w:ascii="宋体" w:hAnsi="宋体"/>
          <w:b/>
          <w:szCs w:val="21"/>
        </w:rPr>
      </w:pPr>
      <w:r>
        <w:rPr>
          <w:rFonts w:hint="eastAsia" w:ascii="宋体" w:hAnsi="宋体"/>
          <w:b/>
          <w:szCs w:val="21"/>
        </w:rPr>
        <w:t>甲方（盖章）：                                乙方（盖章）：</w:t>
      </w:r>
    </w:p>
    <w:p>
      <w:pPr>
        <w:ind w:right="315" w:rightChars="150"/>
        <w:rPr>
          <w:rFonts w:ascii="宋体" w:hAnsi="宋体"/>
          <w:b/>
          <w:szCs w:val="21"/>
        </w:rPr>
      </w:pPr>
      <w:r>
        <w:rPr>
          <w:rFonts w:hint="eastAsia" w:ascii="宋体" w:hAnsi="宋体"/>
          <w:b/>
          <w:szCs w:val="21"/>
        </w:rPr>
        <w:t xml:space="preserve">代表：                                        代表： </w:t>
      </w:r>
    </w:p>
    <w:p>
      <w:pPr>
        <w:ind w:right="315" w:rightChars="150"/>
        <w:rPr>
          <w:rFonts w:ascii="宋体" w:hAnsi="宋体"/>
          <w:szCs w:val="21"/>
        </w:rPr>
      </w:pPr>
      <w:r>
        <w:rPr>
          <w:rFonts w:hint="eastAsia" w:ascii="宋体" w:hAnsi="宋体"/>
          <w:szCs w:val="21"/>
        </w:rPr>
        <w:t>签定地点：</w:t>
      </w:r>
    </w:p>
    <w:p>
      <w:pPr>
        <w:ind w:right="315" w:rightChars="150"/>
        <w:rPr>
          <w:rFonts w:ascii="宋体" w:hAnsi="宋体"/>
          <w:szCs w:val="21"/>
        </w:rPr>
      </w:pPr>
      <w:r>
        <w:rPr>
          <w:rFonts w:hint="eastAsia" w:ascii="宋体" w:hAnsi="宋体"/>
          <w:szCs w:val="21"/>
        </w:rPr>
        <w:t xml:space="preserve">签定日期：        年     月    日             签定日期：        年     月     日    </w:t>
      </w:r>
    </w:p>
    <w:p>
      <w:pPr>
        <w:ind w:right="315" w:rightChars="150" w:firstLine="4830"/>
        <w:rPr>
          <w:rFonts w:ascii="宋体" w:hAnsi="宋体"/>
          <w:szCs w:val="21"/>
        </w:rPr>
      </w:pPr>
      <w:r>
        <w:rPr>
          <w:rFonts w:hint="eastAsia" w:ascii="宋体" w:hAnsi="宋体"/>
          <w:szCs w:val="21"/>
        </w:rPr>
        <w:t>开户名称：</w:t>
      </w:r>
    </w:p>
    <w:p>
      <w:pPr>
        <w:ind w:right="315" w:rightChars="150" w:firstLine="4830"/>
        <w:rPr>
          <w:rFonts w:ascii="宋体" w:hAnsi="宋体"/>
          <w:szCs w:val="21"/>
        </w:rPr>
      </w:pPr>
      <w:r>
        <w:rPr>
          <w:rFonts w:hint="eastAsia" w:ascii="宋体" w:hAnsi="宋体"/>
          <w:szCs w:val="21"/>
        </w:rPr>
        <w:t>银行账号：</w:t>
      </w:r>
    </w:p>
    <w:p>
      <w:pPr>
        <w:ind w:right="315" w:rightChars="150" w:firstLine="4830"/>
        <w:sectPr>
          <w:pgSz w:w="11906" w:h="16838"/>
          <w:pgMar w:top="1440" w:right="1418" w:bottom="1440" w:left="1418" w:header="657" w:footer="481" w:gutter="0"/>
          <w:pgNumType w:fmt="numberInDash"/>
          <w:cols w:space="720" w:num="1"/>
          <w:docGrid w:linePitch="312" w:charSpace="0"/>
        </w:sectPr>
      </w:pPr>
      <w:r>
        <w:rPr>
          <w:rFonts w:hint="eastAsia" w:ascii="宋体" w:hAnsi="宋体"/>
          <w:szCs w:val="21"/>
        </w:rPr>
        <w:t>开 户 行：</w:t>
      </w:r>
    </w:p>
    <w:p>
      <w:pPr>
        <w:numPr>
          <w:ilvl w:val="0"/>
          <w:numId w:val="12"/>
        </w:numPr>
        <w:tabs>
          <w:tab w:val="left" w:pos="1843"/>
        </w:tabs>
        <w:spacing w:line="360" w:lineRule="auto"/>
        <w:jc w:val="center"/>
        <w:outlineLvl w:val="0"/>
        <w:rPr>
          <w:rFonts w:ascii="宋体" w:hAnsi="宋体"/>
          <w:b/>
          <w:bCs/>
          <w:sz w:val="28"/>
        </w:rPr>
      </w:pPr>
      <w:bookmarkStart w:id="85" w:name="_Toc23529"/>
      <w:r>
        <w:rPr>
          <w:rFonts w:hint="eastAsia"/>
          <w:b/>
          <w:sz w:val="50"/>
          <w:szCs w:val="50"/>
        </w:rPr>
        <w:t>评分体系与标准</w:t>
      </w:r>
      <w:bookmarkEnd w:id="85"/>
    </w:p>
    <w:p>
      <w:pPr>
        <w:tabs>
          <w:tab w:val="left" w:pos="1843"/>
        </w:tabs>
        <w:spacing w:line="360" w:lineRule="auto"/>
        <w:ind w:left="420"/>
        <w:jc w:val="center"/>
        <w:outlineLvl w:val="0"/>
        <w:rPr>
          <w:rFonts w:ascii="宋体" w:hAnsi="宋体"/>
          <w:b/>
          <w:bCs/>
          <w:sz w:val="28"/>
        </w:rPr>
      </w:pPr>
      <w:r>
        <w:rPr>
          <w:rFonts w:hint="eastAsia" w:ascii="宋体" w:hAnsi="宋体"/>
          <w:b/>
          <w:bCs/>
          <w:sz w:val="28"/>
        </w:rPr>
        <w:t>评分体系与标准</w:t>
      </w:r>
    </w:p>
    <w:p>
      <w:pPr>
        <w:numPr>
          <w:ilvl w:val="0"/>
          <w:numId w:val="21"/>
        </w:numPr>
        <w:tabs>
          <w:tab w:val="left" w:pos="630"/>
        </w:tabs>
        <w:autoSpaceDE w:val="0"/>
        <w:autoSpaceDN w:val="0"/>
        <w:adjustRightInd w:val="0"/>
        <w:spacing w:line="360" w:lineRule="auto"/>
        <w:ind w:right="422" w:rightChars="201"/>
        <w:rPr>
          <w:rFonts w:ascii="宋体" w:cs="宋体"/>
          <w:szCs w:val="21"/>
        </w:rPr>
      </w:pPr>
      <w:r>
        <w:rPr>
          <w:rFonts w:hint="eastAsia" w:ascii="宋体" w:cs="宋体"/>
          <w:szCs w:val="21"/>
        </w:rPr>
        <w:t>本评标办</w:t>
      </w:r>
      <w:r>
        <w:rPr>
          <w:rFonts w:hint="eastAsia" w:ascii="宋体" w:cs="宋体"/>
          <w:color w:val="000000"/>
          <w:szCs w:val="21"/>
        </w:rPr>
        <w:t>法采用综合评分法，不保证投标价最低者得。</w:t>
      </w:r>
    </w:p>
    <w:p>
      <w:pPr>
        <w:numPr>
          <w:ilvl w:val="0"/>
          <w:numId w:val="21"/>
        </w:numPr>
        <w:tabs>
          <w:tab w:val="left" w:pos="630"/>
        </w:tabs>
        <w:autoSpaceDE w:val="0"/>
        <w:autoSpaceDN w:val="0"/>
        <w:adjustRightInd w:val="0"/>
        <w:spacing w:line="360" w:lineRule="auto"/>
        <w:ind w:right="281" w:rightChars="134"/>
        <w:rPr>
          <w:rFonts w:ascii="宋体" w:cs="宋体"/>
          <w:szCs w:val="21"/>
        </w:rPr>
      </w:pPr>
      <w:r>
        <w:rPr>
          <w:rFonts w:hint="eastAsia" w:ascii="宋体" w:cs="宋体"/>
          <w:szCs w:val="21"/>
        </w:rPr>
        <w:t>评标步骤：评标委员会先进行投标文件初审，对通过初审的投标文件进行技术、商务及价格的详细评审。</w:t>
      </w:r>
    </w:p>
    <w:p>
      <w:pPr>
        <w:numPr>
          <w:ilvl w:val="0"/>
          <w:numId w:val="21"/>
        </w:numPr>
        <w:tabs>
          <w:tab w:val="left" w:pos="630"/>
        </w:tabs>
        <w:autoSpaceDE w:val="0"/>
        <w:autoSpaceDN w:val="0"/>
        <w:adjustRightInd w:val="0"/>
        <w:spacing w:line="360" w:lineRule="auto"/>
        <w:ind w:right="281" w:rightChars="134"/>
        <w:rPr>
          <w:rFonts w:ascii="宋体" w:hAnsi="宋体"/>
        </w:rPr>
      </w:pPr>
      <w:r>
        <w:rPr>
          <w:rFonts w:hint="eastAsia" w:ascii="宋体" w:cs="宋体"/>
          <w:szCs w:val="21"/>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p>
    <w:p>
      <w:pPr>
        <w:adjustRightInd w:val="0"/>
        <w:snapToGrid w:val="0"/>
        <w:spacing w:before="120" w:beforeLines="50" w:after="120" w:afterLines="50" w:line="360" w:lineRule="exact"/>
        <w:jc w:val="center"/>
        <w:rPr>
          <w:rFonts w:ascii="宋体" w:hAnsi="宋体" w:cs="宋体"/>
          <w:sz w:val="25"/>
          <w:szCs w:val="25"/>
        </w:rPr>
      </w:pPr>
    </w:p>
    <w:p>
      <w:pPr>
        <w:adjustRightInd w:val="0"/>
        <w:snapToGrid w:val="0"/>
        <w:spacing w:before="120" w:beforeLines="50" w:after="120" w:afterLines="50" w:line="360" w:lineRule="exact"/>
        <w:jc w:val="center"/>
        <w:rPr>
          <w:rFonts w:ascii="宋体" w:hAnsi="宋体" w:cs="宋体"/>
          <w:b/>
          <w:bCs/>
          <w:sz w:val="28"/>
          <w:szCs w:val="28"/>
        </w:rPr>
      </w:pPr>
      <w:r>
        <w:rPr>
          <w:rFonts w:hint="eastAsia" w:ascii="宋体" w:hAnsi="宋体" w:cs="宋体"/>
          <w:b/>
          <w:bCs/>
          <w:sz w:val="28"/>
          <w:szCs w:val="28"/>
        </w:rPr>
        <w:t>资格、符合性评审条款</w:t>
      </w:r>
    </w:p>
    <w:p>
      <w:pPr>
        <w:spacing w:line="360" w:lineRule="exact"/>
        <w:rPr>
          <w:rFonts w:ascii="宋体" w:hAnsi="宋体" w:cs="宋体"/>
          <w:snapToGrid w:val="0"/>
          <w:color w:val="FF0000"/>
          <w:spacing w:val="8"/>
          <w:szCs w:val="21"/>
        </w:rPr>
      </w:pPr>
      <w:r>
        <w:rPr>
          <w:rFonts w:hint="eastAsia" w:ascii="宋体" w:hAnsi="宋体" w:cs="宋体"/>
          <w:szCs w:val="21"/>
        </w:rPr>
        <w:t>项目名称</w:t>
      </w:r>
      <w:r>
        <w:rPr>
          <w:rFonts w:hint="eastAsia" w:ascii="宋体" w:hAnsi="宋体" w:cs="宋体"/>
          <w:color w:val="000000"/>
          <w:szCs w:val="21"/>
        </w:rPr>
        <w:t>：《江门市江海区和德路及应急产业项目占用耕地耕作层土壤剥离再利用方案》耕作层土壤剥离再利用工程项目</w:t>
      </w:r>
    </w:p>
    <w:p>
      <w:pPr>
        <w:spacing w:line="360" w:lineRule="exact"/>
        <w:rPr>
          <w:rFonts w:ascii="宋体" w:hAnsi="宋体" w:cs="宋体"/>
          <w:color w:val="FF0000"/>
          <w:szCs w:val="21"/>
        </w:rPr>
      </w:pPr>
      <w:r>
        <w:rPr>
          <w:rFonts w:hint="eastAsia" w:ascii="宋体" w:hAnsi="宋体" w:cs="宋体"/>
          <w:szCs w:val="21"/>
        </w:rPr>
        <w:t>项目编号</w:t>
      </w:r>
      <w:r>
        <w:rPr>
          <w:rFonts w:hint="eastAsia" w:ascii="宋体" w:hAnsi="宋体" w:cs="宋体"/>
          <w:color w:val="000000"/>
          <w:szCs w:val="21"/>
        </w:rPr>
        <w:t>：</w:t>
      </w:r>
    </w:p>
    <w:tbl>
      <w:tblPr>
        <w:tblStyle w:val="50"/>
        <w:tblW w:w="86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0"/>
        <w:gridCol w:w="7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990" w:type="dxa"/>
            <w:tcBorders>
              <w:right w:val="single" w:color="auto" w:sz="4" w:space="0"/>
            </w:tcBorders>
            <w:vAlign w:val="center"/>
          </w:tcPr>
          <w:p>
            <w:pPr>
              <w:jc w:val="center"/>
              <w:rPr>
                <w:rFonts w:ascii="宋体" w:cs="宋体"/>
                <w:b/>
              </w:rPr>
            </w:pPr>
            <w:r>
              <w:rPr>
                <w:rFonts w:hint="eastAsia" w:ascii="宋体" w:cs="宋体"/>
                <w:b/>
              </w:rPr>
              <w:t>序号</w:t>
            </w:r>
          </w:p>
        </w:tc>
        <w:tc>
          <w:tcPr>
            <w:tcW w:w="7686" w:type="dxa"/>
            <w:tcBorders>
              <w:left w:val="single" w:color="auto" w:sz="4" w:space="0"/>
            </w:tcBorders>
            <w:vAlign w:val="center"/>
          </w:tcPr>
          <w:p>
            <w:pPr>
              <w:jc w:val="center"/>
              <w:rPr>
                <w:rFonts w:ascii="宋体" w:cs="宋体"/>
                <w:b/>
              </w:rPr>
            </w:pPr>
            <w:r>
              <w:rPr>
                <w:rFonts w:hint="eastAsia" w:ascii="宋体" w:hAnsi="宋体" w:cs="宋体"/>
                <w:b/>
              </w:rPr>
              <w:t>评审内容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具备招标文件中规定资格要求的及资格证明文件齐全；</w:t>
            </w:r>
            <w:r>
              <w:rPr>
                <w:rFonts w:ascii="宋体" w:hAnsi="宋体" w:cs="宋体"/>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投标函已提交并符合招标文件要求的；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ind w:left="19" w:hanging="18" w:hangingChars="9"/>
              <w:rPr>
                <w:rFonts w:ascii="宋体" w:hAnsi="宋体" w:cs="宋体"/>
              </w:rPr>
            </w:pPr>
            <w:r>
              <w:rPr>
                <w:rFonts w:hint="eastAsia" w:ascii="宋体" w:hAnsi="宋体" w:cs="宋体"/>
              </w:rPr>
              <w:t>按照招标文件规定要求签署、盖章且投标文件有法定代表人签字，或签字人有法定代表人有效授权书的；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adjustRightInd w:val="0"/>
              <w:snapToGrid w:val="0"/>
              <w:rPr>
                <w:rFonts w:ascii="宋体" w:hAnsi="宋体" w:cs="宋体"/>
              </w:rPr>
            </w:pPr>
            <w:r>
              <w:rPr>
                <w:rFonts w:hint="eastAsia" w:ascii="宋体" w:hAnsi="宋体" w:cs="宋体"/>
              </w:rPr>
              <w:t>投标报价未超过本</w:t>
            </w:r>
            <w:r>
              <w:rPr>
                <w:rFonts w:hint="eastAsia" w:ascii="宋体" w:hAnsi="宋体" w:cs="宋体"/>
                <w:color w:val="000000"/>
              </w:rPr>
              <w:t>项目最高单价限价的；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投标文件没有招标文件中规定的其它无效投标条款的；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8" w:hRule="atLeast"/>
          <w:jc w:val="center"/>
        </w:trPr>
        <w:tc>
          <w:tcPr>
            <w:tcW w:w="990" w:type="dxa"/>
            <w:tcBorders>
              <w:right w:val="single" w:color="auto" w:sz="4" w:space="0"/>
            </w:tcBorders>
            <w:vAlign w:val="center"/>
          </w:tcPr>
          <w:p>
            <w:pPr>
              <w:numPr>
                <w:ilvl w:val="0"/>
                <w:numId w:val="22"/>
              </w:numPr>
              <w:tabs>
                <w:tab w:val="left" w:pos="432"/>
                <w:tab w:val="left" w:pos="612"/>
              </w:tabs>
              <w:jc w:val="center"/>
              <w:rPr>
                <w:rFonts w:ascii="宋体" w:hAnsi="宋体" w:cs="宋体"/>
              </w:rPr>
            </w:pPr>
          </w:p>
        </w:tc>
        <w:tc>
          <w:tcPr>
            <w:tcW w:w="7686" w:type="dxa"/>
            <w:tcBorders>
              <w:left w:val="single" w:color="auto" w:sz="4" w:space="0"/>
            </w:tcBorders>
            <w:vAlign w:val="center"/>
          </w:tcPr>
          <w:p>
            <w:pPr>
              <w:rPr>
                <w:rFonts w:ascii="宋体" w:hAnsi="宋体" w:cs="宋体"/>
              </w:rPr>
            </w:pPr>
            <w:r>
              <w:rPr>
                <w:rFonts w:hint="eastAsia" w:ascii="宋体" w:hAnsi="宋体" w:cs="宋体"/>
              </w:rPr>
              <w:t>按有关法律、法规、规章不属于投标无效的。</w:t>
            </w:r>
          </w:p>
        </w:tc>
      </w:tr>
    </w:tbl>
    <w:p>
      <w:pPr>
        <w:spacing w:line="360" w:lineRule="exact"/>
        <w:rPr>
          <w:rFonts w:ascii="宋体" w:hAnsi="宋体" w:cs="宋体"/>
          <w:sz w:val="25"/>
          <w:szCs w:val="25"/>
        </w:rPr>
      </w:pPr>
    </w:p>
    <w:p>
      <w:pPr>
        <w:spacing w:line="360" w:lineRule="exact"/>
        <w:rPr>
          <w:rFonts w:ascii="宋体" w:hAnsi="宋体" w:cs="宋体"/>
          <w:snapToGrid w:val="0"/>
          <w:spacing w:val="8"/>
          <w:sz w:val="25"/>
          <w:szCs w:val="25"/>
        </w:rPr>
      </w:pPr>
    </w:p>
    <w:p>
      <w:pPr>
        <w:spacing w:line="360" w:lineRule="exact"/>
        <w:rPr>
          <w:rFonts w:ascii="宋体" w:hAnsi="宋体" w:cs="宋体"/>
          <w:sz w:val="25"/>
          <w:szCs w:val="25"/>
        </w:rPr>
        <w:sectPr>
          <w:pgSz w:w="11906" w:h="16838"/>
          <w:pgMar w:top="1440" w:right="1700" w:bottom="1440" w:left="1418" w:header="657" w:footer="481" w:gutter="0"/>
          <w:pgNumType w:fmt="numberInDash"/>
          <w:cols w:space="720" w:num="1"/>
          <w:docGrid w:linePitch="312" w:charSpace="0"/>
        </w:sectPr>
      </w:pPr>
    </w:p>
    <w:p>
      <w:pPr>
        <w:adjustRightInd w:val="0"/>
        <w:snapToGrid w:val="0"/>
        <w:spacing w:before="120" w:beforeLines="50" w:after="120" w:afterLines="50" w:line="360" w:lineRule="exact"/>
        <w:jc w:val="center"/>
        <w:rPr>
          <w:rFonts w:ascii="宋体" w:hAnsi="宋体" w:cs="宋体"/>
          <w:b/>
          <w:bCs/>
          <w:sz w:val="28"/>
          <w:szCs w:val="28"/>
        </w:rPr>
      </w:pPr>
      <w:r>
        <w:rPr>
          <w:rFonts w:hint="eastAsia" w:ascii="宋体" w:hAnsi="宋体" w:cs="宋体"/>
          <w:b/>
          <w:bCs/>
          <w:sz w:val="28"/>
          <w:szCs w:val="28"/>
        </w:rPr>
        <w:t>技术部分评分表</w:t>
      </w:r>
    </w:p>
    <w:p>
      <w:pPr>
        <w:adjustRightInd w:val="0"/>
        <w:snapToGrid w:val="0"/>
        <w:spacing w:before="120" w:beforeLines="50" w:after="120" w:afterLines="50" w:line="360" w:lineRule="exact"/>
        <w:jc w:val="center"/>
        <w:rPr>
          <w:rFonts w:ascii="宋体" w:hAnsi="宋体" w:cs="宋体"/>
          <w:b/>
          <w:bCs/>
          <w:color w:val="000000"/>
          <w:sz w:val="28"/>
          <w:szCs w:val="28"/>
        </w:rPr>
      </w:pPr>
      <w:r>
        <w:rPr>
          <w:rFonts w:hint="eastAsia" w:ascii="宋体" w:hAnsi="宋体" w:cs="宋体"/>
          <w:b/>
          <w:bCs/>
          <w:color w:val="000000"/>
          <w:sz w:val="28"/>
          <w:szCs w:val="28"/>
        </w:rPr>
        <w:t>（40分）</w:t>
      </w:r>
    </w:p>
    <w:p>
      <w:pPr>
        <w:spacing w:line="360" w:lineRule="auto"/>
        <w:jc w:val="left"/>
        <w:rPr>
          <w:rFonts w:ascii="宋体" w:hAnsi="宋体" w:cs="宋体"/>
          <w:color w:val="FF0000"/>
          <w:szCs w:val="21"/>
        </w:rPr>
      </w:pPr>
      <w:r>
        <w:rPr>
          <w:rFonts w:hint="eastAsia" w:ascii="宋体" w:hAnsi="宋体" w:cs="宋体"/>
          <w:szCs w:val="21"/>
        </w:rPr>
        <w:t>项目名称：</w:t>
      </w:r>
      <w:r>
        <w:rPr>
          <w:rFonts w:hint="eastAsia" w:ascii="宋体" w:hAnsi="宋体" w:cs="宋体"/>
          <w:color w:val="000000"/>
          <w:szCs w:val="21"/>
        </w:rPr>
        <w:t>《江门市江海区和德路及应急产业项目占用耕地耕作层土壤剥离再利用方案》耕作层土壤剥离再利用工程项目</w:t>
      </w:r>
    </w:p>
    <w:p>
      <w:pPr>
        <w:spacing w:line="360" w:lineRule="auto"/>
        <w:jc w:val="left"/>
        <w:rPr>
          <w:rFonts w:ascii="宋体" w:hAnsi="宋体" w:cs="宋体"/>
          <w:color w:val="FF0000"/>
          <w:szCs w:val="21"/>
        </w:rPr>
      </w:pPr>
      <w:r>
        <w:rPr>
          <w:rFonts w:hint="eastAsia" w:ascii="宋体" w:hAnsi="宋体" w:cs="宋体"/>
          <w:szCs w:val="21"/>
        </w:rPr>
        <w:t>项</w:t>
      </w:r>
      <w:r>
        <w:rPr>
          <w:rFonts w:hint="eastAsia" w:ascii="宋体" w:hAnsi="宋体" w:cs="宋体"/>
          <w:color w:val="000000"/>
          <w:szCs w:val="21"/>
        </w:rPr>
        <w:t>目编号：</w:t>
      </w:r>
    </w:p>
    <w:tbl>
      <w:tblPr>
        <w:tblStyle w:val="50"/>
        <w:tblW w:w="458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597"/>
        <w:gridCol w:w="49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exact"/>
          <w:jc w:val="center"/>
        </w:trPr>
        <w:tc>
          <w:tcPr>
            <w:tcW w:w="2111" w:type="pct"/>
            <w:vAlign w:val="center"/>
          </w:tcPr>
          <w:p>
            <w:pPr>
              <w:jc w:val="center"/>
              <w:rPr>
                <w:rFonts w:ascii="宋体" w:cs="宋体"/>
                <w:szCs w:val="21"/>
              </w:rPr>
            </w:pPr>
            <w:r>
              <w:rPr>
                <w:rFonts w:hint="eastAsia" w:ascii="宋体" w:hAnsi="宋体" w:cs="宋体"/>
                <w:szCs w:val="21"/>
              </w:rPr>
              <w:t>评审内容</w:t>
            </w:r>
          </w:p>
        </w:tc>
        <w:tc>
          <w:tcPr>
            <w:tcW w:w="2889" w:type="pct"/>
            <w:vAlign w:val="center"/>
          </w:tcPr>
          <w:p>
            <w:pPr>
              <w:jc w:val="center"/>
              <w:rPr>
                <w:rFonts w:ascii="宋体" w:hAnsi="宋体" w:cs="宋体"/>
                <w:szCs w:val="21"/>
                <w:u w:val="single"/>
              </w:rPr>
            </w:pPr>
            <w:r>
              <w:rPr>
                <w:rFonts w:hint="eastAsia" w:ascii="宋体" w:hAnsi="宋体" w:cs="宋体"/>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39" w:hRule="atLeast"/>
          <w:jc w:val="center"/>
        </w:trPr>
        <w:tc>
          <w:tcPr>
            <w:tcW w:w="2111" w:type="pct"/>
            <w:vAlign w:val="center"/>
          </w:tcPr>
          <w:p>
            <w:pPr>
              <w:jc w:val="center"/>
              <w:rPr>
                <w:rFonts w:ascii="宋体" w:hAnsi="宋体" w:cs="宋体"/>
                <w:color w:val="000000"/>
              </w:rPr>
            </w:pPr>
            <w:r>
              <w:rPr>
                <w:rFonts w:hint="eastAsia" w:ascii="宋体" w:hAnsi="宋体" w:cs="宋体"/>
                <w:color w:val="000000"/>
              </w:rPr>
              <w:t>项目设计方案</w:t>
            </w:r>
          </w:p>
          <w:p>
            <w:pPr>
              <w:jc w:val="center"/>
              <w:rPr>
                <w:rFonts w:ascii="宋体" w:cs="宋体"/>
                <w:color w:val="000000"/>
              </w:rPr>
            </w:pPr>
            <w:r>
              <w:rPr>
                <w:rFonts w:hint="eastAsia" w:ascii="宋体" w:hAnsi="宋体" w:cs="宋体"/>
                <w:color w:val="000000"/>
              </w:rPr>
              <w:t>（方案特色、施工保障措施等）                  （30分）</w:t>
            </w:r>
          </w:p>
        </w:tc>
        <w:tc>
          <w:tcPr>
            <w:tcW w:w="2889" w:type="pct"/>
            <w:vAlign w:val="center"/>
          </w:tcPr>
          <w:p>
            <w:pPr>
              <w:widowControl/>
              <w:rPr>
                <w:rFonts w:ascii="宋体" w:hAnsi="宋体"/>
                <w:szCs w:val="21"/>
              </w:rPr>
            </w:pPr>
            <w:r>
              <w:rPr>
                <w:rFonts w:hint="eastAsia" w:ascii="宋体" w:hAnsi="宋体"/>
                <w:szCs w:val="21"/>
              </w:rPr>
              <w:t>方案考虑全面，清晰合理，综合评价</w:t>
            </w:r>
          </w:p>
          <w:p>
            <w:pPr>
              <w:widowControl/>
              <w:rPr>
                <w:rFonts w:ascii="宋体" w:hAnsi="宋体"/>
                <w:szCs w:val="21"/>
              </w:rPr>
            </w:pPr>
            <w:r>
              <w:rPr>
                <w:rFonts w:hint="eastAsia" w:ascii="宋体" w:hAnsi="宋体"/>
                <w:szCs w:val="21"/>
              </w:rPr>
              <w:t>优 20-30分    良10-20分     一般0-10分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2111" w:type="pct"/>
            <w:vAlign w:val="center"/>
          </w:tcPr>
          <w:p>
            <w:pPr>
              <w:ind w:right="420"/>
              <w:jc w:val="center"/>
            </w:pPr>
            <w:r>
              <w:rPr>
                <w:rFonts w:hint="eastAsia"/>
              </w:rPr>
              <w:t>相关业绩资料（10分）</w:t>
            </w:r>
          </w:p>
        </w:tc>
        <w:tc>
          <w:tcPr>
            <w:tcW w:w="2889" w:type="pct"/>
            <w:tcBorders>
              <w:top w:val="single" w:color="auto" w:sz="4" w:space="0"/>
              <w:bottom w:val="single" w:color="auto" w:sz="4" w:space="0"/>
            </w:tcBorders>
            <w:vAlign w:val="center"/>
          </w:tcPr>
          <w:p>
            <w:pPr>
              <w:rPr>
                <w:rFonts w:ascii="宋体" w:hAnsi="宋体"/>
                <w:szCs w:val="21"/>
              </w:rPr>
            </w:pPr>
            <w:r>
              <w:rPr>
                <w:rFonts w:hint="eastAsia" w:ascii="宋体" w:hAnsi="宋体"/>
                <w:szCs w:val="21"/>
              </w:rPr>
              <w:t>施工日志、验收（分部分项）资料。</w:t>
            </w:r>
          </w:p>
          <w:p>
            <w:pPr>
              <w:rPr>
                <w:rFonts w:ascii="宋体" w:hAnsi="宋体"/>
                <w:szCs w:val="21"/>
              </w:rPr>
            </w:pPr>
            <w:r>
              <w:rPr>
                <w:rFonts w:hint="eastAsia" w:ascii="宋体" w:hAnsi="宋体"/>
                <w:szCs w:val="21"/>
              </w:rPr>
              <w:t>优7-10分    良4-7分     一般0-4分</w:t>
            </w:r>
          </w:p>
        </w:tc>
      </w:tr>
    </w:tbl>
    <w:p>
      <w:pPr>
        <w:snapToGrid w:val="0"/>
        <w:spacing w:line="360" w:lineRule="auto"/>
        <w:rPr>
          <w:rFonts w:ascii="宋体" w:hAnsi="宋体" w:cs="宋体"/>
          <w:snapToGrid w:val="0"/>
          <w:kern w:val="0"/>
          <w:szCs w:val="21"/>
        </w:rPr>
      </w:pPr>
      <w:r>
        <w:rPr>
          <w:rFonts w:hint="eastAsia" w:ascii="宋体" w:hAnsi="宋体" w:cs="宋体"/>
          <w:snapToGrid w:val="0"/>
          <w:kern w:val="0"/>
          <w:szCs w:val="21"/>
        </w:rPr>
        <w:t>备注：</w:t>
      </w:r>
    </w:p>
    <w:p>
      <w:pPr>
        <w:tabs>
          <w:tab w:val="left" w:pos="709"/>
        </w:tabs>
        <w:snapToGrid w:val="0"/>
        <w:spacing w:line="360" w:lineRule="auto"/>
        <w:ind w:left="709" w:right="279" w:rightChars="133"/>
        <w:rPr>
          <w:rFonts w:ascii="宋体" w:hAnsi="宋体"/>
          <w:bCs/>
        </w:rPr>
      </w:pPr>
      <w:r>
        <w:rPr>
          <w:rFonts w:hint="eastAsia" w:ascii="宋体" w:hAnsi="宋体"/>
          <w:bCs/>
        </w:rPr>
        <w:t>招标文件要求提交的与评价指标体系相关的各类有效资料，投标人如未按要求提交的，</w:t>
      </w:r>
      <w:r>
        <w:rPr>
          <w:rFonts w:hint="eastAsia" w:ascii="宋体" w:hAnsi="宋体" w:cs="宋体"/>
          <w:bCs/>
          <w:szCs w:val="21"/>
        </w:rPr>
        <w:t>该项评分为零分</w:t>
      </w:r>
      <w:r>
        <w:rPr>
          <w:rFonts w:hint="eastAsia" w:ascii="宋体" w:hAnsi="宋体"/>
          <w:bCs/>
        </w:rPr>
        <w:t>。</w:t>
      </w:r>
    </w:p>
    <w:p>
      <w:pPr>
        <w:adjustRightInd w:val="0"/>
        <w:snapToGrid w:val="0"/>
        <w:spacing w:before="120" w:beforeLines="50" w:after="120" w:afterLines="50" w:line="360" w:lineRule="exact"/>
        <w:rPr>
          <w:rFonts w:ascii="宋体" w:hAnsi="宋体" w:cs="宋体"/>
          <w:b/>
          <w:bCs/>
          <w:sz w:val="28"/>
          <w:szCs w:val="28"/>
        </w:rPr>
      </w:pPr>
      <w:r>
        <w:rPr>
          <w:rFonts w:ascii="宋体" w:hAnsi="宋体"/>
          <w:bCs/>
          <w:color w:val="FF0000"/>
        </w:rPr>
        <w:br w:type="page"/>
      </w:r>
      <w:r>
        <w:rPr>
          <w:rFonts w:hint="eastAsia" w:ascii="宋体" w:hAnsi="宋体" w:cs="宋体"/>
          <w:b/>
          <w:bCs/>
          <w:sz w:val="28"/>
          <w:szCs w:val="28"/>
        </w:rPr>
        <w:t>商务部分评分表</w:t>
      </w:r>
    </w:p>
    <w:p>
      <w:pPr>
        <w:adjustRightInd w:val="0"/>
        <w:snapToGrid w:val="0"/>
        <w:spacing w:before="120" w:beforeLines="50" w:after="120" w:afterLines="50" w:line="360" w:lineRule="exact"/>
        <w:jc w:val="center"/>
        <w:rPr>
          <w:rFonts w:ascii="宋体" w:hAnsi="宋体" w:cs="宋体"/>
          <w:b/>
          <w:bCs/>
          <w:color w:val="000000"/>
          <w:sz w:val="28"/>
          <w:szCs w:val="28"/>
        </w:rPr>
      </w:pPr>
      <w:r>
        <w:rPr>
          <w:rFonts w:hint="eastAsia" w:ascii="宋体" w:hAnsi="宋体" w:cs="宋体"/>
          <w:b/>
          <w:bCs/>
          <w:color w:val="000000"/>
          <w:sz w:val="28"/>
          <w:szCs w:val="28"/>
        </w:rPr>
        <w:t>（30分）</w:t>
      </w:r>
    </w:p>
    <w:p>
      <w:pPr>
        <w:spacing w:line="360" w:lineRule="auto"/>
        <w:rPr>
          <w:rFonts w:ascii="宋体" w:hAnsi="宋体" w:cs="宋体"/>
          <w:snapToGrid w:val="0"/>
          <w:color w:val="000000"/>
          <w:spacing w:val="8"/>
          <w:szCs w:val="21"/>
        </w:rPr>
      </w:pPr>
      <w:r>
        <w:rPr>
          <w:rFonts w:hint="eastAsia" w:ascii="宋体" w:hAnsi="宋体" w:cs="宋体"/>
          <w:szCs w:val="21"/>
        </w:rPr>
        <w:t>项目名称：</w:t>
      </w:r>
      <w:r>
        <w:rPr>
          <w:rFonts w:hint="eastAsia" w:ascii="宋体" w:hAnsi="宋体" w:cs="宋体"/>
          <w:color w:val="000000"/>
          <w:szCs w:val="21"/>
        </w:rPr>
        <w:t>《江门市江海区和德路及应急产业项目占用耕地耕作层土壤剥离再利用方案》耕作层土壤剥离再利用工程项目</w:t>
      </w:r>
    </w:p>
    <w:p>
      <w:pPr>
        <w:spacing w:line="360" w:lineRule="auto"/>
        <w:ind w:right="-527" w:rightChars="-251"/>
        <w:rPr>
          <w:rFonts w:ascii="宋体" w:hAnsi="宋体" w:cs="宋体"/>
          <w:color w:val="000000"/>
          <w:szCs w:val="21"/>
        </w:rPr>
      </w:pPr>
      <w:r>
        <w:rPr>
          <w:rFonts w:hint="eastAsia" w:ascii="宋体" w:hAnsi="宋体" w:cs="宋体"/>
          <w:color w:val="000000"/>
          <w:szCs w:val="21"/>
        </w:rPr>
        <w:t>项目编号：</w:t>
      </w:r>
    </w:p>
    <w:tbl>
      <w:tblPr>
        <w:tblStyle w:val="50"/>
        <w:tblW w:w="46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92"/>
        <w:gridCol w:w="4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2231" w:type="pct"/>
            <w:vAlign w:val="center"/>
          </w:tcPr>
          <w:p>
            <w:pPr>
              <w:jc w:val="center"/>
              <w:rPr>
                <w:rFonts w:ascii="宋体" w:cs="宋体"/>
              </w:rPr>
            </w:pPr>
            <w:r>
              <w:rPr>
                <w:rFonts w:hint="eastAsia" w:ascii="宋体" w:hAnsi="宋体" w:cs="宋体"/>
              </w:rPr>
              <w:t>评审内容</w:t>
            </w:r>
          </w:p>
        </w:tc>
        <w:tc>
          <w:tcPr>
            <w:tcW w:w="2769" w:type="pct"/>
            <w:vAlign w:val="center"/>
          </w:tcPr>
          <w:p>
            <w:pPr>
              <w:jc w:val="center"/>
              <w:rPr>
                <w:rFonts w:ascii="宋体" w:hAnsi="宋体" w:cs="宋体"/>
                <w:u w:val="single"/>
              </w:rPr>
            </w:pPr>
            <w:r>
              <w:rPr>
                <w:rFonts w:hint="eastAsia" w:ascii="宋体" w:hAnsi="宋体" w:cs="宋体"/>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231" w:type="pct"/>
            <w:vAlign w:val="bottom"/>
          </w:tcPr>
          <w:p>
            <w:pPr>
              <w:snapToGrid w:val="0"/>
              <w:spacing w:line="276" w:lineRule="auto"/>
              <w:jc w:val="center"/>
              <w:rPr>
                <w:rFonts w:ascii="宋体" w:hAnsi="宋体" w:cs="宋体"/>
                <w:b/>
                <w:szCs w:val="21"/>
              </w:rPr>
            </w:pPr>
            <w:r>
              <w:rPr>
                <w:rFonts w:hint="eastAsia" w:ascii="宋体" w:cs="宋体"/>
                <w:color w:val="000000"/>
              </w:rPr>
              <w:t>2018年至今挖土方、</w:t>
            </w:r>
            <w:r>
              <w:rPr>
                <w:rFonts w:hint="eastAsia" w:ascii="宋体" w:hAnsi="宋体" w:cs="仿宋_GB2312"/>
                <w:color w:val="000000"/>
                <w:szCs w:val="21"/>
              </w:rPr>
              <w:t>回填土石方相关经验</w:t>
            </w:r>
            <w:r>
              <w:rPr>
                <w:rFonts w:hint="eastAsia" w:ascii="宋体" w:cs="宋体"/>
                <w:color w:val="000000"/>
                <w:kern w:val="0"/>
                <w:sz w:val="24"/>
                <w:szCs w:val="24"/>
                <w:lang w:val="zh-CN"/>
              </w:rPr>
              <w:t>【</w:t>
            </w:r>
            <w:r>
              <w:rPr>
                <w:rFonts w:hint="eastAsia" w:ascii="宋体" w:hAnsi="宋体" w:cs="宋体"/>
                <w:szCs w:val="21"/>
              </w:rPr>
              <w:t>需提供成交/中标通知书或合同</w:t>
            </w:r>
            <w:r>
              <w:rPr>
                <w:rFonts w:hint="eastAsia" w:ascii="宋体" w:hAnsi="宋体"/>
                <w:bCs/>
                <w:szCs w:val="21"/>
              </w:rPr>
              <w:t>关键页(含签订合同双方的单位名称、合同项目名称、项目金额与含签订合同双方的落款盖章、签订日期的关键页）复印件</w:t>
            </w:r>
            <w:r>
              <w:rPr>
                <w:rFonts w:hint="eastAsia" w:ascii="宋体" w:hAnsi="宋体" w:cs="宋体"/>
                <w:szCs w:val="21"/>
              </w:rPr>
              <w:t>并加盖公章作为证明文件</w:t>
            </w:r>
            <w:r>
              <w:rPr>
                <w:rFonts w:hint="eastAsia" w:ascii="宋体" w:cs="宋体"/>
                <w:color w:val="000000"/>
                <w:kern w:val="0"/>
                <w:sz w:val="24"/>
                <w:szCs w:val="24"/>
                <w:lang w:val="zh-CN"/>
              </w:rPr>
              <w:t>】</w:t>
            </w:r>
          </w:p>
          <w:p>
            <w:pPr>
              <w:widowControl/>
              <w:jc w:val="center"/>
              <w:rPr>
                <w:rFonts w:ascii="宋体" w:hAnsi="宋体" w:cs="宋体"/>
                <w:color w:val="000000"/>
              </w:rPr>
            </w:pPr>
            <w:r>
              <w:rPr>
                <w:rFonts w:hint="eastAsia" w:ascii="宋体" w:hAnsi="宋体" w:cs="宋体"/>
                <w:color w:val="000000"/>
              </w:rPr>
              <w:t>&lt;15分&gt;</w:t>
            </w:r>
          </w:p>
        </w:tc>
        <w:tc>
          <w:tcPr>
            <w:tcW w:w="2769" w:type="pct"/>
            <w:vAlign w:val="center"/>
          </w:tcPr>
          <w:p>
            <w:pPr>
              <w:jc w:val="left"/>
              <w:rPr>
                <w:rFonts w:ascii="宋体" w:hAnsi="宋体"/>
                <w:color w:val="000000"/>
              </w:rPr>
            </w:pPr>
            <w:r>
              <w:rPr>
                <w:rFonts w:hint="eastAsia" w:ascii="宋体" w:hAnsi="宋体"/>
                <w:color w:val="000000"/>
              </w:rPr>
              <w:t>提供1个得3分，最高得15分，不提供不得分。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2231" w:type="pct"/>
            <w:vAlign w:val="center"/>
          </w:tcPr>
          <w:p>
            <w:pPr>
              <w:snapToGrid w:val="0"/>
              <w:jc w:val="center"/>
              <w:rPr>
                <w:rFonts w:ascii="宋体" w:hAnsi="宋体"/>
                <w:color w:val="000000"/>
                <w:szCs w:val="21"/>
              </w:rPr>
            </w:pPr>
            <w:r>
              <w:rPr>
                <w:rFonts w:hint="eastAsia" w:ascii="宋体" w:hAnsi="宋体"/>
                <w:color w:val="000000"/>
                <w:szCs w:val="21"/>
              </w:rPr>
              <w:t>项目团队实力</w:t>
            </w:r>
          </w:p>
          <w:p>
            <w:pPr>
              <w:snapToGrid w:val="0"/>
              <w:jc w:val="center"/>
              <w:rPr>
                <w:rFonts w:ascii="宋体" w:hAnsi="宋体"/>
                <w:color w:val="000000"/>
                <w:szCs w:val="21"/>
              </w:rPr>
            </w:pPr>
            <w:r>
              <w:rPr>
                <w:rFonts w:hint="eastAsia" w:ascii="宋体" w:hAnsi="宋体"/>
                <w:color w:val="000000"/>
                <w:szCs w:val="21"/>
              </w:rPr>
              <w:t>（团队人数、技术人员素质等，须提供在本单位购买的社保证明、职称等证明文件复印件并加盖公章）</w:t>
            </w:r>
          </w:p>
          <w:p>
            <w:pPr>
              <w:jc w:val="center"/>
              <w:rPr>
                <w:rFonts w:ascii="宋体" w:cs="宋体"/>
                <w:color w:val="000000"/>
              </w:rPr>
            </w:pPr>
            <w:r>
              <w:rPr>
                <w:rFonts w:hint="eastAsia" w:ascii="宋体" w:hAnsi="宋体" w:cs="宋体"/>
                <w:color w:val="000000"/>
              </w:rPr>
              <w:t>&lt;15分&gt;</w:t>
            </w:r>
          </w:p>
        </w:tc>
        <w:tc>
          <w:tcPr>
            <w:tcW w:w="2769" w:type="pct"/>
            <w:vAlign w:val="center"/>
          </w:tcPr>
          <w:p>
            <w:pPr>
              <w:widowControl/>
              <w:rPr>
                <w:rFonts w:ascii="宋体" w:hAnsi="宋体"/>
                <w:color w:val="000000"/>
              </w:rPr>
            </w:pPr>
            <w:r>
              <w:rPr>
                <w:rFonts w:hint="eastAsia" w:ascii="宋体" w:hAnsi="宋体"/>
                <w:color w:val="000000"/>
              </w:rPr>
              <w:t xml:space="preserve">项目负责人：职称，高级（含副高）15分，中级10分，中级以下5分； </w:t>
            </w:r>
          </w:p>
        </w:tc>
      </w:tr>
    </w:tbl>
    <w:p>
      <w:pPr>
        <w:snapToGrid w:val="0"/>
        <w:spacing w:line="360" w:lineRule="auto"/>
        <w:rPr>
          <w:rFonts w:ascii="宋体" w:hAnsi="宋体" w:cs="宋体"/>
          <w:snapToGrid w:val="0"/>
          <w:kern w:val="0"/>
          <w:szCs w:val="21"/>
        </w:rPr>
      </w:pPr>
    </w:p>
    <w:p>
      <w:pPr>
        <w:snapToGrid w:val="0"/>
        <w:spacing w:line="360" w:lineRule="auto"/>
        <w:rPr>
          <w:rFonts w:ascii="宋体" w:hAnsi="宋体" w:cs="宋体"/>
          <w:snapToGrid w:val="0"/>
          <w:kern w:val="0"/>
          <w:szCs w:val="21"/>
        </w:rPr>
      </w:pPr>
      <w:r>
        <w:rPr>
          <w:rFonts w:hint="eastAsia" w:ascii="宋体" w:hAnsi="宋体" w:cs="宋体"/>
          <w:snapToGrid w:val="0"/>
          <w:kern w:val="0"/>
          <w:szCs w:val="21"/>
        </w:rPr>
        <w:t>备注：</w:t>
      </w:r>
    </w:p>
    <w:p>
      <w:pPr>
        <w:tabs>
          <w:tab w:val="left" w:pos="567"/>
        </w:tabs>
        <w:snapToGrid w:val="0"/>
        <w:spacing w:line="360" w:lineRule="auto"/>
        <w:ind w:left="567" w:right="279" w:rightChars="133"/>
        <w:rPr>
          <w:rFonts w:ascii="宋体" w:hAnsi="宋体"/>
          <w:bCs/>
        </w:rPr>
      </w:pPr>
      <w:r>
        <w:rPr>
          <w:rFonts w:hint="eastAsia" w:ascii="宋体" w:hAnsi="宋体"/>
          <w:bCs/>
        </w:rPr>
        <w:t>招标文件要求提交的与评价指标体系相关的各类有效资料，投标人如未按要求提交的，该项评分为零分。</w:t>
      </w:r>
    </w:p>
    <w:p>
      <w:pPr>
        <w:pStyle w:val="9"/>
        <w:spacing w:line="360" w:lineRule="exact"/>
        <w:ind w:firstLine="500"/>
        <w:rPr>
          <w:rFonts w:ascii="宋体" w:hAnsi="宋体" w:cs="宋体"/>
          <w:sz w:val="25"/>
          <w:szCs w:val="25"/>
        </w:rPr>
      </w:pPr>
    </w:p>
    <w:p>
      <w:pPr>
        <w:adjustRightInd w:val="0"/>
        <w:snapToGrid w:val="0"/>
        <w:spacing w:before="120" w:beforeLines="50" w:after="120" w:afterLines="50" w:line="360" w:lineRule="exact"/>
        <w:jc w:val="center"/>
        <w:rPr>
          <w:rFonts w:ascii="宋体" w:hAnsi="宋体" w:cs="宋体"/>
          <w:b/>
          <w:bCs/>
          <w:sz w:val="28"/>
          <w:szCs w:val="28"/>
        </w:rPr>
      </w:pPr>
      <w:r>
        <w:rPr>
          <w:rFonts w:ascii="宋体" w:hAnsi="宋体" w:cs="宋体"/>
          <w:sz w:val="25"/>
          <w:szCs w:val="25"/>
        </w:rPr>
        <w:br w:type="page"/>
      </w:r>
      <w:r>
        <w:rPr>
          <w:rFonts w:hint="eastAsia" w:ascii="黑体" w:hAnsi="宋体" w:eastAsia="黑体" w:cs="宋体"/>
          <w:sz w:val="28"/>
          <w:szCs w:val="28"/>
        </w:rPr>
        <w:t>价 格 评 分 表</w:t>
      </w:r>
    </w:p>
    <w:p>
      <w:pPr>
        <w:adjustRightInd w:val="0"/>
        <w:snapToGrid w:val="0"/>
        <w:spacing w:before="120" w:beforeLines="50" w:after="120" w:afterLines="50" w:line="360" w:lineRule="exact"/>
        <w:jc w:val="center"/>
        <w:rPr>
          <w:rFonts w:ascii="黑体" w:hAnsi="宋体" w:eastAsia="黑体" w:cs="宋体"/>
          <w:color w:val="000000"/>
          <w:sz w:val="28"/>
          <w:szCs w:val="28"/>
        </w:rPr>
      </w:pPr>
      <w:r>
        <w:rPr>
          <w:rFonts w:hint="eastAsia" w:ascii="宋体" w:hAnsi="宋体" w:cs="宋体"/>
          <w:b/>
          <w:bCs/>
          <w:color w:val="000000"/>
          <w:sz w:val="28"/>
          <w:szCs w:val="28"/>
        </w:rPr>
        <w:t>（30分）</w:t>
      </w:r>
    </w:p>
    <w:p>
      <w:pPr>
        <w:numPr>
          <w:ilvl w:val="0"/>
          <w:numId w:val="23"/>
        </w:numPr>
        <w:adjustRightInd w:val="0"/>
        <w:snapToGrid w:val="0"/>
        <w:spacing w:line="360" w:lineRule="auto"/>
        <w:ind w:right="279" w:rightChars="133"/>
        <w:rPr>
          <w:rFonts w:ascii="宋体" w:hAnsi="宋体"/>
          <w:bCs/>
        </w:rPr>
      </w:pPr>
      <w:r>
        <w:rPr>
          <w:rFonts w:hint="eastAsia" w:ascii="宋体" w:hAnsi="宋体"/>
          <w:bCs/>
        </w:rPr>
        <w:t>价格核准：评标委员会详细分析、核准价格表，检查其是否存在计算上或累加上的算术错误，修正错误的原则详见第二章第26.2条相关条款。</w:t>
      </w:r>
    </w:p>
    <w:p>
      <w:pPr>
        <w:numPr>
          <w:ilvl w:val="0"/>
          <w:numId w:val="23"/>
        </w:numPr>
        <w:adjustRightInd w:val="0"/>
        <w:snapToGrid w:val="0"/>
        <w:spacing w:line="360" w:lineRule="auto"/>
        <w:ind w:right="279" w:rightChars="133"/>
        <w:rPr>
          <w:rFonts w:ascii="宋体" w:hAnsi="宋体"/>
          <w:bCs/>
        </w:rPr>
      </w:pPr>
      <w:r>
        <w:rPr>
          <w:rFonts w:ascii="宋体" w:hAnsi="宋体"/>
          <w:bCs/>
        </w:rPr>
        <w:t>综合评分法中的价格分统一采用低价优先法计算，即满足招标文件要求</w:t>
      </w:r>
      <w:r>
        <w:rPr>
          <w:rFonts w:hint="eastAsia" w:ascii="宋体" w:hAnsi="宋体"/>
          <w:bCs/>
        </w:rPr>
        <w:t>（通过资格性、符合性审查）</w:t>
      </w:r>
      <w:r>
        <w:rPr>
          <w:rFonts w:ascii="宋体" w:hAnsi="宋体"/>
          <w:bCs/>
        </w:rPr>
        <w:t>且投标价格最低的</w:t>
      </w:r>
      <w:r>
        <w:rPr>
          <w:rFonts w:hint="eastAsia" w:ascii="宋体" w:hAnsi="宋体"/>
          <w:bCs/>
        </w:rPr>
        <w:t>有效</w:t>
      </w:r>
      <w:r>
        <w:rPr>
          <w:rFonts w:ascii="宋体" w:hAnsi="宋体"/>
          <w:bCs/>
        </w:rPr>
        <w:t>投标报价</w:t>
      </w:r>
      <w:r>
        <w:rPr>
          <w:rFonts w:hint="eastAsia" w:ascii="宋体" w:hAnsi="宋体"/>
          <w:bCs/>
        </w:rPr>
        <w:t>（指修正后报价，下同）</w:t>
      </w:r>
      <w:r>
        <w:rPr>
          <w:rFonts w:ascii="宋体" w:hAnsi="宋体"/>
          <w:bCs/>
        </w:rPr>
        <w:t>为评标基准价，其价格分为满分。其他投标人的价格分统一按照下列公式计算：</w:t>
      </w:r>
    </w:p>
    <w:p>
      <w:pPr>
        <w:adjustRightInd w:val="0"/>
        <w:snapToGrid w:val="0"/>
        <w:spacing w:line="360" w:lineRule="auto"/>
        <w:ind w:right="279" w:rightChars="133" w:firstLine="1265" w:firstLineChars="600"/>
        <w:rPr>
          <w:rFonts w:ascii="宋体" w:hAnsi="宋体"/>
          <w:b/>
          <w:bCs/>
        </w:rPr>
      </w:pPr>
      <w:r>
        <w:rPr>
          <w:rFonts w:hint="eastAsia" w:ascii="宋体" w:hAnsi="宋体"/>
          <w:b/>
          <w:bCs/>
        </w:rPr>
        <w:t>投标报价得分=(评标基准价/投标报价)×价格权值×100</w:t>
      </w:r>
    </w:p>
    <w:p>
      <w:pPr>
        <w:numPr>
          <w:ilvl w:val="0"/>
          <w:numId w:val="23"/>
        </w:numPr>
        <w:adjustRightInd w:val="0"/>
        <w:snapToGrid w:val="0"/>
        <w:spacing w:line="360" w:lineRule="auto"/>
        <w:ind w:right="279" w:rightChars="133"/>
      </w:pPr>
      <w:r>
        <w:rPr>
          <w:rFonts w:hint="eastAsia"/>
        </w:rPr>
        <w:t>小型和微型企业产品价格扣除</w:t>
      </w:r>
    </w:p>
    <w:p>
      <w:pPr>
        <w:numPr>
          <w:ilvl w:val="1"/>
          <w:numId w:val="23"/>
        </w:numPr>
        <w:adjustRightInd w:val="0"/>
        <w:snapToGrid w:val="0"/>
        <w:spacing w:line="360" w:lineRule="auto"/>
        <w:ind w:right="279" w:rightChars="133"/>
      </w:pPr>
      <w:r>
        <w:rPr>
          <w:rFonts w:hint="eastAsia" w:ascii="宋体" w:hAnsi="宋体"/>
          <w:bCs/>
        </w:rPr>
        <w:t>根据财政部、工业和信息化部印发的《政府采购促进中小企业发展暂行办法》（财库[2011]181号）的规定，对小型和微型企业产品的</w:t>
      </w:r>
      <w:r>
        <w:rPr>
          <w:rFonts w:hint="eastAsia" w:ascii="宋体" w:hAnsi="宋体"/>
          <w:bCs/>
          <w:color w:val="000000"/>
        </w:rPr>
        <w:t>价格给予6%的扣</w:t>
      </w:r>
      <w:r>
        <w:rPr>
          <w:rFonts w:hint="eastAsia" w:ascii="宋体" w:hAnsi="宋体"/>
          <w:bCs/>
        </w:rPr>
        <w:t>除，用扣除后的价格参与评审；投标产品中仅有部分小型和微型企业产品的，则按所投小型和微型企业产品的价格予以扣除。</w:t>
      </w:r>
    </w:p>
    <w:p>
      <w:pPr>
        <w:numPr>
          <w:ilvl w:val="1"/>
          <w:numId w:val="23"/>
        </w:numPr>
        <w:adjustRightInd w:val="0"/>
        <w:snapToGrid w:val="0"/>
        <w:spacing w:line="360" w:lineRule="auto"/>
        <w:ind w:right="279" w:rightChars="133"/>
        <w:rPr>
          <w:rFonts w:ascii="宋体" w:hAnsi="宋体"/>
          <w:bCs/>
        </w:rPr>
      </w:pPr>
      <w:r>
        <w:rPr>
          <w:rFonts w:hint="eastAsia" w:ascii="宋体" w:hAnsi="宋体"/>
          <w:bCs/>
        </w:rPr>
        <w:t>《政府采购促进中小企业发展暂行办法》所称中小企业（含中型、小型、微型企业，下同）应当同时符合以下条件：</w:t>
      </w:r>
    </w:p>
    <w:p>
      <w:pPr>
        <w:numPr>
          <w:ilvl w:val="2"/>
          <w:numId w:val="23"/>
        </w:numPr>
        <w:adjustRightInd w:val="0"/>
        <w:snapToGrid w:val="0"/>
        <w:spacing w:line="360" w:lineRule="auto"/>
        <w:ind w:right="279" w:rightChars="133"/>
        <w:rPr>
          <w:rFonts w:ascii="宋体" w:hAnsi="宋体"/>
          <w:bCs/>
        </w:rPr>
      </w:pPr>
      <w:r>
        <w:rPr>
          <w:rFonts w:hint="eastAsia" w:ascii="宋体" w:hAnsi="宋体"/>
          <w:bCs/>
        </w:rPr>
        <w:t xml:space="preserve">符合中小企业划分标准； </w:t>
      </w:r>
    </w:p>
    <w:p>
      <w:pPr>
        <w:numPr>
          <w:ilvl w:val="2"/>
          <w:numId w:val="23"/>
        </w:numPr>
        <w:adjustRightInd w:val="0"/>
        <w:snapToGrid w:val="0"/>
        <w:spacing w:line="360" w:lineRule="auto"/>
        <w:ind w:right="279" w:rightChars="133"/>
        <w:rPr>
          <w:rFonts w:ascii="宋体" w:hAnsi="宋体"/>
          <w:bCs/>
        </w:rPr>
      </w:pPr>
      <w:r>
        <w:rPr>
          <w:rFonts w:hint="eastAsia" w:ascii="宋体" w:hAnsi="宋体"/>
          <w:bCs/>
        </w:rPr>
        <w:t>提供本企业制造的货物、承担的工程或者服务，或者提供其他中小企业制造的货物。本项所称货物不包括使用大型企业注册商标的货物。</w:t>
      </w:r>
    </w:p>
    <w:p>
      <w:pPr>
        <w:adjustRightInd w:val="0"/>
        <w:snapToGrid w:val="0"/>
        <w:spacing w:line="360" w:lineRule="auto"/>
        <w:ind w:left="735" w:leftChars="350" w:right="279" w:rightChars="133" w:firstLine="420" w:firstLineChars="200"/>
        <w:rPr>
          <w:rFonts w:ascii="宋体" w:hAnsi="宋体"/>
          <w:bCs/>
        </w:rPr>
      </w:pPr>
      <w:r>
        <w:rPr>
          <w:rFonts w:hint="eastAsia" w:ascii="宋体" w:hAnsi="宋体"/>
          <w:bCs/>
        </w:rPr>
        <w:t>中小企业划分标准以《工业和信息化部、国家统计局、国家发展和改革委员会、财政部关于印发中小企业划型标准规定的通知》（工信部联企业[2011]300号）规定的划分标准为准。</w:t>
      </w:r>
    </w:p>
    <w:p>
      <w:pPr>
        <w:adjustRightInd w:val="0"/>
        <w:snapToGrid w:val="0"/>
        <w:spacing w:line="360" w:lineRule="auto"/>
        <w:ind w:left="315" w:leftChars="150" w:right="279" w:rightChars="133" w:firstLine="420" w:firstLineChars="200"/>
        <w:rPr>
          <w:rFonts w:ascii="宋体" w:hAnsi="宋体"/>
          <w:bCs/>
        </w:rPr>
      </w:pPr>
      <w:r>
        <w:rPr>
          <w:rFonts w:hint="eastAsia" w:ascii="宋体" w:hAnsi="宋体"/>
          <w:bCs/>
        </w:rPr>
        <w:t>小型、微型企业提供中型企业制造的货物的，视同为中型企业。</w:t>
      </w:r>
    </w:p>
    <w:p>
      <w:pPr>
        <w:numPr>
          <w:ilvl w:val="1"/>
          <w:numId w:val="23"/>
        </w:numPr>
        <w:adjustRightInd w:val="0"/>
        <w:snapToGrid w:val="0"/>
        <w:spacing w:line="360" w:lineRule="auto"/>
        <w:ind w:right="279" w:rightChars="133"/>
        <w:rPr>
          <w:rFonts w:ascii="宋体" w:hAnsi="宋体"/>
          <w:bCs/>
        </w:rPr>
      </w:pPr>
      <w:r>
        <w:rPr>
          <w:rFonts w:hint="eastAsia" w:ascii="宋体" w:hAnsi="宋体"/>
          <w:bCs/>
        </w:rPr>
        <w:t>参加政府采购活动的中小企业应当提供《中小企业声明函》（格式见第六章投标文件格式）。</w:t>
      </w:r>
    </w:p>
    <w:p>
      <w:pPr>
        <w:pStyle w:val="9"/>
        <w:spacing w:line="360" w:lineRule="exact"/>
        <w:ind w:firstLine="500"/>
        <w:rPr>
          <w:rFonts w:ascii="宋体" w:hAnsi="宋体" w:cs="宋体"/>
          <w:sz w:val="25"/>
          <w:szCs w:val="25"/>
        </w:rPr>
      </w:pPr>
    </w:p>
    <w:p>
      <w:pPr>
        <w:pStyle w:val="9"/>
        <w:spacing w:line="360" w:lineRule="exact"/>
        <w:ind w:firstLine="500"/>
        <w:rPr>
          <w:rFonts w:ascii="宋体" w:hAnsi="宋体" w:cs="宋体"/>
          <w:sz w:val="25"/>
          <w:szCs w:val="25"/>
        </w:rPr>
      </w:pPr>
    </w:p>
    <w:p>
      <w:pPr>
        <w:pStyle w:val="9"/>
        <w:spacing w:line="360" w:lineRule="exact"/>
        <w:ind w:firstLine="500"/>
        <w:rPr>
          <w:rFonts w:ascii="宋体" w:hAnsi="宋体" w:cs="宋体"/>
          <w:sz w:val="25"/>
          <w:szCs w:val="25"/>
        </w:rPr>
      </w:pPr>
    </w:p>
    <w:p>
      <w:pPr>
        <w:pStyle w:val="7"/>
        <w:rPr>
          <w:rFonts w:ascii="宋体" w:hAnsi="宋体"/>
          <w:color w:val="auto"/>
        </w:rPr>
      </w:pPr>
    </w:p>
    <w:p>
      <w:pPr>
        <w:pStyle w:val="7"/>
        <w:rPr>
          <w:rFonts w:ascii="宋体" w:hAnsi="宋体"/>
          <w:color w:val="auto"/>
        </w:rPr>
      </w:pPr>
    </w:p>
    <w:p>
      <w:pPr>
        <w:pStyle w:val="9"/>
        <w:ind w:firstLine="0" w:firstLineChars="0"/>
        <w:rPr>
          <w:rFonts w:ascii="宋体" w:hAnsi="宋体"/>
        </w:rPr>
      </w:pPr>
      <w:r>
        <w:rPr>
          <w:rFonts w:ascii="宋体" w:hAnsi="宋体" w:eastAsia="仿宋_GB2312" w:cs="仿宋_GB2312"/>
          <w:kern w:val="0"/>
          <w:sz w:val="24"/>
          <w:szCs w:val="24"/>
        </w:rPr>
        <w:br w:type="page"/>
      </w:r>
    </w:p>
    <w:p>
      <w:pPr>
        <w:numPr>
          <w:ilvl w:val="0"/>
          <w:numId w:val="12"/>
        </w:numPr>
        <w:tabs>
          <w:tab w:val="left" w:pos="1843"/>
        </w:tabs>
        <w:jc w:val="center"/>
        <w:outlineLvl w:val="0"/>
        <w:rPr>
          <w:b/>
          <w:sz w:val="50"/>
          <w:szCs w:val="50"/>
        </w:rPr>
      </w:pPr>
      <w:bookmarkStart w:id="86" w:name="_Toc15094"/>
      <w:r>
        <w:rPr>
          <w:rFonts w:hint="eastAsia"/>
          <w:b/>
          <w:sz w:val="50"/>
          <w:szCs w:val="50"/>
        </w:rPr>
        <w:t>投标文件格式</w:t>
      </w:r>
      <w:bookmarkEnd w:id="86"/>
    </w:p>
    <w:p>
      <w:pPr>
        <w:pStyle w:val="9"/>
        <w:ind w:firstLine="0" w:firstLineChars="0"/>
        <w:rPr>
          <w:rFonts w:ascii="宋体" w:hAnsi="宋体"/>
        </w:rPr>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ectPr>
          <w:pgSz w:w="11906" w:h="16838"/>
          <w:pgMar w:top="1440" w:right="1418" w:bottom="1440" w:left="1418" w:header="657" w:footer="481" w:gutter="0"/>
          <w:pgNumType w:fmt="numberInDash"/>
          <w:cols w:space="720" w:num="1"/>
          <w:docGrid w:linePitch="312" w:charSpace="0"/>
        </w:sectPr>
      </w:pPr>
    </w:p>
    <w:p>
      <w:pPr>
        <w:pStyle w:val="4"/>
        <w:numPr>
          <w:ilvl w:val="0"/>
          <w:numId w:val="0"/>
        </w:numPr>
        <w:adjustRightInd w:val="0"/>
        <w:snapToGrid w:val="0"/>
        <w:spacing w:line="440" w:lineRule="exact"/>
        <w:rPr>
          <w:rFonts w:ascii="宋体" w:eastAsia="宋体"/>
          <w:b/>
          <w:sz w:val="32"/>
          <w:szCs w:val="32"/>
        </w:rPr>
      </w:pPr>
      <w:bookmarkStart w:id="87" w:name="_Toc418071334"/>
      <w:bookmarkStart w:id="88" w:name="_Toc423350519"/>
      <w:bookmarkStart w:id="89" w:name="_Toc17506"/>
      <w:r>
        <w:rPr>
          <w:rFonts w:hint="eastAsia" w:ascii="宋体" w:eastAsia="宋体"/>
          <w:b/>
          <w:sz w:val="32"/>
          <w:szCs w:val="32"/>
        </w:rPr>
        <w:t>投标文件包装封面参考</w:t>
      </w:r>
      <w:bookmarkEnd w:id="87"/>
      <w:bookmarkEnd w:id="88"/>
      <w:bookmarkEnd w:id="89"/>
    </w:p>
    <w:tbl>
      <w:tblPr>
        <w:tblStyle w:val="50"/>
        <w:tblW w:w="838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59" w:hRule="atLeast"/>
        </w:trPr>
        <w:tc>
          <w:tcPr>
            <w:tcW w:w="8381" w:type="dxa"/>
          </w:tcPr>
          <w:p>
            <w:pPr>
              <w:pStyle w:val="21"/>
              <w:spacing w:line="360" w:lineRule="auto"/>
              <w:ind w:firstLine="482" w:firstLineChars="150"/>
              <w:rPr>
                <w:rFonts w:ascii="宋体" w:hAnsi="宋体"/>
                <w:b/>
                <w:sz w:val="32"/>
              </w:rPr>
            </w:pPr>
          </w:p>
          <w:p>
            <w:pPr>
              <w:pStyle w:val="21"/>
              <w:spacing w:line="360" w:lineRule="auto"/>
              <w:ind w:firstLine="482" w:firstLineChars="150"/>
              <w:rPr>
                <w:rFonts w:ascii="宋体" w:hAnsi="宋体"/>
                <w:b/>
                <w:sz w:val="32"/>
              </w:rPr>
            </w:pPr>
          </w:p>
          <w:p>
            <w:pPr>
              <w:pStyle w:val="21"/>
              <w:spacing w:line="360" w:lineRule="auto"/>
              <w:ind w:firstLine="482" w:firstLineChars="150"/>
              <w:rPr>
                <w:rFonts w:ascii="宋体" w:hAnsi="宋体"/>
                <w:b/>
                <w:sz w:val="32"/>
              </w:rPr>
            </w:pPr>
          </w:p>
          <w:p>
            <w:pPr>
              <w:pStyle w:val="21"/>
              <w:spacing w:line="360" w:lineRule="auto"/>
              <w:jc w:val="center"/>
              <w:rPr>
                <w:rFonts w:ascii="宋体" w:hAnsi="宋体"/>
                <w:b/>
                <w:sz w:val="72"/>
                <w:szCs w:val="72"/>
              </w:rPr>
            </w:pPr>
            <w:r>
              <w:rPr>
                <w:rFonts w:hint="eastAsia" w:ascii="宋体" w:hAnsi="宋体"/>
                <w:b/>
                <w:sz w:val="72"/>
                <w:szCs w:val="72"/>
              </w:rPr>
              <w:t>投 标 文 件</w:t>
            </w:r>
          </w:p>
          <w:p>
            <w:pPr>
              <w:pStyle w:val="21"/>
              <w:spacing w:line="360" w:lineRule="auto"/>
              <w:jc w:val="center"/>
              <w:rPr>
                <w:rFonts w:ascii="宋体" w:hAnsi="宋体"/>
                <w:b/>
                <w:sz w:val="36"/>
                <w:szCs w:val="36"/>
              </w:rPr>
            </w:pPr>
            <w:r>
              <w:rPr>
                <w:rFonts w:hint="eastAsia" w:ascii="宋体" w:hAnsi="宋体"/>
                <w:b/>
                <w:sz w:val="36"/>
                <w:szCs w:val="36"/>
              </w:rPr>
              <w:t>口 开标信封</w:t>
            </w:r>
          </w:p>
          <w:p>
            <w:pPr>
              <w:pStyle w:val="21"/>
              <w:spacing w:line="360" w:lineRule="auto"/>
              <w:jc w:val="center"/>
              <w:rPr>
                <w:rFonts w:ascii="宋体" w:hAnsi="宋体"/>
                <w:b/>
                <w:sz w:val="36"/>
                <w:szCs w:val="36"/>
              </w:rPr>
            </w:pPr>
            <w:r>
              <w:rPr>
                <w:rFonts w:hint="eastAsia" w:ascii="宋体" w:hAnsi="宋体"/>
                <w:b/>
                <w:sz w:val="36"/>
                <w:szCs w:val="36"/>
              </w:rPr>
              <w:t>口 正本</w:t>
            </w:r>
          </w:p>
          <w:p>
            <w:pPr>
              <w:pStyle w:val="21"/>
              <w:spacing w:line="360" w:lineRule="auto"/>
              <w:jc w:val="center"/>
              <w:rPr>
                <w:rFonts w:ascii="宋体" w:hAnsi="宋体"/>
                <w:b/>
                <w:sz w:val="36"/>
                <w:szCs w:val="36"/>
              </w:rPr>
            </w:pPr>
            <w:r>
              <w:rPr>
                <w:rFonts w:hint="eastAsia" w:ascii="宋体" w:hAnsi="宋体"/>
                <w:b/>
                <w:sz w:val="36"/>
                <w:szCs w:val="36"/>
              </w:rPr>
              <w:t>口 副本</w:t>
            </w:r>
          </w:p>
          <w:p>
            <w:pPr>
              <w:pStyle w:val="21"/>
              <w:spacing w:line="360" w:lineRule="auto"/>
              <w:ind w:firstLine="482" w:firstLineChars="150"/>
              <w:rPr>
                <w:rFonts w:ascii="宋体" w:hAnsi="宋体"/>
                <w:b/>
                <w:sz w:val="32"/>
              </w:rPr>
            </w:pPr>
          </w:p>
          <w:p>
            <w:pPr>
              <w:pStyle w:val="21"/>
              <w:spacing w:line="400" w:lineRule="exact"/>
              <w:ind w:firstLine="900" w:firstLineChars="320"/>
              <w:rPr>
                <w:rFonts w:ascii="宋体" w:hAnsi="宋体"/>
                <w:b/>
                <w:color w:val="000000"/>
                <w:sz w:val="28"/>
                <w:szCs w:val="28"/>
              </w:rPr>
            </w:pPr>
            <w:r>
              <w:rPr>
                <w:rFonts w:hint="eastAsia" w:ascii="宋体" w:hAnsi="宋体"/>
                <w:b/>
                <w:sz w:val="28"/>
                <w:szCs w:val="28"/>
              </w:rPr>
              <w:t>项目编号</w:t>
            </w:r>
            <w:r>
              <w:rPr>
                <w:rFonts w:hint="eastAsia" w:ascii="宋体" w:hAnsi="宋体"/>
                <w:b/>
                <w:color w:val="000000"/>
                <w:sz w:val="28"/>
                <w:szCs w:val="28"/>
              </w:rPr>
              <w:t>：</w:t>
            </w:r>
          </w:p>
          <w:p>
            <w:pPr>
              <w:pStyle w:val="21"/>
              <w:spacing w:line="400" w:lineRule="exact"/>
              <w:ind w:firstLine="900" w:firstLineChars="320"/>
              <w:rPr>
                <w:rFonts w:ascii="宋体" w:hAnsi="宋体"/>
                <w:b/>
                <w:color w:val="000000"/>
                <w:sz w:val="28"/>
                <w:szCs w:val="28"/>
              </w:rPr>
            </w:pPr>
            <w:r>
              <w:rPr>
                <w:rFonts w:hint="eastAsia" w:ascii="宋体" w:hAnsi="宋体"/>
                <w:b/>
                <w:color w:val="000000"/>
                <w:sz w:val="28"/>
                <w:szCs w:val="28"/>
              </w:rPr>
              <w:t>项目名称：《江门市江海区和德路及应急产业项目占用耕地耕作层土壤剥离再利用方案》耕作层土壤剥离再利用工程项目</w:t>
            </w:r>
          </w:p>
          <w:p>
            <w:pPr>
              <w:pStyle w:val="21"/>
              <w:spacing w:line="400" w:lineRule="exact"/>
              <w:ind w:firstLine="900" w:firstLineChars="320"/>
              <w:rPr>
                <w:rFonts w:ascii="宋体" w:hAnsi="宋体"/>
                <w:b/>
                <w:sz w:val="28"/>
                <w:szCs w:val="28"/>
              </w:rPr>
            </w:pPr>
            <w:r>
              <w:rPr>
                <w:rFonts w:hint="eastAsia" w:ascii="宋体" w:hAnsi="宋体"/>
                <w:b/>
                <w:sz w:val="28"/>
                <w:szCs w:val="28"/>
              </w:rPr>
              <w:t>投标人名称：</w:t>
            </w:r>
          </w:p>
          <w:p>
            <w:pPr>
              <w:pStyle w:val="21"/>
              <w:spacing w:line="400" w:lineRule="exact"/>
              <w:ind w:firstLine="900" w:firstLineChars="320"/>
              <w:rPr>
                <w:rFonts w:ascii="宋体" w:hAnsi="宋体"/>
                <w:b/>
                <w:sz w:val="28"/>
                <w:szCs w:val="28"/>
              </w:rPr>
            </w:pPr>
            <w:r>
              <w:rPr>
                <w:rFonts w:hint="eastAsia" w:ascii="宋体" w:hAnsi="宋体"/>
                <w:b/>
                <w:sz w:val="28"/>
                <w:szCs w:val="28"/>
              </w:rPr>
              <w:t>投标人地址：</w:t>
            </w:r>
          </w:p>
          <w:p>
            <w:pPr>
              <w:pStyle w:val="21"/>
              <w:spacing w:line="400" w:lineRule="exact"/>
              <w:ind w:firstLine="900" w:firstLineChars="320"/>
              <w:rPr>
                <w:rFonts w:ascii="宋体" w:hAnsi="宋体"/>
                <w:b/>
                <w:sz w:val="28"/>
                <w:szCs w:val="28"/>
              </w:rPr>
            </w:pPr>
            <w:r>
              <w:rPr>
                <w:rFonts w:hint="eastAsia" w:ascii="仿宋_GB2312" w:eastAsia="仿宋_GB2312"/>
                <w:b/>
                <w:color w:val="FF0000"/>
                <w:sz w:val="28"/>
                <w:szCs w:val="28"/>
              </w:rPr>
              <w:t xml:space="preserve">  </w:t>
            </w:r>
            <w:r>
              <w:rPr>
                <w:rFonts w:hint="eastAsia" w:ascii="宋体" w:hAnsi="宋体"/>
                <w:b/>
                <w:sz w:val="28"/>
                <w:szCs w:val="28"/>
              </w:rPr>
              <w:t xml:space="preserve">             </w:t>
            </w:r>
          </w:p>
          <w:p>
            <w:pPr>
              <w:tabs>
                <w:tab w:val="left" w:pos="851"/>
              </w:tabs>
              <w:autoSpaceDE w:val="0"/>
              <w:autoSpaceDN w:val="0"/>
              <w:adjustRightInd w:val="0"/>
              <w:snapToGrid w:val="0"/>
              <w:spacing w:line="420" w:lineRule="auto"/>
              <w:rPr>
                <w:rFonts w:ascii="宋体" w:hAnsi="宋体"/>
                <w:b/>
                <w:sz w:val="32"/>
              </w:rPr>
            </w:pPr>
            <w:r>
              <w:rPr>
                <w:rFonts w:ascii="宋体" w:hAnsi="宋体"/>
                <w:b/>
                <w:sz w:val="28"/>
                <w:szCs w:val="28"/>
              </w:rPr>
              <w:t xml:space="preserve"> </w:t>
            </w:r>
            <w:r>
              <w:rPr>
                <w:rFonts w:hint="eastAsia" w:ascii="宋体" w:hAnsi="宋体"/>
                <w:b/>
                <w:sz w:val="28"/>
                <w:szCs w:val="28"/>
              </w:rPr>
              <w:t xml:space="preserve">     </w:t>
            </w:r>
            <w:r>
              <w:rPr>
                <w:rFonts w:ascii="宋体" w:hAnsi="宋体"/>
                <w:b/>
                <w:sz w:val="28"/>
                <w:szCs w:val="28"/>
              </w:rPr>
              <w:t>(</w:t>
            </w:r>
            <w:r>
              <w:rPr>
                <w:rFonts w:ascii="宋体" w:hAnsi="宋体"/>
                <w:b/>
                <w:sz w:val="28"/>
                <w:szCs w:val="28"/>
                <w:u w:val="single"/>
              </w:rPr>
              <w:t xml:space="preserve">    </w:t>
            </w:r>
            <w:r>
              <w:rPr>
                <w:rFonts w:hint="eastAsia" w:ascii="宋体" w:hAnsi="宋体"/>
                <w:b/>
                <w:sz w:val="28"/>
                <w:szCs w:val="28"/>
              </w:rPr>
              <w:t>年</w:t>
            </w:r>
            <w:r>
              <w:rPr>
                <w:rFonts w:ascii="宋体" w:hAnsi="宋体"/>
                <w:b/>
                <w:sz w:val="28"/>
                <w:szCs w:val="28"/>
                <w:u w:val="single"/>
              </w:rPr>
              <w:t xml:space="preserve">    </w:t>
            </w:r>
            <w:r>
              <w:rPr>
                <w:rFonts w:hint="eastAsia" w:ascii="宋体" w:hAnsi="宋体"/>
                <w:b/>
                <w:sz w:val="28"/>
                <w:szCs w:val="28"/>
              </w:rPr>
              <w:t>月</w:t>
            </w:r>
            <w:r>
              <w:rPr>
                <w:rFonts w:ascii="宋体" w:hAnsi="宋体"/>
                <w:b/>
                <w:sz w:val="28"/>
                <w:szCs w:val="28"/>
                <w:u w:val="single"/>
              </w:rPr>
              <w:t xml:space="preserve">    </w:t>
            </w:r>
            <w:r>
              <w:rPr>
                <w:rFonts w:hint="eastAsia" w:ascii="宋体" w:hAnsi="宋体"/>
                <w:b/>
                <w:sz w:val="28"/>
                <w:szCs w:val="28"/>
              </w:rPr>
              <w:t>日</w:t>
            </w:r>
            <w:r>
              <w:rPr>
                <w:rFonts w:ascii="宋体" w:hAnsi="宋体"/>
                <w:b/>
                <w:sz w:val="28"/>
                <w:szCs w:val="28"/>
                <w:u w:val="single"/>
              </w:rPr>
              <w:t xml:space="preserve">    </w:t>
            </w:r>
            <w:r>
              <w:rPr>
                <w:rFonts w:hint="eastAsia" w:ascii="宋体" w:hAnsi="宋体"/>
                <w:b/>
                <w:sz w:val="28"/>
                <w:szCs w:val="28"/>
              </w:rPr>
              <w:t>时</w:t>
            </w:r>
            <w:r>
              <w:rPr>
                <w:rFonts w:ascii="宋体" w:hAnsi="宋体"/>
                <w:b/>
                <w:sz w:val="28"/>
                <w:szCs w:val="28"/>
                <w:u w:val="single"/>
              </w:rPr>
              <w:t xml:space="preserve">    </w:t>
            </w:r>
            <w:r>
              <w:rPr>
                <w:rFonts w:hint="eastAsia" w:ascii="宋体" w:hAnsi="宋体"/>
                <w:b/>
                <w:sz w:val="28"/>
                <w:szCs w:val="28"/>
              </w:rPr>
              <w:t>分</w:t>
            </w:r>
            <w:r>
              <w:rPr>
                <w:rFonts w:ascii="宋体" w:hAnsi="宋体"/>
                <w:b/>
                <w:sz w:val="28"/>
                <w:szCs w:val="28"/>
              </w:rPr>
              <w:t>)</w:t>
            </w:r>
            <w:r>
              <w:rPr>
                <w:rFonts w:hint="eastAsia" w:ascii="宋体" w:hAnsi="宋体"/>
                <w:b/>
                <w:sz w:val="28"/>
                <w:szCs w:val="28"/>
              </w:rPr>
              <w:t>之前不得启封</w:t>
            </w:r>
          </w:p>
        </w:tc>
      </w:tr>
    </w:tbl>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rPr>
          <w:rFonts w:ascii="宋体" w:hAnsi="宋体"/>
          <w:sz w:val="24"/>
        </w:rPr>
        <w:sectPr>
          <w:pgSz w:w="11906" w:h="16838"/>
          <w:pgMar w:top="1440" w:right="1418" w:bottom="1440" w:left="1418" w:header="657" w:footer="481" w:gutter="0"/>
          <w:pgNumType w:fmt="numberInDash"/>
          <w:cols w:space="720" w:num="1"/>
          <w:docGrid w:linePitch="312" w:charSpace="0"/>
        </w:sectPr>
      </w:pPr>
    </w:p>
    <w:p>
      <w:pPr>
        <w:pStyle w:val="4"/>
        <w:numPr>
          <w:ilvl w:val="0"/>
          <w:numId w:val="0"/>
        </w:numPr>
        <w:spacing w:line="440" w:lineRule="exact"/>
        <w:rPr>
          <w:rFonts w:ascii="宋体" w:eastAsia="宋体"/>
          <w:b/>
          <w:sz w:val="32"/>
          <w:szCs w:val="32"/>
        </w:rPr>
      </w:pPr>
      <w:bookmarkStart w:id="90" w:name="_Toc418071335"/>
      <w:bookmarkStart w:id="91" w:name="_Toc423350520"/>
      <w:bookmarkStart w:id="92" w:name="_Toc21844"/>
      <w:r>
        <w:rPr>
          <w:rFonts w:hint="eastAsia" w:ascii="宋体" w:eastAsia="宋体"/>
          <w:b/>
          <w:sz w:val="32"/>
          <w:szCs w:val="32"/>
        </w:rPr>
        <w:t>投标文件目录表</w:t>
      </w:r>
      <w:bookmarkEnd w:id="90"/>
      <w:bookmarkEnd w:id="91"/>
      <w:bookmarkEnd w:id="92"/>
    </w:p>
    <w:p>
      <w:pPr>
        <w:spacing w:line="360" w:lineRule="auto"/>
        <w:rPr>
          <w:rFonts w:ascii="宋体" w:hAnsi="宋体"/>
          <w:color w:val="000000"/>
        </w:rPr>
      </w:pPr>
      <w:r>
        <w:rPr>
          <w:rFonts w:hint="eastAsia" w:ascii="宋体" w:hAnsi="宋体"/>
        </w:rPr>
        <w:t>项</w:t>
      </w:r>
      <w:r>
        <w:rPr>
          <w:rFonts w:hint="eastAsia" w:ascii="宋体" w:hAnsi="宋体"/>
          <w:color w:val="000000"/>
        </w:rPr>
        <w:t>目名称：</w:t>
      </w:r>
      <w:r>
        <w:rPr>
          <w:rFonts w:hint="eastAsia" w:ascii="宋体" w:hAnsi="宋体" w:cs="宋体"/>
          <w:color w:val="000000"/>
          <w:szCs w:val="21"/>
        </w:rPr>
        <w:t>《江门市江海区和德路及应急产业项目占用耕地耕作层土壤剥离再利用方案》耕作层土壤剥离再利用工程项目耕作层土壤剥离再利用工程项目</w:t>
      </w:r>
    </w:p>
    <w:tbl>
      <w:tblPr>
        <w:tblStyle w:val="50"/>
        <w:tblW w:w="84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5"/>
        <w:gridCol w:w="547"/>
        <w:gridCol w:w="4057"/>
        <w:gridCol w:w="536"/>
        <w:gridCol w:w="487"/>
        <w:gridCol w:w="725"/>
        <w:gridCol w:w="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6" w:hRule="atLeast"/>
        </w:trPr>
        <w:tc>
          <w:tcPr>
            <w:tcW w:w="1365" w:type="dxa"/>
            <w:vMerge w:val="restart"/>
            <w:shd w:val="clear" w:color="auto" w:fill="EEECE1"/>
            <w:vAlign w:val="center"/>
          </w:tcPr>
          <w:p>
            <w:pPr>
              <w:jc w:val="center"/>
              <w:rPr>
                <w:rFonts w:ascii="宋体" w:hAnsi="宋体"/>
                <w:b/>
                <w:szCs w:val="21"/>
              </w:rPr>
            </w:pPr>
            <w:r>
              <w:rPr>
                <w:rFonts w:hint="eastAsia" w:ascii="宋体" w:hAnsi="宋体"/>
                <w:b/>
                <w:szCs w:val="21"/>
              </w:rPr>
              <w:t>文件类型</w:t>
            </w:r>
          </w:p>
        </w:tc>
        <w:tc>
          <w:tcPr>
            <w:tcW w:w="547" w:type="dxa"/>
            <w:vMerge w:val="restart"/>
            <w:shd w:val="clear" w:color="auto" w:fill="EEECE1"/>
            <w:vAlign w:val="center"/>
          </w:tcPr>
          <w:p>
            <w:pPr>
              <w:ind w:left="-101" w:leftChars="-48" w:right="-99" w:rightChars="-47"/>
              <w:jc w:val="center"/>
              <w:rPr>
                <w:rFonts w:ascii="宋体" w:hAnsi="宋体"/>
                <w:b/>
                <w:szCs w:val="21"/>
              </w:rPr>
            </w:pPr>
            <w:r>
              <w:rPr>
                <w:rFonts w:hint="eastAsia" w:ascii="宋体" w:hAnsi="宋体"/>
                <w:b/>
                <w:szCs w:val="21"/>
              </w:rPr>
              <w:t>序号</w:t>
            </w:r>
          </w:p>
        </w:tc>
        <w:tc>
          <w:tcPr>
            <w:tcW w:w="4057" w:type="dxa"/>
            <w:vMerge w:val="restart"/>
            <w:shd w:val="clear" w:color="auto" w:fill="EEECE1"/>
            <w:vAlign w:val="center"/>
          </w:tcPr>
          <w:p>
            <w:pPr>
              <w:jc w:val="center"/>
              <w:rPr>
                <w:rFonts w:ascii="宋体" w:hAnsi="宋体"/>
                <w:b/>
                <w:szCs w:val="21"/>
              </w:rPr>
            </w:pPr>
            <w:r>
              <w:rPr>
                <w:rFonts w:hint="eastAsia" w:ascii="宋体" w:hAnsi="宋体"/>
                <w:b/>
                <w:szCs w:val="21"/>
              </w:rPr>
              <w:t>文    件    名    称</w:t>
            </w:r>
          </w:p>
        </w:tc>
        <w:tc>
          <w:tcPr>
            <w:tcW w:w="1023" w:type="dxa"/>
            <w:gridSpan w:val="2"/>
            <w:shd w:val="clear" w:color="auto" w:fill="EEECE1"/>
            <w:vAlign w:val="center"/>
          </w:tcPr>
          <w:p>
            <w:pPr>
              <w:ind w:left="-118" w:leftChars="-56" w:right="-94" w:rightChars="-45"/>
              <w:jc w:val="center"/>
              <w:rPr>
                <w:rFonts w:ascii="宋体" w:hAnsi="宋体"/>
                <w:b/>
                <w:szCs w:val="21"/>
              </w:rPr>
            </w:pPr>
            <w:r>
              <w:rPr>
                <w:rFonts w:hint="eastAsia" w:ascii="宋体" w:hAnsi="宋体"/>
                <w:b/>
                <w:szCs w:val="21"/>
              </w:rPr>
              <w:t>提交情况</w:t>
            </w:r>
          </w:p>
        </w:tc>
        <w:tc>
          <w:tcPr>
            <w:tcW w:w="725" w:type="dxa"/>
            <w:vMerge w:val="restart"/>
            <w:shd w:val="clear" w:color="auto" w:fill="EEECE1"/>
            <w:vAlign w:val="center"/>
          </w:tcPr>
          <w:p>
            <w:pPr>
              <w:jc w:val="center"/>
              <w:rPr>
                <w:rFonts w:ascii="宋体" w:hAnsi="宋体"/>
                <w:b/>
                <w:szCs w:val="21"/>
              </w:rPr>
            </w:pPr>
            <w:r>
              <w:rPr>
                <w:rFonts w:hint="eastAsia" w:ascii="宋体" w:hAnsi="宋体"/>
                <w:b/>
                <w:szCs w:val="21"/>
              </w:rPr>
              <w:t>页码范围</w:t>
            </w:r>
          </w:p>
        </w:tc>
        <w:tc>
          <w:tcPr>
            <w:tcW w:w="726" w:type="dxa"/>
            <w:vMerge w:val="restart"/>
            <w:shd w:val="clear" w:color="auto" w:fill="EEECE1"/>
            <w:vAlign w:val="center"/>
          </w:tcPr>
          <w:p>
            <w:pPr>
              <w:jc w:val="center"/>
              <w:rPr>
                <w:rFonts w:ascii="宋体" w:hAnsi="宋体"/>
                <w:b/>
                <w:szCs w:val="21"/>
              </w:rPr>
            </w:pPr>
            <w:r>
              <w:rPr>
                <w:rFonts w:hint="eastAsia" w:ascii="宋体" w:hAnsi="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8" w:hRule="atLeast"/>
        </w:trPr>
        <w:tc>
          <w:tcPr>
            <w:tcW w:w="1365" w:type="dxa"/>
            <w:vMerge w:val="continue"/>
            <w:shd w:val="clear" w:color="auto" w:fill="EEECE1"/>
            <w:vAlign w:val="center"/>
          </w:tcPr>
          <w:p>
            <w:pPr>
              <w:jc w:val="center"/>
              <w:rPr>
                <w:rFonts w:ascii="宋体" w:hAnsi="宋体"/>
                <w:szCs w:val="21"/>
              </w:rPr>
            </w:pPr>
          </w:p>
        </w:tc>
        <w:tc>
          <w:tcPr>
            <w:tcW w:w="547" w:type="dxa"/>
            <w:vMerge w:val="continue"/>
            <w:shd w:val="clear" w:color="auto" w:fill="EEECE1"/>
            <w:vAlign w:val="center"/>
          </w:tcPr>
          <w:p>
            <w:pPr>
              <w:rPr>
                <w:rFonts w:ascii="宋体" w:hAnsi="宋体"/>
                <w:szCs w:val="21"/>
              </w:rPr>
            </w:pPr>
          </w:p>
        </w:tc>
        <w:tc>
          <w:tcPr>
            <w:tcW w:w="4057" w:type="dxa"/>
            <w:vMerge w:val="continue"/>
            <w:shd w:val="clear" w:color="auto" w:fill="EEECE1"/>
            <w:vAlign w:val="center"/>
          </w:tcPr>
          <w:p>
            <w:pPr>
              <w:rPr>
                <w:rFonts w:ascii="宋体" w:hAnsi="宋体"/>
                <w:szCs w:val="21"/>
              </w:rPr>
            </w:pPr>
          </w:p>
        </w:tc>
        <w:tc>
          <w:tcPr>
            <w:tcW w:w="536" w:type="dxa"/>
            <w:shd w:val="clear" w:color="auto" w:fill="EEECE1"/>
            <w:vAlign w:val="center"/>
          </w:tcPr>
          <w:p>
            <w:pPr>
              <w:jc w:val="center"/>
              <w:rPr>
                <w:rFonts w:ascii="宋体" w:hAnsi="宋体"/>
                <w:b/>
                <w:szCs w:val="21"/>
              </w:rPr>
            </w:pPr>
            <w:r>
              <w:rPr>
                <w:rFonts w:hint="eastAsia" w:ascii="宋体" w:hAnsi="宋体"/>
                <w:b/>
                <w:szCs w:val="21"/>
              </w:rPr>
              <w:t>有</w:t>
            </w:r>
          </w:p>
        </w:tc>
        <w:tc>
          <w:tcPr>
            <w:tcW w:w="487" w:type="dxa"/>
            <w:shd w:val="clear" w:color="auto" w:fill="EEECE1"/>
            <w:vAlign w:val="center"/>
          </w:tcPr>
          <w:p>
            <w:pPr>
              <w:jc w:val="center"/>
              <w:rPr>
                <w:rFonts w:ascii="宋体" w:hAnsi="宋体"/>
                <w:b/>
                <w:szCs w:val="21"/>
              </w:rPr>
            </w:pPr>
            <w:r>
              <w:rPr>
                <w:rFonts w:hint="eastAsia" w:ascii="宋体" w:hAnsi="宋体"/>
                <w:b/>
                <w:szCs w:val="21"/>
              </w:rPr>
              <w:t>无</w:t>
            </w:r>
          </w:p>
        </w:tc>
        <w:tc>
          <w:tcPr>
            <w:tcW w:w="725" w:type="dxa"/>
            <w:vMerge w:val="continue"/>
            <w:shd w:val="clear" w:color="auto" w:fill="EEECE1"/>
            <w:vAlign w:val="center"/>
          </w:tcPr>
          <w:p>
            <w:pPr>
              <w:jc w:val="center"/>
              <w:rPr>
                <w:rFonts w:ascii="宋体" w:hAnsi="宋体"/>
                <w:szCs w:val="21"/>
              </w:rPr>
            </w:pPr>
          </w:p>
        </w:tc>
        <w:tc>
          <w:tcPr>
            <w:tcW w:w="726" w:type="dxa"/>
            <w:vMerge w:val="continue"/>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restart"/>
            <w:shd w:val="clear" w:color="auto" w:fill="auto"/>
            <w:vAlign w:val="center"/>
          </w:tcPr>
          <w:p>
            <w:pPr>
              <w:jc w:val="center"/>
              <w:rPr>
                <w:rFonts w:ascii="宋体" w:hAnsi="宋体"/>
                <w:szCs w:val="21"/>
              </w:rPr>
            </w:pPr>
            <w:r>
              <w:rPr>
                <w:rFonts w:hint="eastAsia" w:ascii="宋体" w:hAnsi="宋体"/>
                <w:b/>
                <w:szCs w:val="21"/>
              </w:rPr>
              <w:t>初审文件（加盖投标人公章）</w:t>
            </w: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27"/>
              <w:rPr>
                <w:rFonts w:hAnsi="宋体"/>
                <w:color w:val="000000"/>
              </w:rPr>
            </w:pPr>
            <w:r>
              <w:rPr>
                <w:rFonts w:hint="eastAsia" w:hAnsi="宋体"/>
                <w:kern w:val="0"/>
              </w:rPr>
              <w:t>投标函</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27"/>
              <w:rPr>
                <w:rFonts w:hAnsi="宋体"/>
                <w:color w:val="000000"/>
              </w:rPr>
            </w:pPr>
            <w:r>
              <w:rPr>
                <w:rFonts w:hint="eastAsia" w:hAnsi="宋体"/>
                <w:kern w:val="0"/>
              </w:rPr>
              <w:t>投标人资格声明函</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45"/>
              <w:widowControl w:val="0"/>
              <w:adjustRightInd w:val="0"/>
              <w:snapToGrid w:val="0"/>
              <w:spacing w:before="0" w:beforeAutospacing="0" w:after="0" w:afterAutospacing="0"/>
              <w:jc w:val="both"/>
              <w:rPr>
                <w:color w:val="000000"/>
              </w:rPr>
            </w:pPr>
            <w:r>
              <w:rPr>
                <w:rFonts w:hint="eastAsia"/>
                <w:sz w:val="21"/>
                <w:szCs w:val="21"/>
              </w:rPr>
              <w:t>法人或者其他组织的营业执照、组织机构代码证和税务登记证（或三证合一证明）等证明文件</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color w:val="000000"/>
                <w:szCs w:val="21"/>
              </w:rPr>
            </w:pPr>
          </w:p>
        </w:tc>
        <w:tc>
          <w:tcPr>
            <w:tcW w:w="4057" w:type="dxa"/>
            <w:shd w:val="clear" w:color="auto" w:fill="auto"/>
            <w:vAlign w:val="center"/>
          </w:tcPr>
          <w:p>
            <w:pPr>
              <w:pStyle w:val="27"/>
              <w:rPr>
                <w:rFonts w:hAnsi="宋体"/>
                <w:color w:val="000000"/>
                <w:kern w:val="0"/>
              </w:rPr>
            </w:pPr>
            <w:r>
              <w:rPr>
                <w:rFonts w:hint="eastAsia" w:hAnsi="宋体" w:cs="宋体"/>
                <w:bCs/>
                <w:color w:val="000000"/>
                <w:kern w:val="0"/>
              </w:rPr>
              <w:t>《公平竞争承诺书》原件</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4"/>
              </w:numPr>
              <w:jc w:val="center"/>
              <w:rPr>
                <w:rFonts w:ascii="宋体" w:hAnsi="宋体"/>
                <w:szCs w:val="21"/>
              </w:rPr>
            </w:pPr>
          </w:p>
        </w:tc>
        <w:tc>
          <w:tcPr>
            <w:tcW w:w="4057" w:type="dxa"/>
            <w:shd w:val="clear" w:color="auto" w:fill="auto"/>
            <w:vAlign w:val="center"/>
          </w:tcPr>
          <w:p>
            <w:pPr>
              <w:pStyle w:val="27"/>
              <w:rPr>
                <w:rFonts w:hAnsi="宋体" w:cs="宋体"/>
                <w:bCs/>
                <w:color w:val="FF0000"/>
                <w:kern w:val="0"/>
              </w:rPr>
            </w:pPr>
            <w:r>
              <w:rPr>
                <w:rFonts w:hint="eastAsia" w:hAnsi="宋体"/>
              </w:rPr>
              <w:t>法定代表人授权委托书</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3" w:hRule="atLeast"/>
        </w:trPr>
        <w:tc>
          <w:tcPr>
            <w:tcW w:w="1365" w:type="dxa"/>
            <w:vMerge w:val="continue"/>
            <w:shd w:val="clear" w:color="auto" w:fill="auto"/>
            <w:vAlign w:val="center"/>
          </w:tcPr>
          <w:p>
            <w:pPr>
              <w:ind w:left="113" w:right="113"/>
              <w:jc w:val="center"/>
              <w:rPr>
                <w:rFonts w:ascii="宋体" w:hAnsi="宋体"/>
                <w:szCs w:val="21"/>
              </w:rPr>
            </w:pPr>
          </w:p>
        </w:tc>
        <w:tc>
          <w:tcPr>
            <w:tcW w:w="547" w:type="dxa"/>
            <w:tcBorders>
              <w:bottom w:val="single" w:color="auto" w:sz="4" w:space="0"/>
            </w:tcBorders>
            <w:shd w:val="clear" w:color="auto" w:fill="auto"/>
            <w:vAlign w:val="center"/>
          </w:tcPr>
          <w:p>
            <w:pPr>
              <w:numPr>
                <w:ilvl w:val="0"/>
                <w:numId w:val="24"/>
              </w:numPr>
              <w:jc w:val="center"/>
              <w:rPr>
                <w:rFonts w:ascii="宋体" w:hAnsi="宋体"/>
                <w:szCs w:val="21"/>
              </w:rPr>
            </w:pPr>
          </w:p>
        </w:tc>
        <w:tc>
          <w:tcPr>
            <w:tcW w:w="4057" w:type="dxa"/>
            <w:tcBorders>
              <w:bottom w:val="single" w:color="auto" w:sz="4" w:space="0"/>
            </w:tcBorders>
            <w:shd w:val="clear" w:color="auto" w:fill="auto"/>
            <w:vAlign w:val="center"/>
          </w:tcPr>
          <w:p>
            <w:pPr>
              <w:pStyle w:val="27"/>
              <w:rPr>
                <w:rFonts w:hAnsi="宋体"/>
                <w:color w:val="000000"/>
                <w:kern w:val="0"/>
              </w:rPr>
            </w:pPr>
            <w:r>
              <w:rPr>
                <w:rFonts w:hint="eastAsia" w:hAnsi="宋体"/>
              </w:rPr>
              <w:t>法定代表人证明书</w:t>
            </w:r>
          </w:p>
        </w:tc>
        <w:tc>
          <w:tcPr>
            <w:tcW w:w="536" w:type="dxa"/>
            <w:tcBorders>
              <w:bottom w:val="single" w:color="auto" w:sz="4" w:space="0"/>
            </w:tcBorders>
            <w:shd w:val="clear" w:color="auto" w:fill="auto"/>
            <w:vAlign w:val="center"/>
          </w:tcPr>
          <w:p>
            <w:pPr>
              <w:jc w:val="center"/>
              <w:rPr>
                <w:rFonts w:ascii="宋体" w:hAnsi="宋体"/>
                <w:szCs w:val="21"/>
              </w:rPr>
            </w:pPr>
          </w:p>
        </w:tc>
        <w:tc>
          <w:tcPr>
            <w:tcW w:w="487" w:type="dxa"/>
            <w:tcBorders>
              <w:bottom w:val="single" w:color="auto" w:sz="4" w:space="0"/>
            </w:tcBorders>
            <w:shd w:val="clear" w:color="auto" w:fill="auto"/>
            <w:vAlign w:val="center"/>
          </w:tcPr>
          <w:p>
            <w:pPr>
              <w:jc w:val="center"/>
              <w:rPr>
                <w:rFonts w:ascii="宋体" w:hAnsi="宋体"/>
                <w:szCs w:val="21"/>
              </w:rPr>
            </w:pPr>
          </w:p>
        </w:tc>
        <w:tc>
          <w:tcPr>
            <w:tcW w:w="725" w:type="dxa"/>
            <w:tcBorders>
              <w:bottom w:val="single" w:color="auto" w:sz="4" w:space="0"/>
            </w:tcBorders>
            <w:shd w:val="clear" w:color="auto" w:fill="EEECE1"/>
            <w:vAlign w:val="center"/>
          </w:tcPr>
          <w:p>
            <w:pPr>
              <w:jc w:val="center"/>
              <w:rPr>
                <w:rFonts w:ascii="宋体" w:hAnsi="宋体"/>
                <w:szCs w:val="21"/>
              </w:rPr>
            </w:pPr>
          </w:p>
        </w:tc>
        <w:tc>
          <w:tcPr>
            <w:tcW w:w="726" w:type="dxa"/>
            <w:tcBorders>
              <w:bottom w:val="single" w:color="auto" w:sz="4" w:space="0"/>
            </w:tcBorders>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9" w:hRule="atLeast"/>
        </w:trPr>
        <w:tc>
          <w:tcPr>
            <w:tcW w:w="1365" w:type="dxa"/>
            <w:vMerge w:val="continue"/>
            <w:shd w:val="clear" w:color="auto" w:fill="auto"/>
            <w:vAlign w:val="center"/>
          </w:tcPr>
          <w:p>
            <w:pPr>
              <w:ind w:left="113" w:right="113"/>
              <w:jc w:val="center"/>
              <w:rPr>
                <w:rFonts w:ascii="宋体" w:hAnsi="宋体"/>
                <w:szCs w:val="21"/>
              </w:rPr>
            </w:pPr>
          </w:p>
        </w:tc>
        <w:tc>
          <w:tcPr>
            <w:tcW w:w="547" w:type="dxa"/>
            <w:tcBorders>
              <w:top w:val="single" w:color="auto" w:sz="4" w:space="0"/>
            </w:tcBorders>
            <w:shd w:val="clear" w:color="auto" w:fill="auto"/>
            <w:vAlign w:val="center"/>
          </w:tcPr>
          <w:p>
            <w:pPr>
              <w:numPr>
                <w:ilvl w:val="0"/>
                <w:numId w:val="24"/>
              </w:numPr>
              <w:jc w:val="center"/>
              <w:rPr>
                <w:rFonts w:ascii="宋体" w:hAnsi="宋体"/>
                <w:szCs w:val="21"/>
              </w:rPr>
            </w:pPr>
          </w:p>
        </w:tc>
        <w:tc>
          <w:tcPr>
            <w:tcW w:w="4057" w:type="dxa"/>
            <w:tcBorders>
              <w:top w:val="single" w:color="auto" w:sz="4" w:space="0"/>
            </w:tcBorders>
            <w:shd w:val="clear" w:color="auto" w:fill="auto"/>
            <w:vAlign w:val="center"/>
          </w:tcPr>
          <w:p>
            <w:pPr>
              <w:pStyle w:val="27"/>
              <w:rPr>
                <w:rFonts w:hAnsi="宋体"/>
              </w:rPr>
            </w:pPr>
            <w:r>
              <w:rPr>
                <w:rFonts w:hint="eastAsia" w:hAnsi="宋体"/>
              </w:rPr>
              <w:t>《承诺函》</w:t>
            </w:r>
          </w:p>
        </w:tc>
        <w:tc>
          <w:tcPr>
            <w:tcW w:w="536" w:type="dxa"/>
            <w:tcBorders>
              <w:top w:val="single" w:color="auto" w:sz="4" w:space="0"/>
            </w:tcBorders>
            <w:shd w:val="clear" w:color="auto" w:fill="auto"/>
            <w:vAlign w:val="center"/>
          </w:tcPr>
          <w:p>
            <w:pPr>
              <w:jc w:val="center"/>
              <w:rPr>
                <w:rFonts w:ascii="宋体" w:hAnsi="宋体"/>
                <w:szCs w:val="21"/>
              </w:rPr>
            </w:pPr>
          </w:p>
        </w:tc>
        <w:tc>
          <w:tcPr>
            <w:tcW w:w="487" w:type="dxa"/>
            <w:tcBorders>
              <w:top w:val="single" w:color="auto" w:sz="4" w:space="0"/>
            </w:tcBorders>
            <w:shd w:val="clear" w:color="auto" w:fill="auto"/>
            <w:vAlign w:val="center"/>
          </w:tcPr>
          <w:p>
            <w:pPr>
              <w:jc w:val="center"/>
              <w:rPr>
                <w:rFonts w:ascii="宋体" w:hAnsi="宋体"/>
                <w:szCs w:val="21"/>
              </w:rPr>
            </w:pPr>
          </w:p>
        </w:tc>
        <w:tc>
          <w:tcPr>
            <w:tcW w:w="725" w:type="dxa"/>
            <w:tcBorders>
              <w:top w:val="single" w:color="auto" w:sz="4" w:space="0"/>
            </w:tcBorders>
            <w:shd w:val="clear" w:color="auto" w:fill="EEECE1"/>
            <w:vAlign w:val="center"/>
          </w:tcPr>
          <w:p>
            <w:pPr>
              <w:jc w:val="center"/>
              <w:rPr>
                <w:rFonts w:ascii="宋体" w:hAnsi="宋体"/>
                <w:szCs w:val="21"/>
              </w:rPr>
            </w:pPr>
          </w:p>
        </w:tc>
        <w:tc>
          <w:tcPr>
            <w:tcW w:w="726" w:type="dxa"/>
            <w:tcBorders>
              <w:top w:val="single" w:color="auto" w:sz="4" w:space="0"/>
            </w:tcBorders>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trPr>
        <w:tc>
          <w:tcPr>
            <w:tcW w:w="1365" w:type="dxa"/>
            <w:vMerge w:val="restart"/>
            <w:shd w:val="clear" w:color="auto" w:fill="auto"/>
            <w:vAlign w:val="center"/>
          </w:tcPr>
          <w:p>
            <w:pPr>
              <w:ind w:left="113" w:right="113"/>
              <w:jc w:val="center"/>
              <w:rPr>
                <w:rFonts w:ascii="宋体" w:hAnsi="宋体"/>
                <w:szCs w:val="21"/>
              </w:rPr>
            </w:pPr>
            <w:r>
              <w:rPr>
                <w:rFonts w:hint="eastAsia" w:ascii="宋体" w:hAnsi="宋体"/>
                <w:b/>
                <w:color w:val="000000"/>
                <w:szCs w:val="21"/>
              </w:rPr>
              <w:t>投标人应提交的技术文件（</w:t>
            </w:r>
            <w:r>
              <w:rPr>
                <w:rFonts w:hint="eastAsia" w:ascii="宋体" w:hAnsi="宋体"/>
                <w:b/>
                <w:bCs/>
                <w:szCs w:val="21"/>
              </w:rPr>
              <w:t>加盖投标人公章</w:t>
            </w:r>
            <w:r>
              <w:rPr>
                <w:rFonts w:hint="eastAsia" w:ascii="宋体" w:hAnsi="宋体"/>
                <w:b/>
                <w:color w:val="000000"/>
                <w:szCs w:val="21"/>
              </w:rPr>
              <w:t>）</w:t>
            </w: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rPr>
              <w:t>开标一览表(报价表)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1365" w:type="dxa"/>
            <w:vMerge w:val="continue"/>
            <w:shd w:val="clear" w:color="auto" w:fill="auto"/>
            <w:vAlign w:val="center"/>
          </w:tcPr>
          <w:p>
            <w:pPr>
              <w:ind w:left="113" w:right="113"/>
              <w:jc w:val="center"/>
              <w:rPr>
                <w:rFonts w:ascii="宋体" w:hAnsi="宋体"/>
                <w:b/>
                <w:color w:val="000000"/>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rPr>
                <w:rFonts w:ascii="宋体" w:hAnsi="宋体"/>
                <w:color w:val="000000"/>
                <w:szCs w:val="21"/>
              </w:rPr>
            </w:pPr>
            <w:r>
              <w:rPr>
                <w:rFonts w:hint="eastAsia" w:ascii="宋体" w:hAnsi="宋体"/>
                <w:color w:val="000000"/>
                <w:szCs w:val="21"/>
              </w:rPr>
              <w:t>投标分项报价表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9" w:hRule="atLeast"/>
        </w:trPr>
        <w:tc>
          <w:tcPr>
            <w:tcW w:w="1365" w:type="dxa"/>
            <w:vMerge w:val="continue"/>
            <w:shd w:val="clear" w:color="auto" w:fill="auto"/>
            <w:vAlign w:val="center"/>
          </w:tcPr>
          <w:p>
            <w:pPr>
              <w:ind w:left="113" w:right="113"/>
              <w:jc w:val="center"/>
              <w:rPr>
                <w:rFonts w:ascii="宋体" w:hAnsi="宋体"/>
                <w:b/>
                <w:color w:val="000000"/>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rPr>
                <w:rFonts w:ascii="宋体" w:hAnsi="宋体"/>
                <w:color w:val="000000"/>
                <w:szCs w:val="21"/>
              </w:rPr>
            </w:pPr>
            <w:r>
              <w:rPr>
                <w:rFonts w:hint="eastAsia" w:ascii="宋体" w:hAnsi="宋体"/>
                <w:color w:val="000000"/>
                <w:szCs w:val="21"/>
              </w:rPr>
              <w:t>总体方案</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ind w:left="105" w:right="420" w:hanging="105" w:hangingChars="50"/>
              <w:jc w:val="left"/>
              <w:rPr>
                <w:rFonts w:ascii="宋体" w:hAnsi="宋体"/>
                <w:color w:val="000000"/>
                <w:szCs w:val="21"/>
              </w:rPr>
            </w:pPr>
            <w:r>
              <w:rPr>
                <w:rFonts w:hint="eastAsia"/>
              </w:rPr>
              <w:t>投入</w:t>
            </w:r>
            <w:r>
              <w:t>本项目的</w:t>
            </w:r>
            <w:r>
              <w:rPr>
                <w:rFonts w:hint="eastAsia" w:ascii="宋体" w:hAnsi="宋体"/>
                <w:color w:val="000000"/>
                <w:szCs w:val="21"/>
              </w:rPr>
              <w:t>物资设备</w:t>
            </w:r>
            <w:r>
              <w:rPr>
                <w:rFonts w:hint="eastAsia" w:ascii="宋体" w:hAnsi="宋体"/>
                <w:bCs/>
                <w:szCs w:val="20"/>
              </w:rPr>
              <w:t>状况（提供发票及照片）</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65" w:type="dxa"/>
            <w:vMerge w:val="continue"/>
            <w:shd w:val="clear" w:color="auto" w:fill="auto"/>
            <w:vAlign w:val="center"/>
          </w:tcPr>
          <w:p>
            <w:pPr>
              <w:ind w:left="113" w:right="113"/>
              <w:jc w:val="center"/>
              <w:rPr>
                <w:rFonts w:ascii="宋体" w:hAnsi="宋体"/>
                <w:szCs w:val="21"/>
              </w:rPr>
            </w:pPr>
          </w:p>
        </w:tc>
        <w:tc>
          <w:tcPr>
            <w:tcW w:w="547" w:type="dxa"/>
            <w:shd w:val="clear" w:color="auto" w:fill="auto"/>
            <w:vAlign w:val="center"/>
          </w:tcPr>
          <w:p>
            <w:pPr>
              <w:numPr>
                <w:ilvl w:val="0"/>
                <w:numId w:val="25"/>
              </w:numPr>
              <w:jc w:val="center"/>
              <w:rPr>
                <w:rFonts w:ascii="宋体" w:hAnsi="宋体"/>
                <w:szCs w:val="21"/>
              </w:rPr>
            </w:pPr>
          </w:p>
        </w:tc>
        <w:tc>
          <w:tcPr>
            <w:tcW w:w="4057" w:type="dxa"/>
            <w:shd w:val="clear" w:color="auto" w:fill="auto"/>
            <w:vAlign w:val="center"/>
          </w:tcPr>
          <w:p>
            <w:pPr>
              <w:jc w:val="left"/>
              <w:textAlignment w:val="baseline"/>
              <w:rPr>
                <w:rFonts w:ascii="宋体" w:hAnsi="宋体"/>
                <w:color w:val="000000"/>
                <w:szCs w:val="21"/>
              </w:rPr>
            </w:pPr>
            <w:r>
              <w:rPr>
                <w:rFonts w:hint="eastAsia" w:ascii="宋体" w:hAnsi="宋体"/>
                <w:color w:val="000000"/>
                <w:szCs w:val="21"/>
              </w:rPr>
              <w:t>投标人认为需要提供的其它说明和资料</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restart"/>
            <w:shd w:val="clear" w:color="auto" w:fill="auto"/>
            <w:vAlign w:val="center"/>
          </w:tcPr>
          <w:p>
            <w:pPr>
              <w:jc w:val="center"/>
              <w:rPr>
                <w:rFonts w:ascii="宋体" w:hAnsi="宋体"/>
                <w:szCs w:val="21"/>
              </w:rPr>
            </w:pPr>
            <w:r>
              <w:rPr>
                <w:rFonts w:hint="eastAsia" w:ascii="宋体" w:hAnsi="宋体"/>
                <w:b/>
                <w:color w:val="000000"/>
                <w:szCs w:val="21"/>
              </w:rPr>
              <w:t>投标人应提交的商务文件（</w:t>
            </w:r>
            <w:r>
              <w:rPr>
                <w:rFonts w:hint="eastAsia" w:ascii="宋体" w:hAnsi="宋体"/>
                <w:b/>
                <w:bCs/>
                <w:szCs w:val="21"/>
              </w:rPr>
              <w:t>加盖投标人公章</w:t>
            </w:r>
            <w:r>
              <w:rPr>
                <w:rFonts w:hint="eastAsia" w:ascii="宋体" w:hAnsi="宋体"/>
                <w:b/>
                <w:color w:val="000000"/>
                <w:szCs w:val="21"/>
              </w:rPr>
              <w:t>）</w:t>
            </w: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jc w:val="left"/>
              <w:textAlignment w:val="baseline"/>
              <w:rPr>
                <w:rFonts w:ascii="宋体" w:hAnsi="宋体"/>
                <w:szCs w:val="21"/>
              </w:rPr>
            </w:pPr>
            <w:r>
              <w:rPr>
                <w:rFonts w:hint="eastAsia" w:ascii="宋体" w:hAnsi="宋体"/>
                <w:szCs w:val="21"/>
              </w:rPr>
              <w:t>投标人基本情况表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b/>
                <w:color w:val="000000"/>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jc w:val="left"/>
              <w:textAlignment w:val="baseline"/>
              <w:rPr>
                <w:rFonts w:hAnsi="宋体"/>
                <w:bCs/>
                <w:color w:val="FF0000"/>
              </w:rPr>
            </w:pPr>
            <w:r>
              <w:rPr>
                <w:rFonts w:hint="eastAsia" w:hAnsi="宋体"/>
                <w:kern w:val="0"/>
              </w:rPr>
              <w:t>依法缴纳税收和社会保障资金的相关材料</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color w:val="000000"/>
                <w:szCs w:val="21"/>
              </w:rPr>
            </w:pPr>
          </w:p>
        </w:tc>
        <w:tc>
          <w:tcPr>
            <w:tcW w:w="4057" w:type="dxa"/>
            <w:shd w:val="clear" w:color="auto" w:fill="auto"/>
            <w:vAlign w:val="center"/>
          </w:tcPr>
          <w:p>
            <w:pPr>
              <w:pStyle w:val="27"/>
              <w:rPr>
                <w:rFonts w:hAnsi="宋体"/>
                <w:color w:val="000000"/>
                <w:kern w:val="0"/>
              </w:rPr>
            </w:pPr>
            <w:r>
              <w:rPr>
                <w:rFonts w:hint="eastAsia" w:cs="宋体"/>
                <w:color w:val="000000"/>
              </w:rPr>
              <w:t>2018年至今挖土方、</w:t>
            </w:r>
            <w:r>
              <w:rPr>
                <w:rFonts w:hint="eastAsia" w:hAnsi="宋体" w:cs="仿宋_GB2312"/>
                <w:color w:val="000000"/>
                <w:szCs w:val="21"/>
              </w:rPr>
              <w:t>回填土石方相关经验</w:t>
            </w:r>
            <w:r>
              <w:rPr>
                <w:rFonts w:hint="eastAsia" w:hAnsi="宋体"/>
                <w:color w:val="000000"/>
                <w:kern w:val="0"/>
              </w:rPr>
              <w:t>情况一览表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kern w:val="0"/>
              </w:rPr>
            </w:pPr>
            <w:r>
              <w:rPr>
                <w:rFonts w:hint="eastAsia" w:hAnsi="宋体"/>
                <w:kern w:val="0"/>
              </w:rPr>
              <w:t>项目负责人及团队成员一览表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cs="Arial"/>
                <w:color w:val="000000"/>
                <w:szCs w:val="21"/>
              </w:rPr>
              <w:t>投标人所获荣誉证明文件</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rPr>
              <w:t>用户需求响应一览表</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pStyle w:val="27"/>
              <w:rPr>
                <w:rFonts w:hAnsi="宋体"/>
              </w:rPr>
            </w:pPr>
            <w:r>
              <w:rPr>
                <w:rFonts w:hint="eastAsia" w:hAnsi="宋体"/>
                <w:kern w:val="0"/>
              </w:rPr>
              <w:t>中小企业声明函（如是）</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365" w:type="dxa"/>
            <w:vMerge w:val="continue"/>
            <w:shd w:val="clear" w:color="auto" w:fill="auto"/>
            <w:vAlign w:val="center"/>
          </w:tcPr>
          <w:p>
            <w:pPr>
              <w:jc w:val="center"/>
              <w:rPr>
                <w:rFonts w:ascii="宋体" w:hAnsi="宋体"/>
                <w:szCs w:val="21"/>
              </w:rPr>
            </w:pPr>
          </w:p>
        </w:tc>
        <w:tc>
          <w:tcPr>
            <w:tcW w:w="547" w:type="dxa"/>
            <w:shd w:val="clear" w:color="auto" w:fill="auto"/>
            <w:vAlign w:val="center"/>
          </w:tcPr>
          <w:p>
            <w:pPr>
              <w:numPr>
                <w:ilvl w:val="0"/>
                <w:numId w:val="26"/>
              </w:numPr>
              <w:jc w:val="center"/>
              <w:rPr>
                <w:rFonts w:ascii="宋体" w:hAnsi="宋体"/>
                <w:szCs w:val="21"/>
              </w:rPr>
            </w:pPr>
          </w:p>
        </w:tc>
        <w:tc>
          <w:tcPr>
            <w:tcW w:w="4057" w:type="dxa"/>
            <w:shd w:val="clear" w:color="auto" w:fill="auto"/>
            <w:vAlign w:val="center"/>
          </w:tcPr>
          <w:p>
            <w:pPr>
              <w:jc w:val="left"/>
              <w:textAlignment w:val="baseline"/>
              <w:rPr>
                <w:rFonts w:ascii="宋体" w:hAnsi="宋体"/>
                <w:kern w:val="0"/>
                <w:szCs w:val="21"/>
              </w:rPr>
            </w:pPr>
            <w:r>
              <w:rPr>
                <w:rFonts w:hint="eastAsia" w:ascii="宋体" w:hAnsi="宋体"/>
                <w:kern w:val="0"/>
                <w:szCs w:val="21"/>
              </w:rPr>
              <w:t>投标人认为需要提供的其他商务资料</w:t>
            </w:r>
          </w:p>
        </w:tc>
        <w:tc>
          <w:tcPr>
            <w:tcW w:w="536" w:type="dxa"/>
            <w:shd w:val="clear" w:color="auto" w:fill="auto"/>
            <w:vAlign w:val="center"/>
          </w:tcPr>
          <w:p>
            <w:pPr>
              <w:jc w:val="center"/>
              <w:rPr>
                <w:rFonts w:ascii="宋体" w:hAnsi="宋体"/>
                <w:szCs w:val="21"/>
              </w:rPr>
            </w:pPr>
          </w:p>
        </w:tc>
        <w:tc>
          <w:tcPr>
            <w:tcW w:w="487" w:type="dxa"/>
            <w:shd w:val="clear" w:color="auto" w:fill="auto"/>
            <w:vAlign w:val="center"/>
          </w:tcPr>
          <w:p>
            <w:pPr>
              <w:jc w:val="center"/>
              <w:rPr>
                <w:rFonts w:ascii="宋体" w:hAnsi="宋体"/>
                <w:szCs w:val="21"/>
              </w:rPr>
            </w:pPr>
          </w:p>
        </w:tc>
        <w:tc>
          <w:tcPr>
            <w:tcW w:w="725" w:type="dxa"/>
            <w:shd w:val="clear" w:color="auto" w:fill="EEECE1"/>
            <w:vAlign w:val="center"/>
          </w:tcPr>
          <w:p>
            <w:pPr>
              <w:jc w:val="center"/>
              <w:rPr>
                <w:rFonts w:ascii="宋体" w:hAnsi="宋体"/>
                <w:szCs w:val="21"/>
              </w:rPr>
            </w:pPr>
          </w:p>
        </w:tc>
        <w:tc>
          <w:tcPr>
            <w:tcW w:w="726" w:type="dxa"/>
            <w:shd w:val="clear" w:color="auto" w:fill="EEECE1"/>
            <w:vAlign w:val="center"/>
          </w:tcPr>
          <w:p>
            <w:pPr>
              <w:jc w:val="center"/>
              <w:rPr>
                <w:rFonts w:ascii="宋体" w:hAnsi="宋体"/>
                <w:szCs w:val="21"/>
              </w:rPr>
            </w:pPr>
          </w:p>
        </w:tc>
      </w:tr>
    </w:tbl>
    <w:p>
      <w:pPr>
        <w:pStyle w:val="7"/>
        <w:rPr>
          <w:rFonts w:ascii="宋体" w:hAnsi="宋体"/>
          <w:color w:val="auto"/>
        </w:rPr>
      </w:pPr>
    </w:p>
    <w:p>
      <w:pPr>
        <w:pStyle w:val="7"/>
        <w:rPr>
          <w:rFonts w:ascii="宋体" w:hAnsi="宋体"/>
          <w:color w:val="auto"/>
        </w:rPr>
        <w:sectPr>
          <w:pgSz w:w="11906" w:h="16838"/>
          <w:pgMar w:top="1440" w:right="1418" w:bottom="1440" w:left="1418" w:header="657" w:footer="481" w:gutter="0"/>
          <w:pgNumType w:fmt="numberInDash"/>
          <w:cols w:space="720" w:num="1"/>
          <w:docGrid w:linePitch="312" w:charSpace="0"/>
        </w:sectPr>
      </w:pPr>
    </w:p>
    <w:p>
      <w:pPr>
        <w:numPr>
          <w:ilvl w:val="0"/>
          <w:numId w:val="27"/>
        </w:numPr>
        <w:spacing w:line="440" w:lineRule="exact"/>
        <w:rPr>
          <w:rFonts w:ascii="宋体" w:hAnsi="宋体" w:cs="宋体"/>
          <w:b/>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投标函</w:t>
      </w:r>
    </w:p>
    <w:p>
      <w:pPr>
        <w:spacing w:line="360" w:lineRule="auto"/>
        <w:ind w:left="105" w:leftChars="50" w:right="279" w:rightChars="133" w:firstLine="2"/>
        <w:rPr>
          <w:rFonts w:ascii="宋体" w:hAnsi="宋体" w:cs="宋体"/>
          <w:b/>
          <w:szCs w:val="21"/>
        </w:rPr>
      </w:pPr>
      <w:r>
        <w:rPr>
          <w:rFonts w:hint="eastAsia" w:ascii="宋体" w:hAnsi="宋体" w:cs="宋体"/>
          <w:b/>
          <w:szCs w:val="21"/>
        </w:rPr>
        <w:t>致：江门市江海区土地储备中心</w:t>
      </w:r>
    </w:p>
    <w:p>
      <w:pPr>
        <w:spacing w:line="360" w:lineRule="auto"/>
        <w:ind w:left="105" w:leftChars="50" w:right="279" w:rightChars="133" w:firstLine="420" w:firstLineChars="200"/>
        <w:rPr>
          <w:rFonts w:ascii="宋体" w:hAnsi="宋体" w:cs="宋体"/>
          <w:szCs w:val="21"/>
        </w:rPr>
      </w:pPr>
      <w:r>
        <w:rPr>
          <w:rFonts w:hint="eastAsia" w:ascii="宋体" w:hAnsi="宋体" w:cs="宋体"/>
          <w:szCs w:val="21"/>
        </w:rPr>
        <w:t>我方确认收到贵方</w:t>
      </w:r>
      <w:r>
        <w:rPr>
          <w:rFonts w:hint="eastAsia" w:ascii="宋体" w:hAnsi="宋体" w:cs="宋体"/>
          <w:color w:val="000000"/>
          <w:szCs w:val="21"/>
          <w:u w:val="single"/>
        </w:rPr>
        <w:t>《江门市江海区和德路及应急产业项目占用耕地耕作层土壤剥离再利用方案》耕作层土壤剥离再利用工程项目</w:t>
      </w:r>
      <w:r>
        <w:rPr>
          <w:rFonts w:hint="eastAsia" w:ascii="宋体" w:hAnsi="宋体" w:cs="宋体"/>
          <w:kern w:val="28"/>
          <w:szCs w:val="21"/>
        </w:rPr>
        <w:t>建设内容</w:t>
      </w:r>
      <w:r>
        <w:rPr>
          <w:rFonts w:hint="eastAsia" w:ascii="宋体" w:hAnsi="宋体" w:cs="宋体"/>
          <w:szCs w:val="21"/>
        </w:rPr>
        <w:t>及相关的招标文件，</w:t>
      </w:r>
      <w:r>
        <w:rPr>
          <w:rFonts w:hint="eastAsia" w:ascii="宋体" w:hAnsi="宋体" w:cs="宋体"/>
          <w:kern w:val="28"/>
          <w:szCs w:val="21"/>
          <w:u w:val="single"/>
        </w:rPr>
        <w:t xml:space="preserve">   </w:t>
      </w:r>
      <w:r>
        <w:rPr>
          <w:rFonts w:hint="eastAsia" w:ascii="宋体" w:hAnsi="宋体" w:cs="宋体"/>
          <w:szCs w:val="21"/>
          <w:u w:val="single"/>
        </w:rPr>
        <w:t xml:space="preserve"> (投标人名称、地址)</w:t>
      </w:r>
      <w:r>
        <w:rPr>
          <w:rFonts w:hint="eastAsia" w:ascii="宋体" w:hAnsi="宋体" w:cs="宋体"/>
          <w:kern w:val="28"/>
          <w:szCs w:val="21"/>
          <w:u w:val="single"/>
        </w:rPr>
        <w:t xml:space="preserve">   </w:t>
      </w:r>
      <w:r>
        <w:rPr>
          <w:rFonts w:hint="eastAsia" w:ascii="宋体" w:hAnsi="宋体" w:cs="宋体"/>
          <w:szCs w:val="21"/>
        </w:rPr>
        <w:t>作为投标人已正式授权</w:t>
      </w:r>
      <w:r>
        <w:rPr>
          <w:rFonts w:hint="eastAsia" w:ascii="宋体" w:hAnsi="宋体" w:cs="宋体"/>
          <w:kern w:val="28"/>
          <w:szCs w:val="21"/>
          <w:u w:val="single"/>
        </w:rPr>
        <w:t xml:space="preserve">   </w:t>
      </w:r>
      <w:r>
        <w:rPr>
          <w:rFonts w:hint="eastAsia" w:ascii="宋体" w:hAnsi="宋体" w:cs="宋体"/>
          <w:szCs w:val="21"/>
          <w:u w:val="single"/>
        </w:rPr>
        <w:t xml:space="preserve"> (被投标人授权代表全名、职务)</w:t>
      </w:r>
      <w:r>
        <w:rPr>
          <w:rFonts w:hint="eastAsia" w:ascii="宋体" w:hAnsi="宋体" w:cs="宋体"/>
          <w:kern w:val="28"/>
          <w:szCs w:val="21"/>
          <w:u w:val="single"/>
        </w:rPr>
        <w:t xml:space="preserve">   </w:t>
      </w:r>
      <w:r>
        <w:rPr>
          <w:rFonts w:hint="eastAsia" w:ascii="宋体" w:hAnsi="宋体" w:cs="宋体"/>
          <w:szCs w:val="21"/>
        </w:rPr>
        <w:t>为我方签名代表，签名代表在此声明并同意：</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我们愿意遵守采购单位招标文件的各项规定，自愿参加投标, 并已清楚招标文件的要求及有关文件规定，并严格按照招标文件的规定履行全部责任和义务。</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我们同意本投标自投标截止之日起</w:t>
      </w:r>
      <w:r>
        <w:rPr>
          <w:rFonts w:hint="eastAsia" w:ascii="宋体" w:hAnsi="宋体" w:cs="宋体"/>
          <w:b/>
          <w:szCs w:val="21"/>
          <w:u w:val="single"/>
        </w:rPr>
        <w:t>90</w:t>
      </w:r>
      <w:r>
        <w:rPr>
          <w:rFonts w:hint="eastAsia" w:ascii="宋体" w:hAnsi="宋体" w:cs="宋体"/>
          <w:b/>
          <w:szCs w:val="21"/>
        </w:rPr>
        <w:t>天内有效。如果我们的投标被接受，则直至合同生效时止，本投标始终有效并不撤回已递交的投标文件。</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我们已经详细地阅读并完全明白了全部招标文件及附件，包括澄清（如有）及参考文件，我们完全理解本招标文件的要求，我们同意放弃对招标文件提出不明或误解的一切权力。</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我们同意提供招标采购单位与评标委员会要求的有关投标的一切数据或资料。</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我们理解招标采购单位与评标委员会并无义务必须接受最低报价的投标或其它任何投标，完全理解采购单位拒绝迟到的任何投标和最低投标报价不是被授予中标的唯一条件。</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 xml:space="preserve">如果我们未对招标文件全部要求作出实质性响应，则完全同意并接受按无效投标处理。 </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单位（企业）承担。</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我们是依法注册的法人，在法律、财务及运作上完全独立于采购人和采购单位。</w:t>
      </w:r>
    </w:p>
    <w:p>
      <w:pPr>
        <w:numPr>
          <w:ilvl w:val="0"/>
          <w:numId w:val="28"/>
        </w:numPr>
        <w:tabs>
          <w:tab w:val="left" w:pos="426"/>
          <w:tab w:val="clear" w:pos="780"/>
        </w:tabs>
        <w:snapToGrid w:val="0"/>
        <w:spacing w:line="360" w:lineRule="auto"/>
        <w:ind w:left="426" w:right="279" w:rightChars="133" w:hanging="426"/>
        <w:rPr>
          <w:rFonts w:ascii="宋体" w:hAnsi="宋体" w:cs="宋体"/>
          <w:b/>
          <w:szCs w:val="21"/>
        </w:rPr>
      </w:pPr>
      <w:r>
        <w:rPr>
          <w:rFonts w:hint="eastAsia" w:ascii="宋体" w:hAnsi="宋体" w:cs="宋体"/>
          <w:b/>
          <w:szCs w:val="21"/>
        </w:rPr>
        <w:t>所有有关本次投标的函电请寄：</w:t>
      </w:r>
      <w:r>
        <w:rPr>
          <w:rFonts w:hint="eastAsia" w:ascii="宋体" w:hAnsi="宋体" w:cs="宋体"/>
          <w:b/>
          <w:szCs w:val="21"/>
          <w:u w:val="single"/>
        </w:rPr>
        <w:t xml:space="preserve">  （投标人地址）    </w:t>
      </w:r>
      <w:r>
        <w:rPr>
          <w:rFonts w:hint="eastAsia" w:ascii="宋体" w:hAnsi="宋体" w:cs="宋体"/>
          <w:b/>
          <w:szCs w:val="21"/>
        </w:rPr>
        <w:t xml:space="preserve"> </w:t>
      </w:r>
    </w:p>
    <w:p>
      <w:pPr>
        <w:autoSpaceDE w:val="0"/>
        <w:autoSpaceDN w:val="0"/>
        <w:adjustRightInd w:val="0"/>
        <w:spacing w:line="360" w:lineRule="auto"/>
        <w:ind w:right="279" w:rightChars="133" w:firstLine="422" w:firstLineChars="200"/>
        <w:rPr>
          <w:rFonts w:ascii="宋体" w:hAnsi="宋体" w:cs="宋体"/>
          <w:b/>
          <w:szCs w:val="21"/>
        </w:rPr>
      </w:pPr>
      <w:r>
        <w:rPr>
          <w:rFonts w:hint="eastAsia" w:ascii="宋体" w:hAnsi="宋体" w:cs="宋体"/>
          <w:b/>
          <w:szCs w:val="21"/>
        </w:rPr>
        <w:t xml:space="preserve">备注：本投标函内容不得擅自删改，否则视为无效投标。 </w:t>
      </w:r>
    </w:p>
    <w:p>
      <w:pPr>
        <w:autoSpaceDE w:val="0"/>
        <w:autoSpaceDN w:val="0"/>
        <w:adjustRightInd w:val="0"/>
        <w:spacing w:line="360" w:lineRule="auto"/>
        <w:rPr>
          <w:rFonts w:ascii="宋体" w:hAnsi="宋体" w:cs="宋体"/>
          <w:b/>
          <w:szCs w:val="21"/>
        </w:rPr>
      </w:pPr>
    </w:p>
    <w:p>
      <w:pPr>
        <w:adjustRightInd w:val="0"/>
        <w:snapToGrid w:val="0"/>
        <w:spacing w:before="120" w:beforeLines="50" w:line="360" w:lineRule="auto"/>
        <w:rPr>
          <w:rFonts w:ascii="宋体" w:hAnsi="宋体"/>
          <w:u w:val="single"/>
        </w:rPr>
      </w:pPr>
      <w:r>
        <w:rPr>
          <w:rFonts w:hint="eastAsia"/>
          <w:spacing w:val="4"/>
        </w:rPr>
        <w:t>投标人名称：</w:t>
      </w:r>
      <w:r>
        <w:rPr>
          <w:rFonts w:hint="eastAsia"/>
          <w:spacing w:val="4"/>
          <w:u w:val="single"/>
        </w:rPr>
        <w:t xml:space="preserve">                             </w:t>
      </w:r>
    </w:p>
    <w:p>
      <w:pPr>
        <w:adjustRightInd w:val="0"/>
        <w:snapToGrid w:val="0"/>
        <w:spacing w:before="120" w:beforeLines="50" w:line="360" w:lineRule="auto"/>
        <w:rPr>
          <w:rFonts w:ascii="宋体" w:hAnsi="宋体"/>
          <w:u w:val="single"/>
        </w:rPr>
      </w:pPr>
      <w:r>
        <w:rPr>
          <w:rFonts w:hint="eastAsia"/>
          <w:spacing w:val="4"/>
        </w:rPr>
        <w:t>投标人公章：</w:t>
      </w:r>
      <w:r>
        <w:rPr>
          <w:rFonts w:hint="eastAsia"/>
          <w:spacing w:val="4"/>
          <w:u w:val="single"/>
        </w:rPr>
        <w:t xml:space="preserve">                             </w:t>
      </w:r>
    </w:p>
    <w:p>
      <w:pPr>
        <w:adjustRightInd w:val="0"/>
        <w:snapToGrid w:val="0"/>
        <w:spacing w:before="120" w:beforeLines="50" w:line="360" w:lineRule="auto"/>
        <w:rPr>
          <w:spacing w:val="4"/>
          <w:u w:val="single"/>
        </w:rPr>
      </w:pPr>
      <w:r>
        <w:rPr>
          <w:rFonts w:hint="eastAsia"/>
          <w:spacing w:val="4"/>
        </w:rPr>
        <w:t>法定代表人或</w:t>
      </w:r>
      <w:r>
        <w:rPr>
          <w:rFonts w:hint="eastAsia" w:hAnsi="宋体"/>
          <w:spacing w:val="4"/>
        </w:rPr>
        <w:t>投标人授权代表</w:t>
      </w:r>
      <w:r>
        <w:rPr>
          <w:rFonts w:hint="eastAsia" w:ascii="宋体" w:hAnsi="宋体"/>
        </w:rPr>
        <w:t>（签名或盖章）：</w:t>
      </w:r>
      <w:r>
        <w:rPr>
          <w:rFonts w:hint="eastAsia" w:ascii="宋体" w:hAnsi="宋体"/>
          <w:u w:val="single"/>
        </w:rPr>
        <w:t xml:space="preserve">     </w:t>
      </w:r>
      <w:r>
        <w:rPr>
          <w:spacing w:val="4"/>
          <w:u w:val="single"/>
        </w:rPr>
        <w:t xml:space="preserve"> </w:t>
      </w:r>
      <w:r>
        <w:rPr>
          <w:rFonts w:hint="eastAsia"/>
          <w:spacing w:val="4"/>
          <w:u w:val="single"/>
        </w:rPr>
        <w:t xml:space="preserve">               </w:t>
      </w:r>
    </w:p>
    <w:p>
      <w:pPr>
        <w:adjustRightInd w:val="0"/>
        <w:snapToGrid w:val="0"/>
        <w:spacing w:before="120" w:beforeLines="50" w:line="360" w:lineRule="auto"/>
        <w:rPr>
          <w:spacing w:val="4"/>
          <w:u w:val="single"/>
        </w:rPr>
      </w:pPr>
      <w:r>
        <w:rPr>
          <w:rFonts w:hint="eastAsia"/>
          <w:spacing w:val="4"/>
        </w:rPr>
        <w:t>电话</w:t>
      </w:r>
      <w:r>
        <w:rPr>
          <w:rFonts w:hint="eastAsia" w:ascii="宋体" w:hAnsi="宋体"/>
        </w:rPr>
        <w:t>：</w:t>
      </w:r>
      <w:r>
        <w:rPr>
          <w:spacing w:val="4"/>
          <w:u w:val="single"/>
        </w:rPr>
        <w:t xml:space="preserve">         </w:t>
      </w:r>
      <w:r>
        <w:rPr>
          <w:rFonts w:ascii="宋体" w:hAnsi="宋体"/>
        </w:rPr>
        <w:t xml:space="preserve"> </w:t>
      </w:r>
      <w:r>
        <w:rPr>
          <w:rFonts w:hint="eastAsia" w:ascii="宋体" w:hAnsi="宋体"/>
        </w:rPr>
        <w:t>传真：</w:t>
      </w:r>
      <w:r>
        <w:rPr>
          <w:spacing w:val="4"/>
          <w:u w:val="single"/>
        </w:rPr>
        <w:t xml:space="preserve">         </w:t>
      </w:r>
      <w:r>
        <w:rPr>
          <w:rFonts w:ascii="宋体" w:hAnsi="宋体"/>
        </w:rPr>
        <w:t xml:space="preserve">     </w:t>
      </w:r>
      <w:r>
        <w:rPr>
          <w:rFonts w:hint="eastAsia" w:ascii="宋体" w:hAnsi="宋体"/>
        </w:rPr>
        <w:t>邮编：</w:t>
      </w:r>
      <w:r>
        <w:rPr>
          <w:spacing w:val="4"/>
          <w:u w:val="single"/>
        </w:rPr>
        <w:t xml:space="preserve">         </w:t>
      </w:r>
    </w:p>
    <w:p>
      <w:pPr>
        <w:pStyle w:val="7"/>
        <w:rPr>
          <w:rFonts w:ascii="宋体" w:hAnsi="宋体" w:eastAsia="宋体" w:cs="宋体"/>
          <w:b/>
          <w:color w:val="auto"/>
          <w:sz w:val="25"/>
          <w:szCs w:val="25"/>
        </w:rPr>
        <w:sectPr>
          <w:pgSz w:w="11906" w:h="16838"/>
          <w:pgMar w:top="1440" w:right="1418" w:bottom="1440" w:left="1418" w:header="657" w:footer="481" w:gutter="0"/>
          <w:pgNumType w:fmt="numberInDash"/>
          <w:cols w:space="720" w:num="1"/>
          <w:docGrid w:linePitch="312" w:charSpace="0"/>
        </w:sectPr>
      </w:pPr>
    </w:p>
    <w:p>
      <w:pPr>
        <w:numPr>
          <w:ilvl w:val="0"/>
          <w:numId w:val="27"/>
        </w:numPr>
        <w:spacing w:line="440" w:lineRule="exact"/>
        <w:rPr>
          <w:rFonts w:ascii="宋体" w:hAnsi="宋体" w:cs="宋体"/>
          <w:b/>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投标人资格声明函</w:t>
      </w:r>
    </w:p>
    <w:p>
      <w:pPr>
        <w:spacing w:line="360" w:lineRule="auto"/>
        <w:rPr>
          <w:rFonts w:ascii="宋体" w:hAnsi="宋体" w:cs="宋体"/>
          <w:b/>
          <w:szCs w:val="21"/>
        </w:rPr>
      </w:pPr>
      <w:r>
        <w:rPr>
          <w:rFonts w:hint="eastAsia" w:ascii="宋体" w:hAnsi="宋体" w:cs="宋体"/>
          <w:b/>
          <w:szCs w:val="21"/>
        </w:rPr>
        <w:t>江门市江海区土地储备中心：</w:t>
      </w:r>
    </w:p>
    <w:p>
      <w:pPr>
        <w:spacing w:line="360" w:lineRule="auto"/>
        <w:ind w:right="279" w:rightChars="133" w:firstLine="420" w:firstLineChars="200"/>
        <w:rPr>
          <w:rFonts w:ascii="宋体" w:hAnsi="宋体" w:cs="宋体"/>
          <w:szCs w:val="21"/>
        </w:rPr>
      </w:pPr>
      <w:r>
        <w:rPr>
          <w:rFonts w:hint="eastAsia" w:ascii="宋体" w:hAnsi="宋体" w:cs="宋体"/>
          <w:szCs w:val="21"/>
        </w:rPr>
        <w:t>关于贵单位</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日发布</w:t>
      </w:r>
      <w:r>
        <w:rPr>
          <w:rFonts w:hint="eastAsia" w:ascii="宋体" w:hAnsi="宋体" w:cs="宋体"/>
          <w:color w:val="000000"/>
          <w:szCs w:val="21"/>
          <w:u w:val="single"/>
        </w:rPr>
        <w:t>《江门市江海区和德路及应急产业项目占用耕地耕作层土壤剥离再利用方案》耕作层土壤剥离再利用工程项目</w:t>
      </w:r>
      <w:r>
        <w:rPr>
          <w:rFonts w:hint="eastAsia" w:ascii="宋体" w:hAnsi="宋体" w:cs="宋体"/>
          <w:szCs w:val="21"/>
        </w:rPr>
        <w:t>的采购公告，本单位（企业）愿意参加投标，并声明：</w:t>
      </w:r>
    </w:p>
    <w:p>
      <w:pPr>
        <w:spacing w:line="360" w:lineRule="auto"/>
        <w:ind w:right="279" w:rightChars="133" w:firstLine="420" w:firstLineChars="200"/>
        <w:rPr>
          <w:rFonts w:ascii="宋体" w:hAnsi="宋体" w:cs="宋体"/>
          <w:szCs w:val="21"/>
        </w:rPr>
      </w:pPr>
      <w:r>
        <w:rPr>
          <w:rFonts w:hint="eastAsia" w:ascii="宋体" w:hAnsi="宋体" w:cs="宋体"/>
          <w:szCs w:val="21"/>
        </w:rPr>
        <w:t>本单位（企业）具备</w:t>
      </w:r>
      <w:r>
        <w:rPr>
          <w:rFonts w:hint="eastAsia" w:ascii="宋体" w:hAnsi="宋体" w:cs="宋体"/>
          <w:bCs/>
          <w:szCs w:val="21"/>
        </w:rPr>
        <w:t>《中华人民共和国政府采购法》第二十二条资格条件，</w:t>
      </w:r>
      <w:r>
        <w:rPr>
          <w:rFonts w:hint="eastAsia" w:ascii="宋体" w:hAnsi="宋体" w:cs="宋体"/>
          <w:szCs w:val="21"/>
        </w:rPr>
        <w:t>并已清楚招标文件的要求及有关文件规定，并承诺在本次招标采购活动中，如有违法、违规、弄虚作假行为，所造成的损失、不良后果及法律责任，一律由我单位（企业）承担。</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rPr>
          <w:rFonts w:ascii="宋体" w:hAnsi="宋体" w:cs="宋体"/>
          <w:szCs w:val="21"/>
        </w:rPr>
      </w:pPr>
      <w:r>
        <w:rPr>
          <w:rFonts w:hint="eastAsia" w:ascii="宋体" w:hAnsi="宋体" w:cs="宋体"/>
          <w:szCs w:val="21"/>
        </w:rPr>
        <w:t>特此声明！</w:t>
      </w:r>
    </w:p>
    <w:p>
      <w:pPr>
        <w:spacing w:line="360" w:lineRule="auto"/>
        <w:ind w:firstLine="420"/>
        <w:rPr>
          <w:rFonts w:ascii="宋体" w:hAnsi="宋体" w:cs="宋体"/>
          <w:szCs w:val="21"/>
        </w:rPr>
      </w:pPr>
    </w:p>
    <w:p>
      <w:pPr>
        <w:spacing w:line="360" w:lineRule="auto"/>
        <w:ind w:firstLine="420"/>
        <w:rPr>
          <w:rFonts w:ascii="宋体" w:hAnsi="宋体" w:cs="宋体"/>
          <w:szCs w:val="21"/>
        </w:rPr>
      </w:pPr>
    </w:p>
    <w:p>
      <w:pPr>
        <w:adjustRightInd w:val="0"/>
        <w:snapToGrid w:val="0"/>
        <w:spacing w:before="120" w:beforeLines="50" w:line="360" w:lineRule="auto"/>
      </w:pPr>
      <w:bookmarkStart w:id="93" w:name="_Toc50736477"/>
      <w:bookmarkStart w:id="94" w:name="_Toc50737297"/>
      <w:bookmarkStart w:id="95" w:name="_Toc275865607"/>
      <w:bookmarkStart w:id="96" w:name="_Toc52165081"/>
      <w:bookmarkStart w:id="97" w:name="_Toc50737329"/>
      <w:bookmarkStart w:id="98" w:name="_Toc50691034"/>
      <w:bookmarkStart w:id="99" w:name="_Toc50736476"/>
      <w:bookmarkStart w:id="100" w:name="_Toc50737328"/>
      <w:bookmarkStart w:id="101" w:name="_Toc50737296"/>
      <w:bookmarkStart w:id="102" w:name="_Toc52165080"/>
      <w:r>
        <w:rPr>
          <w:rFonts w:hint="eastAsia"/>
        </w:rPr>
        <w:t>单位名称：　　　　　　　　　　　　</w:t>
      </w:r>
      <w:r>
        <w:rPr>
          <w:rFonts w:hint="eastAsia" w:ascii="宋体"/>
        </w:rPr>
        <w:t>法定代表人或</w:t>
      </w:r>
      <w:r>
        <w:rPr>
          <w:rFonts w:hint="eastAsia" w:ascii="宋体" w:hAnsi="宋体"/>
        </w:rPr>
        <w:t>投标人授权代表（签名或盖章）</w:t>
      </w:r>
      <w:r>
        <w:rPr>
          <w:rFonts w:hint="eastAsia"/>
        </w:rPr>
        <w:t>：</w:t>
      </w:r>
    </w:p>
    <w:p>
      <w:pPr>
        <w:adjustRightInd w:val="0"/>
        <w:snapToGrid w:val="0"/>
        <w:spacing w:before="120" w:beforeLines="50" w:line="360" w:lineRule="auto"/>
      </w:pPr>
      <w:r>
        <w:rPr>
          <w:rFonts w:hint="eastAsia"/>
        </w:rPr>
        <w:t>单位地址：　　　　　　　　　　　　单位公章：</w:t>
      </w:r>
    </w:p>
    <w:p>
      <w:pPr>
        <w:adjustRightInd w:val="0"/>
        <w:snapToGrid w:val="0"/>
        <w:spacing w:before="120" w:beforeLines="50" w:line="360" w:lineRule="auto"/>
      </w:pPr>
      <w:r>
        <w:rPr>
          <w:rFonts w:hint="eastAsia"/>
        </w:rPr>
        <w:t>邮政编码：　　　　　　　　　　　　日期：</w:t>
      </w:r>
    </w:p>
    <w:p>
      <w:pPr>
        <w:adjustRightInd w:val="0"/>
        <w:snapToGrid w:val="0"/>
        <w:spacing w:before="120" w:beforeLines="50" w:line="360" w:lineRule="auto"/>
      </w:pPr>
      <w:r>
        <w:rPr>
          <w:rFonts w:hint="eastAsia"/>
        </w:rPr>
        <w:t>联系电话：</w:t>
      </w:r>
    </w:p>
    <w:p>
      <w:pPr>
        <w:spacing w:line="360" w:lineRule="auto"/>
        <w:ind w:firstLine="420"/>
      </w:pPr>
    </w:p>
    <w:p>
      <w:pPr>
        <w:numPr>
          <w:ilvl w:val="0"/>
          <w:numId w:val="27"/>
        </w:numPr>
        <w:spacing w:line="440" w:lineRule="exact"/>
        <w:rPr>
          <w:rFonts w:ascii="黑体" w:eastAsia="黑体"/>
          <w:bCs/>
          <w:sz w:val="28"/>
        </w:rPr>
      </w:pPr>
      <w:r>
        <w:rPr>
          <w:rFonts w:ascii="宋体" w:hAnsi="宋体" w:cs="宋体"/>
          <w:b/>
          <w:szCs w:val="21"/>
        </w:rPr>
        <w:br w:type="page"/>
      </w:r>
    </w:p>
    <w:p>
      <w:pPr>
        <w:rPr>
          <w:rFonts w:ascii="宋体" w:hAnsi="宋体"/>
          <w:szCs w:val="21"/>
        </w:rPr>
      </w:pPr>
    </w:p>
    <w:p>
      <w:pPr>
        <w:pStyle w:val="9"/>
        <w:tabs>
          <w:tab w:val="left" w:pos="709"/>
        </w:tabs>
        <w:snapToGrid w:val="0"/>
        <w:spacing w:before="96" w:beforeLines="40" w:after="240" w:afterLines="100"/>
        <w:ind w:right="279" w:rightChars="133" w:firstLine="0" w:firstLineChars="0"/>
        <w:jc w:val="center"/>
        <w:rPr>
          <w:rFonts w:ascii="宋体" w:hAnsi="宋体" w:cs="宋体"/>
          <w:b/>
          <w:sz w:val="32"/>
          <w:szCs w:val="32"/>
        </w:rPr>
      </w:pPr>
      <w:r>
        <w:rPr>
          <w:rFonts w:hint="eastAsia" w:ascii="宋体" w:hAnsi="宋体" w:cs="宋体"/>
          <w:b/>
          <w:sz w:val="32"/>
          <w:szCs w:val="32"/>
        </w:rPr>
        <w:t>公平竞争承诺书</w:t>
      </w:r>
    </w:p>
    <w:p>
      <w:pPr>
        <w:adjustRightInd w:val="0"/>
        <w:snapToGrid w:val="0"/>
        <w:spacing w:before="120" w:beforeLines="50" w:line="360" w:lineRule="auto"/>
        <w:ind w:right="279" w:rightChars="133" w:firstLine="420" w:firstLineChars="200"/>
      </w:pPr>
      <w:r>
        <w:rPr>
          <w:rFonts w:hint="eastAsia"/>
        </w:rPr>
        <w:t>本单位郑重承诺：本单位保证所提交的相关资质文件和证明材料的真实性，有良好的历史诚信记录，并将依法参与</w:t>
      </w:r>
      <w:r>
        <w:rPr>
          <w:rFonts w:hint="eastAsia" w:ascii="宋体" w:hAnsi="宋体"/>
        </w:rPr>
        <w:t>本项目</w:t>
      </w:r>
      <w:r>
        <w:rPr>
          <w:rFonts w:hint="eastAsia"/>
        </w:rPr>
        <w:t xml:space="preserve">的公平竞争，不以任何不正当行为谋取不当利益，否则承担相应的法律责任。  </w:t>
      </w:r>
    </w:p>
    <w:p>
      <w:pPr>
        <w:spacing w:line="360" w:lineRule="auto"/>
      </w:pPr>
    </w:p>
    <w:p>
      <w:pPr>
        <w:spacing w:line="360" w:lineRule="auto"/>
      </w:pPr>
    </w:p>
    <w:p>
      <w:pPr>
        <w:spacing w:line="360" w:lineRule="auto"/>
      </w:pPr>
    </w:p>
    <w:p>
      <w:pPr>
        <w:spacing w:line="360" w:lineRule="auto"/>
        <w:ind w:right="279" w:rightChars="133"/>
        <w:jc w:val="right"/>
      </w:pPr>
      <w:r>
        <w:rPr>
          <w:rFonts w:hint="eastAsia"/>
        </w:rPr>
        <w:t>（单位名称，加盖公章）</w:t>
      </w:r>
    </w:p>
    <w:p>
      <w:pPr>
        <w:spacing w:line="360" w:lineRule="auto"/>
        <w:ind w:right="279" w:rightChars="133"/>
        <w:jc w:val="right"/>
      </w:pPr>
      <w:r>
        <w:rPr>
          <w:rFonts w:hint="eastAsia"/>
        </w:rPr>
        <w:t>时间：  年    月   日</w:t>
      </w:r>
    </w:p>
    <w:p>
      <w:pPr>
        <w:spacing w:line="440" w:lineRule="exact"/>
        <w:rPr>
          <w:rFonts w:ascii="宋体" w:hAnsi="宋体" w:cs="宋体"/>
          <w:b/>
          <w:szCs w:val="21"/>
        </w:rPr>
      </w:pPr>
    </w:p>
    <w:p>
      <w:pPr>
        <w:pStyle w:val="7"/>
        <w:rPr>
          <w:rFonts w:ascii="宋体" w:hAnsi="宋体" w:eastAsia="宋体" w:cs="宋体"/>
          <w:b/>
          <w:color w:val="auto"/>
          <w:sz w:val="25"/>
          <w:szCs w:val="25"/>
        </w:rPr>
        <w:sectPr>
          <w:pgSz w:w="11906" w:h="16838"/>
          <w:pgMar w:top="1440" w:right="1418" w:bottom="1440" w:left="1418" w:header="657" w:footer="481" w:gutter="0"/>
          <w:pgNumType w:fmt="numberInDash"/>
          <w:cols w:space="720" w:num="1"/>
          <w:docGrid w:linePitch="312" w:charSpace="0"/>
        </w:sectPr>
      </w:pPr>
    </w:p>
    <w:bookmarkEnd w:id="93"/>
    <w:bookmarkEnd w:id="94"/>
    <w:bookmarkEnd w:id="95"/>
    <w:bookmarkEnd w:id="96"/>
    <w:bookmarkEnd w:id="97"/>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法定代表人授权委托书</w:t>
      </w:r>
    </w:p>
    <w:p>
      <w:pPr>
        <w:pStyle w:val="27"/>
        <w:spacing w:line="360" w:lineRule="auto"/>
        <w:ind w:right="279" w:rightChars="133" w:firstLine="420" w:firstLineChars="200"/>
        <w:rPr>
          <w:rFonts w:hAnsi="宋体" w:cs="宋体"/>
          <w:szCs w:val="21"/>
        </w:rPr>
      </w:pPr>
      <w:r>
        <w:rPr>
          <w:rFonts w:hint="eastAsia" w:hAnsi="宋体" w:cs="宋体"/>
          <w:szCs w:val="21"/>
        </w:rPr>
        <w:t>本授权委托书声明：注册于</w:t>
      </w:r>
      <w:r>
        <w:rPr>
          <w:rFonts w:hint="eastAsia" w:hAnsi="宋体" w:cs="宋体"/>
          <w:szCs w:val="21"/>
          <w:u w:val="single"/>
        </w:rPr>
        <w:t xml:space="preserve">    （投标人地址）  </w:t>
      </w:r>
      <w:r>
        <w:rPr>
          <w:rFonts w:hint="eastAsia" w:hAnsi="宋体" w:cs="宋体"/>
          <w:szCs w:val="21"/>
        </w:rPr>
        <w:t>的</w:t>
      </w:r>
      <w:r>
        <w:rPr>
          <w:rFonts w:hint="eastAsia" w:hAnsi="宋体" w:cs="宋体"/>
          <w:szCs w:val="21"/>
          <w:u w:val="single"/>
        </w:rPr>
        <w:t xml:space="preserve">  （投标人名称）    </w:t>
      </w:r>
      <w:r>
        <w:rPr>
          <w:rFonts w:hint="eastAsia" w:hAnsi="宋体" w:cs="宋体"/>
          <w:szCs w:val="21"/>
        </w:rPr>
        <w:t>在下面签名的</w:t>
      </w:r>
      <w:r>
        <w:rPr>
          <w:rFonts w:hint="eastAsia" w:hAnsi="宋体" w:cs="宋体"/>
          <w:szCs w:val="21"/>
          <w:u w:val="single"/>
        </w:rPr>
        <w:t>（法定代表人姓名、职务）</w:t>
      </w:r>
      <w:r>
        <w:rPr>
          <w:rFonts w:hint="eastAsia" w:hAnsi="宋体" w:cs="宋体"/>
          <w:szCs w:val="21"/>
        </w:rPr>
        <w:t>在此授权</w:t>
      </w:r>
      <w:r>
        <w:rPr>
          <w:rFonts w:hint="eastAsia" w:hAnsi="宋体" w:cs="宋体"/>
          <w:szCs w:val="21"/>
          <w:u w:val="single"/>
        </w:rPr>
        <w:t>（被授权人姓名、职务）</w:t>
      </w:r>
      <w:r>
        <w:rPr>
          <w:rFonts w:hint="eastAsia" w:hAnsi="宋体" w:cs="宋体"/>
          <w:szCs w:val="21"/>
        </w:rPr>
        <w:t>作为我单位的合法代理人，就</w:t>
      </w:r>
      <w:r>
        <w:rPr>
          <w:rFonts w:hint="eastAsia" w:hAnsi="宋体" w:cs="宋体"/>
          <w:szCs w:val="21"/>
          <w:u w:val="single"/>
        </w:rPr>
        <w:t xml:space="preserve">   （项目名称、项目编号）   </w:t>
      </w:r>
      <w:r>
        <w:rPr>
          <w:rFonts w:hint="eastAsia" w:hAnsi="宋体" w:cs="宋体"/>
          <w:szCs w:val="21"/>
        </w:rPr>
        <w:t>的招投标活动，采购合同的签订、执行、完成和售后服务，作为投标人代表以我方的名义处理一切与之有关的事务。</w:t>
      </w:r>
    </w:p>
    <w:p>
      <w:pPr>
        <w:pStyle w:val="27"/>
        <w:spacing w:line="360" w:lineRule="auto"/>
        <w:ind w:right="279" w:rightChars="133" w:firstLine="420" w:firstLineChars="200"/>
        <w:rPr>
          <w:rFonts w:hAnsi="宋体" w:cs="宋体"/>
          <w:szCs w:val="21"/>
        </w:rPr>
      </w:pPr>
      <w:r>
        <w:rPr>
          <w:rFonts w:hint="eastAsia" w:hAnsi="宋体" w:cs="宋体"/>
          <w:szCs w:val="21"/>
        </w:rPr>
        <w:t>被授权人（投标人授权代表）无转委托权限。</w:t>
      </w:r>
    </w:p>
    <w:p>
      <w:pPr>
        <w:spacing w:line="360" w:lineRule="auto"/>
        <w:ind w:right="279" w:rightChars="133" w:firstLine="420" w:firstLineChars="200"/>
        <w:rPr>
          <w:rFonts w:ascii="宋体" w:hAnsi="宋体" w:cs="宋体"/>
          <w:szCs w:val="21"/>
        </w:rPr>
      </w:pPr>
      <w:r>
        <w:rPr>
          <w:rFonts w:hint="eastAsia" w:ascii="宋体" w:hAnsi="宋体" w:cs="宋体"/>
          <w:szCs w:val="21"/>
        </w:rPr>
        <w:t>本授权书自法定代表人签字之日起生效，特此声明。</w:t>
      </w:r>
    </w:p>
    <w:p>
      <w:pPr>
        <w:spacing w:line="480" w:lineRule="auto"/>
        <w:ind w:left="2" w:leftChars="1" w:firstLine="1365" w:firstLineChars="650"/>
        <w:rPr>
          <w:rFonts w:ascii="宋体" w:hAnsi="宋体" w:cs="宋体"/>
          <w:szCs w:val="21"/>
        </w:rPr>
      </w:pPr>
    </w:p>
    <w:p>
      <w:pPr>
        <w:spacing w:line="360" w:lineRule="auto"/>
        <w:rPr>
          <w:rFonts w:ascii="宋体" w:hAnsi="宋体" w:cs="宋体"/>
          <w:b/>
          <w:szCs w:val="21"/>
        </w:rPr>
      </w:pPr>
      <w:r>
        <w:rPr>
          <w:rFonts w:hint="eastAsia" w:ascii="宋体" w:hAnsi="宋体" w:cs="宋体"/>
          <w:b/>
          <w:szCs w:val="21"/>
        </w:rPr>
        <w:t>随附《法定代表人证明》</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投标人名称（盖公章）：</w:t>
      </w:r>
    </w:p>
    <w:p>
      <w:pPr>
        <w:spacing w:line="360" w:lineRule="auto"/>
        <w:rPr>
          <w:rFonts w:ascii="宋体" w:hAnsi="宋体" w:cs="宋体"/>
          <w:szCs w:val="21"/>
        </w:rPr>
      </w:pPr>
      <w:r>
        <w:rPr>
          <w:rFonts w:hint="eastAsia" w:ascii="宋体" w:hAnsi="宋体" w:cs="宋体"/>
          <w:szCs w:val="21"/>
        </w:rPr>
        <w:t>地      址：</w:t>
      </w:r>
    </w:p>
    <w:p>
      <w:pPr>
        <w:tabs>
          <w:tab w:val="left" w:pos="3780"/>
        </w:tabs>
        <w:spacing w:line="360" w:lineRule="auto"/>
        <w:rPr>
          <w:rFonts w:ascii="宋体" w:hAnsi="宋体" w:cs="宋体"/>
          <w:szCs w:val="21"/>
        </w:rPr>
      </w:pPr>
      <w:r>
        <w:rPr>
          <w:rFonts w:hint="eastAsia" w:ascii="宋体" w:hAnsi="宋体" w:cs="宋体"/>
          <w:szCs w:val="21"/>
        </w:rPr>
        <w:t>法定代表人（签字或盖章）：</w:t>
      </w:r>
    </w:p>
    <w:p>
      <w:pPr>
        <w:tabs>
          <w:tab w:val="left" w:pos="3780"/>
        </w:tabs>
        <w:spacing w:line="360" w:lineRule="auto"/>
        <w:rPr>
          <w:rFonts w:ascii="宋体" w:hAnsi="宋体" w:cs="宋体"/>
          <w:szCs w:val="21"/>
        </w:rPr>
      </w:pPr>
      <w:r>
        <w:rPr>
          <w:rFonts w:hint="eastAsia" w:ascii="宋体" w:hAnsi="宋体" w:cs="宋体"/>
          <w:szCs w:val="21"/>
        </w:rPr>
        <w:t>签字日期：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spacing w:line="360" w:lineRule="auto"/>
        <w:ind w:left="1159" w:leftChars="552" w:firstLine="2261"/>
        <w:rPr>
          <w:rFonts w:ascii="宋体" w:hAnsi="宋体" w:cs="宋体"/>
          <w:szCs w:val="21"/>
        </w:rPr>
      </w:pPr>
    </w:p>
    <w:p>
      <w:pPr>
        <w:spacing w:line="360" w:lineRule="auto"/>
        <w:rPr>
          <w:rFonts w:ascii="宋体" w:hAnsi="宋体" w:cs="宋体"/>
          <w:sz w:val="25"/>
          <w:szCs w:val="25"/>
        </w:rPr>
      </w:pPr>
      <w:r>
        <w:rPr>
          <w:rFonts w:hint="eastAsia" w:ascii="宋体" w:hAnsi="宋体" w:cs="宋体"/>
          <w:szCs w:val="21"/>
        </w:rPr>
        <w:t xml:space="preserve">被授权人（投标人授权代表）（签字或盖章）： </w:t>
      </w:r>
    </w:p>
    <w:p>
      <w:pPr>
        <w:spacing w:line="360" w:lineRule="auto"/>
        <w:rPr>
          <w:rFonts w:ascii="宋体" w:hAnsi="宋体" w:cs="宋体"/>
          <w:sz w:val="25"/>
          <w:szCs w:val="25"/>
        </w:rPr>
      </w:pPr>
      <w:r>
        <w:rPr>
          <w:rFonts w:hint="eastAsia" w:ascii="宋体" w:hAnsi="宋体" w:cs="宋体"/>
          <w:sz w:val="25"/>
          <w:szCs w:val="25"/>
        </w:rPr>
        <mc:AlternateContent>
          <mc:Choice Requires="wps">
            <w:drawing>
              <wp:anchor distT="0" distB="0" distL="114300" distR="114300" simplePos="0" relativeHeight="251660288" behindDoc="0" locked="0" layoutInCell="1" allowOverlap="1">
                <wp:simplePos x="0" y="0"/>
                <wp:positionH relativeFrom="column">
                  <wp:posOffset>-164465</wp:posOffset>
                </wp:positionH>
                <wp:positionV relativeFrom="paragraph">
                  <wp:posOffset>217170</wp:posOffset>
                </wp:positionV>
                <wp:extent cx="2643505" cy="2114550"/>
                <wp:effectExtent l="12065" t="13970" r="11430" b="5080"/>
                <wp:wrapNone/>
                <wp:docPr id="2021803392" name="Rectangle 3"/>
                <wp:cNvGraphicFramePr/>
                <a:graphic xmlns:a="http://schemas.openxmlformats.org/drawingml/2006/main">
                  <a:graphicData uri="http://schemas.microsoft.com/office/word/2010/wordprocessingShape">
                    <wps:wsp>
                      <wps:cNvSpPr>
                        <a:spLocks noChangeArrowheads="1"/>
                      </wps:cNvSpPr>
                      <wps:spPr bwMode="auto">
                        <a:xfrm>
                          <a:off x="0" y="0"/>
                          <a:ext cx="2643505" cy="2114550"/>
                        </a:xfrm>
                        <a:prstGeom prst="rect">
                          <a:avLst/>
                        </a:prstGeom>
                        <a:solidFill>
                          <a:srgbClr val="FFFFFF"/>
                        </a:solidFill>
                        <a:ln w="9525" cmpd="sng">
                          <a:solidFill>
                            <a:srgbClr val="000000"/>
                          </a:solidFill>
                          <a:miter lim="800000"/>
                        </a:ln>
                      </wps:spPr>
                      <wps:txbx>
                        <w:txbxContent>
                          <w:p>
                            <w:pPr>
                              <w:jc w:val="center"/>
                            </w:pPr>
                            <w:r>
                              <w:rPr>
                                <w:rFonts w:hint="eastAsia"/>
                              </w:rPr>
                              <w:t>被授权人（授权代表）</w:t>
                            </w:r>
                          </w:p>
                          <w:p>
                            <w:pPr>
                              <w:jc w:val="center"/>
                            </w:pPr>
                            <w:r>
                              <w:rPr>
                                <w:rFonts w:hint="eastAsia"/>
                              </w:rPr>
                              <w:t>居民身份证复印件粘贴处</w:t>
                            </w:r>
                          </w:p>
                          <w:p>
                            <w:pPr>
                              <w:ind w:firstLine="1050" w:firstLineChars="500"/>
                              <w:jc w:val="center"/>
                            </w:pPr>
                          </w:p>
                          <w:p>
                            <w:pPr>
                              <w:jc w:val="center"/>
                            </w:pPr>
                            <w:r>
                              <w:rPr>
                                <w:rFonts w:hint="eastAsia"/>
                              </w:rPr>
                              <w:t>（正面）</w:t>
                            </w:r>
                          </w:p>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2.95pt;margin-top:17.1pt;height:166.5pt;width:208.15pt;z-index:251660288;mso-width-relative:page;mso-height-relative:page;" fillcolor="#FFFFFF" filled="t" stroked="t" coordsize="21600,21600" o:gfxdata="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lfT/ZAAAACgEAAA8AAAAAAAAAAQAgAAAAIgAAAGRy&#10;cy9kb3ducmV2LnhtbFBLAQIUABQAAAAIAIdO4kDLgb1kPQIAAJIEAAAOAAAAAAAAAAEAIAAAACgB&#10;AABkcnMvZTJvRG9jLnhtbFBLBQYAAAAABgAGAFkBAADXBQAAAAA=&#10;">
                <v:fill on="t" focussize="0,0"/>
                <v:stroke color="#000000" miterlimit="8"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050" w:firstLineChars="500"/>
                        <w:jc w:val="center"/>
                      </w:pPr>
                    </w:p>
                    <w:p>
                      <w:pPr>
                        <w:jc w:val="center"/>
                      </w:pPr>
                      <w:r>
                        <w:rPr>
                          <w:rFonts w:hint="eastAsia"/>
                        </w:rPr>
                        <w:t>（正面）</w:t>
                      </w:r>
                    </w:p>
                    <w:p/>
                  </w:txbxContent>
                </v:textbox>
              </v:rect>
            </w:pict>
          </mc:Fallback>
        </mc:AlternateContent>
      </w:r>
      <w:r>
        <w:rPr>
          <w:rFonts w:hint="eastAsia" w:ascii="宋体" w:hAnsi="宋体" w:cs="宋体"/>
          <w:sz w:val="25"/>
          <w:szCs w:val="25"/>
        </w:rPr>
        <mc:AlternateContent>
          <mc:Choice Requires="wps">
            <w:drawing>
              <wp:anchor distT="0" distB="0" distL="114300" distR="114300" simplePos="0" relativeHeight="251661312" behindDoc="0" locked="0" layoutInCell="1" allowOverlap="1">
                <wp:simplePos x="0" y="0"/>
                <wp:positionH relativeFrom="column">
                  <wp:posOffset>2693035</wp:posOffset>
                </wp:positionH>
                <wp:positionV relativeFrom="paragraph">
                  <wp:posOffset>217170</wp:posOffset>
                </wp:positionV>
                <wp:extent cx="2785745" cy="2059305"/>
                <wp:effectExtent l="12065" t="13970" r="12065" b="12700"/>
                <wp:wrapNone/>
                <wp:docPr id="124000484" name="Rectangle 4"/>
                <wp:cNvGraphicFramePr/>
                <a:graphic xmlns:a="http://schemas.openxmlformats.org/drawingml/2006/main">
                  <a:graphicData uri="http://schemas.microsoft.com/office/word/2010/wordprocessingShape">
                    <wps:wsp>
                      <wps:cNvSpPr>
                        <a:spLocks noChangeArrowheads="1"/>
                      </wps:cNvSpPr>
                      <wps:spPr bwMode="auto">
                        <a:xfrm>
                          <a:off x="0" y="0"/>
                          <a:ext cx="2785745" cy="2059305"/>
                        </a:xfrm>
                        <a:prstGeom prst="rect">
                          <a:avLst/>
                        </a:prstGeom>
                        <a:solidFill>
                          <a:srgbClr val="FFFFFF"/>
                        </a:solidFill>
                        <a:ln w="9525" cmpd="sng">
                          <a:solidFill>
                            <a:srgbClr val="000000"/>
                          </a:solidFill>
                          <a:miter lim="800000"/>
                        </a:ln>
                      </wps:spPr>
                      <wps:txbx>
                        <w:txbxContent>
                          <w:p>
                            <w:pPr>
                              <w:jc w:val="center"/>
                            </w:pPr>
                            <w:r>
                              <w:rPr>
                                <w:rFonts w:hint="eastAsia"/>
                              </w:rPr>
                              <w:t>被授权人（授权代表）</w:t>
                            </w:r>
                          </w:p>
                          <w:p>
                            <w:pPr>
                              <w:jc w:val="center"/>
                            </w:pPr>
                            <w:r>
                              <w:rPr>
                                <w:rFonts w:hint="eastAsia"/>
                              </w:rPr>
                              <w:t>居民身份证复印件粘贴处</w:t>
                            </w:r>
                          </w:p>
                          <w:p>
                            <w:pPr>
                              <w:ind w:firstLine="1680" w:firstLineChars="800"/>
                              <w:jc w:val="center"/>
                            </w:pPr>
                          </w:p>
                          <w:p>
                            <w:pPr>
                              <w:jc w:val="center"/>
                            </w:pPr>
                            <w:r>
                              <w:rPr>
                                <w:rFonts w:hint="eastAsia"/>
                              </w:rPr>
                              <w:t>（反面）</w:t>
                            </w:r>
                          </w:p>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12.05pt;margin-top:17.1pt;height:162.15pt;width:219.35pt;z-index:251661312;mso-width-relative:page;mso-height-relative:page;" fillcolor="#FFFFFF" filled="t" stroked="t" coordsize="21600,21600" o:gfxdata="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G/WpT2AAAAAoBAAAPAAAAAAAAAAEAIAAAACIAAABkcnMv&#10;ZG93bnJldi54bWxQSwECFAAUAAAACACHTuJAKbrPujwCAACRBAAADgAAAAAAAAABACAAAAAnAQAA&#10;ZHJzL2Uyb0RvYy54bWxQSwUGAAAAAAYABgBZAQAA1QUAAAAA&#10;">
                <v:fill on="t" focussize="0,0"/>
                <v:stroke color="#000000" miterlimit="8"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680" w:firstLineChars="800"/>
                        <w:jc w:val="center"/>
                      </w:pPr>
                    </w:p>
                    <w:p>
                      <w:pPr>
                        <w:jc w:val="center"/>
                      </w:pPr>
                      <w:r>
                        <w:rPr>
                          <w:rFonts w:hint="eastAsia"/>
                        </w:rPr>
                        <w:t>（反面）</w:t>
                      </w:r>
                    </w:p>
                    <w:p/>
                  </w:txbxContent>
                </v:textbox>
              </v:rect>
            </w:pict>
          </mc:Fallback>
        </mc:AlternateContent>
      </w:r>
    </w:p>
    <w:p>
      <w:pPr>
        <w:spacing w:line="440" w:lineRule="exact"/>
        <w:rPr>
          <w:rFonts w:ascii="宋体" w:hAnsi="宋体" w:cs="宋体"/>
          <w:sz w:val="25"/>
          <w:szCs w:val="25"/>
        </w:rPr>
      </w:pPr>
      <w:bookmarkStart w:id="103" w:name="_Toc226217114"/>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p>
      <w:pPr>
        <w:spacing w:line="440" w:lineRule="exact"/>
        <w:rPr>
          <w:rFonts w:ascii="宋体" w:hAnsi="宋体" w:cs="宋体"/>
          <w:sz w:val="25"/>
          <w:szCs w:val="25"/>
        </w:rPr>
      </w:pPr>
    </w:p>
    <w:bookmarkEnd w:id="103"/>
    <w:p>
      <w:pPr>
        <w:pStyle w:val="7"/>
        <w:rPr>
          <w:rFonts w:ascii="宋体" w:hAnsi="宋体" w:eastAsia="宋体" w:cs="宋体"/>
          <w:color w:val="auto"/>
          <w:sz w:val="25"/>
          <w:szCs w:val="25"/>
        </w:rPr>
        <w:sectPr>
          <w:pgSz w:w="11906" w:h="16838"/>
          <w:pgMar w:top="1440" w:right="1418" w:bottom="1440" w:left="1418" w:header="657" w:footer="481" w:gutter="0"/>
          <w:pgNumType w:fmt="numberInDash"/>
          <w:cols w:space="720" w:num="1"/>
          <w:docGrid w:linePitch="312" w:charSpace="0"/>
        </w:sectPr>
      </w:pPr>
    </w:p>
    <w:bookmarkEnd w:id="98"/>
    <w:bookmarkEnd w:id="99"/>
    <w:bookmarkEnd w:id="100"/>
    <w:bookmarkEnd w:id="101"/>
    <w:bookmarkEnd w:id="102"/>
    <w:p>
      <w:pPr>
        <w:numPr>
          <w:ilvl w:val="0"/>
          <w:numId w:val="27"/>
        </w:numPr>
        <w:spacing w:line="440" w:lineRule="exact"/>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法定代表人证明书</w:t>
      </w:r>
    </w:p>
    <w:p>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ascii="宋体" w:hAnsi="宋体"/>
          <w:u w:val="single"/>
        </w:rPr>
        <w:t xml:space="preserve">         </w:t>
      </w:r>
      <w:r>
        <w:rPr>
          <w:rFonts w:hint="eastAsia" w:ascii="宋体" w:hAnsi="宋体"/>
        </w:rPr>
        <w:t>职务，为法定代表人，特此证明。</w:t>
      </w:r>
    </w:p>
    <w:p>
      <w:pPr>
        <w:spacing w:line="480" w:lineRule="auto"/>
        <w:ind w:firstLine="420" w:firstLineChars="200"/>
        <w:rPr>
          <w:rFonts w:ascii="宋体" w:hAnsi="宋体"/>
        </w:rPr>
      </w:pPr>
      <w:r>
        <w:rPr>
          <w:rFonts w:hint="eastAsia" w:ascii="宋体" w:hAnsi="宋体"/>
        </w:rPr>
        <w:t>有效日期与本单位投标文件中标注的投标有效期相同。签发日期：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pPr>
        <w:spacing w:line="480" w:lineRule="auto"/>
        <w:ind w:firstLine="420" w:firstLineChars="200"/>
        <w:rPr>
          <w:rFonts w:ascii="宋体" w:hAnsi="宋体"/>
        </w:rPr>
      </w:pPr>
      <w:r>
        <w:rPr>
          <w:rFonts w:hint="eastAsia" w:ascii="宋体" w:hAnsi="宋体"/>
        </w:rPr>
        <w:t>附：</w:t>
      </w:r>
    </w:p>
    <w:p>
      <w:pPr>
        <w:spacing w:line="480" w:lineRule="auto"/>
        <w:ind w:firstLine="840" w:firstLineChars="400"/>
        <w:rPr>
          <w:rFonts w:ascii="宋体" w:hAnsi="宋体"/>
        </w:rPr>
      </w:pPr>
      <w:r>
        <w:rPr>
          <w:rFonts w:hint="eastAsia" w:ascii="宋体" w:hAnsi="宋体"/>
        </w:rPr>
        <w:t xml:space="preserve">营业执照（注册号）：                       </w:t>
      </w:r>
    </w:p>
    <w:p>
      <w:pPr>
        <w:spacing w:line="480" w:lineRule="auto"/>
        <w:ind w:firstLine="840" w:firstLineChars="400"/>
        <w:rPr>
          <w:rFonts w:ascii="宋体" w:hAnsi="宋体"/>
        </w:rPr>
      </w:pPr>
      <w:r>
        <w:rPr>
          <w:rFonts w:hint="eastAsia" w:ascii="宋体" w:hAnsi="宋体"/>
        </w:rPr>
        <w:t>经济性质：</w:t>
      </w:r>
    </w:p>
    <w:p>
      <w:pPr>
        <w:spacing w:line="480" w:lineRule="auto"/>
        <w:ind w:firstLine="840" w:firstLineChars="400"/>
        <w:rPr>
          <w:rFonts w:ascii="宋体" w:hAnsi="宋体"/>
        </w:rPr>
      </w:pPr>
      <w:r>
        <w:rPr>
          <w:rFonts w:hint="eastAsia" w:ascii="宋体" w:hAnsi="宋体"/>
        </w:rPr>
        <w:t>主营（产）：</w:t>
      </w:r>
    </w:p>
    <w:p>
      <w:pPr>
        <w:spacing w:line="480" w:lineRule="auto"/>
        <w:ind w:firstLine="840" w:firstLineChars="400"/>
        <w:rPr>
          <w:rFonts w:ascii="宋体" w:hAnsi="宋体"/>
        </w:rPr>
      </w:pPr>
      <w:r>
        <w:rPr>
          <w:rFonts w:hint="eastAsia" w:ascii="宋体" w:hAnsi="宋体"/>
        </w:rPr>
        <w:t>兼营（产）：</w:t>
      </w:r>
    </w:p>
    <w:p>
      <w:pPr>
        <w:spacing w:line="480" w:lineRule="auto"/>
        <w:ind w:firstLine="1000" w:firstLineChars="400"/>
        <w:rPr>
          <w:rFonts w:ascii="宋体" w:hAnsi="宋体" w:cs="宋体"/>
          <w:sz w:val="25"/>
          <w:szCs w:val="25"/>
        </w:rPr>
      </w:pPr>
      <w:r>
        <w:rPr>
          <w:rFonts w:hint="eastAsia" w:ascii="宋体" w:hAnsi="宋体" w:cs="宋体"/>
          <w:sz w:val="25"/>
          <w:szCs w:val="25"/>
        </w:rPr>
        <mc:AlternateContent>
          <mc:Choice Requires="wps">
            <w:drawing>
              <wp:anchor distT="0" distB="0" distL="114300" distR="114300" simplePos="0" relativeHeight="251662336" behindDoc="0" locked="0" layoutInCell="1" allowOverlap="1">
                <wp:simplePos x="0" y="0"/>
                <wp:positionH relativeFrom="column">
                  <wp:posOffset>2728595</wp:posOffset>
                </wp:positionH>
                <wp:positionV relativeFrom="paragraph">
                  <wp:posOffset>243840</wp:posOffset>
                </wp:positionV>
                <wp:extent cx="2599690" cy="1924685"/>
                <wp:effectExtent l="10160" t="7620" r="9525" b="10795"/>
                <wp:wrapNone/>
                <wp:docPr id="816793787" name="Rectangle 5"/>
                <wp:cNvGraphicFramePr/>
                <a:graphic xmlns:a="http://schemas.openxmlformats.org/drawingml/2006/main">
                  <a:graphicData uri="http://schemas.microsoft.com/office/word/2010/wordprocessingShape">
                    <wps:wsp>
                      <wps:cNvSpPr>
                        <a:spLocks noChangeArrowheads="1"/>
                      </wps:cNvSpPr>
                      <wps:spPr bwMode="auto">
                        <a:xfrm>
                          <a:off x="0" y="0"/>
                          <a:ext cx="2599690" cy="1924685"/>
                        </a:xfrm>
                        <a:prstGeom prst="rect">
                          <a:avLst/>
                        </a:prstGeom>
                        <a:solidFill>
                          <a:srgbClr val="FFFFFF"/>
                        </a:solidFill>
                        <a:ln w="9525" cmpd="sng">
                          <a:solidFill>
                            <a:srgbClr val="000000"/>
                          </a:solidFill>
                          <a:miter lim="800000"/>
                        </a:ln>
                      </wps:spPr>
                      <wps:txb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（反面）</w:t>
                            </w:r>
                          </w:p>
                          <w:p>
                            <w:pPr>
                              <w:ind w:firstLine="1050" w:firstLineChars="500"/>
                            </w:pPr>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14.85pt;margin-top:19.2pt;height:151.55pt;width:204.7pt;z-index:251662336;mso-width-relative:page;mso-height-relative:page;" fillcolor="#FFFFFF" filled="t" stroked="t" coordsize="21600,21600" o:gfxdata="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zglMrZAAAACgEAAA8AAAAAAAAAAQAgAAAAIgAAAGRy&#10;cy9kb3ducmV2LnhtbFBLAQIUABQAAAAIAIdO4kAzwTe7PQIAAJEEAAAOAAAAAAAAAAEAIAAAACgB&#10;AABkcnMvZTJvRG9jLnhtbFBLBQYAAAAABgAGAFkBAADXBQAAAAA=&#10;">
                <v:fill on="t" focussize="0,0"/>
                <v:stroke color="#000000" miterlimit="8" joinstyle="miter"/>
                <v:imagedata o:title=""/>
                <o:lock v:ext="edit" aspectratio="f"/>
                <v:textbo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（反面）</w:t>
                      </w:r>
                    </w:p>
                    <w:p>
                      <w:pPr>
                        <w:ind w:firstLine="1050" w:firstLineChars="500"/>
                      </w:pPr>
                    </w:p>
                  </w:txbxContent>
                </v:textbox>
              </v:rect>
            </w:pict>
          </mc:Fallback>
        </mc:AlternateContent>
      </w:r>
      <w:r>
        <w:rPr>
          <w:rFonts w:hint="eastAsia" w:ascii="宋体" w:hAnsi="宋体" w:cs="宋体"/>
          <w:sz w:val="25"/>
          <w:szCs w:val="25"/>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243840</wp:posOffset>
                </wp:positionV>
                <wp:extent cx="2399665" cy="1882140"/>
                <wp:effectExtent l="10795" t="7620" r="8890" b="5715"/>
                <wp:wrapNone/>
                <wp:docPr id="1486671275" name="Rectangle 2"/>
                <wp:cNvGraphicFramePr/>
                <a:graphic xmlns:a="http://schemas.openxmlformats.org/drawingml/2006/main">
                  <a:graphicData uri="http://schemas.microsoft.com/office/word/2010/wordprocessingShape">
                    <wps:wsp>
                      <wps:cNvSpPr>
                        <a:spLocks noChangeArrowheads="1"/>
                      </wps:cNvSpPr>
                      <wps:spPr bwMode="auto">
                        <a:xfrm>
                          <a:off x="0" y="0"/>
                          <a:ext cx="2399665" cy="1882140"/>
                        </a:xfrm>
                        <a:prstGeom prst="rect">
                          <a:avLst/>
                        </a:prstGeom>
                        <a:solidFill>
                          <a:srgbClr val="FFFFFF"/>
                        </a:solidFill>
                        <a:ln w="9525" cmpd="sng">
                          <a:solidFill>
                            <a:srgbClr val="000000"/>
                          </a:solidFill>
                          <a:miter lim="800000"/>
                        </a:ln>
                      </wps:spPr>
                      <wps:txb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（正面）</w:t>
                            </w:r>
                          </w:p>
                          <w:p>
                            <w:pPr>
                              <w:ind w:firstLine="1050" w:firstLineChars="500"/>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4pt;margin-top:19.2pt;height:148.2pt;width:188.95pt;z-index:251659264;mso-width-relative:page;mso-height-relative:page;" fillcolor="#FFFFFF" filled="t" stroked="t" coordsize="21600,21600" o:gfxdata="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12NRNcAAAAIAQAADwAAAAAAAAABACAAAAAiAAAAZHJz&#10;L2Rvd25yZXYueG1sUEsBAhQAFAAAAAgAh07iQOI8IqQ+AgAAkgQAAA4AAAAAAAAAAQAgAAAAJgEA&#10;AGRycy9lMm9Eb2MueG1sUEsFBgAAAAAGAAYAWQEAANYFAAAAAA==&#10;">
                <v:fill on="t" focussize="0,0"/>
                <v:stroke color="#000000" miterlimit="8" joinstyle="miter"/>
                <v:imagedata o:title=""/>
                <o:lock v:ext="edit" aspectratio="f"/>
                <v:textbo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（正面）</w:t>
                      </w:r>
                    </w:p>
                    <w:p>
                      <w:pPr>
                        <w:ind w:firstLine="1050" w:firstLineChars="500"/>
                      </w:pPr>
                    </w:p>
                  </w:txbxContent>
                </v:textbox>
              </v:rect>
            </w:pict>
          </mc:Fallback>
        </mc:AlternateContent>
      </w: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b/>
          <w:bCs/>
          <w:szCs w:val="21"/>
        </w:rPr>
      </w:pPr>
    </w:p>
    <w:p>
      <w:pPr>
        <w:spacing w:line="500" w:lineRule="exact"/>
        <w:rPr>
          <w:rFonts w:ascii="宋体" w:hAnsi="宋体" w:cs="宋体"/>
          <w:szCs w:val="21"/>
        </w:rPr>
      </w:pPr>
      <w:r>
        <w:rPr>
          <w:rFonts w:hint="eastAsia" w:ascii="宋体" w:hAnsi="宋体" w:cs="宋体"/>
          <w:b/>
          <w:bCs/>
          <w:szCs w:val="21"/>
        </w:rPr>
        <w:t xml:space="preserve">                             </w:t>
      </w:r>
      <w:r>
        <w:rPr>
          <w:rFonts w:hint="eastAsia" w:ascii="宋体" w:hAnsi="宋体" w:cs="宋体"/>
          <w:szCs w:val="21"/>
        </w:rPr>
        <w:t>投标人名称：（盖公章）：</w:t>
      </w:r>
    </w:p>
    <w:p>
      <w:pPr>
        <w:spacing w:line="500" w:lineRule="exact"/>
        <w:rPr>
          <w:rFonts w:ascii="宋体" w:hAnsi="宋体" w:cs="宋体"/>
          <w:szCs w:val="21"/>
        </w:rPr>
      </w:pPr>
      <w:r>
        <w:rPr>
          <w:rFonts w:hint="eastAsia" w:ascii="宋体" w:hAnsi="宋体" w:cs="宋体"/>
          <w:szCs w:val="21"/>
        </w:rPr>
        <w:t xml:space="preserve">                             地址：</w:t>
      </w:r>
    </w:p>
    <w:p>
      <w:pPr>
        <w:spacing w:line="500" w:lineRule="exact"/>
        <w:rPr>
          <w:rFonts w:ascii="宋体" w:hAnsi="宋体" w:cs="宋体"/>
          <w:szCs w:val="21"/>
        </w:rPr>
      </w:pPr>
      <w:r>
        <w:rPr>
          <w:rFonts w:hint="eastAsia" w:ascii="宋体" w:hAnsi="宋体" w:cs="宋体"/>
          <w:szCs w:val="21"/>
        </w:rPr>
        <w:t xml:space="preserve">                             日期：</w:t>
      </w:r>
    </w:p>
    <w:p>
      <w:pPr>
        <w:numPr>
          <w:ilvl w:val="0"/>
          <w:numId w:val="27"/>
        </w:numPr>
        <w:spacing w:line="440" w:lineRule="exact"/>
        <w:rPr>
          <w:rFonts w:ascii="黑体" w:eastAsia="黑体"/>
          <w:bCs/>
          <w:color w:val="FF0000"/>
          <w:sz w:val="28"/>
        </w:rPr>
      </w:pPr>
      <w:r>
        <w:rPr>
          <w:rFonts w:ascii="宋体" w:hAnsi="宋体" w:cs="宋体"/>
          <w:bCs/>
          <w:sz w:val="25"/>
          <w:szCs w:val="25"/>
        </w:rPr>
        <w:br w:type="page"/>
      </w:r>
    </w:p>
    <w:p>
      <w:pPr>
        <w:pStyle w:val="9"/>
        <w:tabs>
          <w:tab w:val="left" w:pos="709"/>
        </w:tabs>
        <w:snapToGrid w:val="0"/>
        <w:spacing w:before="96" w:beforeLines="40" w:after="240" w:afterLines="100"/>
        <w:ind w:firstLine="0" w:firstLineChars="0"/>
        <w:jc w:val="center"/>
        <w:rPr>
          <w:rFonts w:ascii="宋体" w:hAnsi="宋体" w:cs="宋体"/>
          <w:b/>
          <w:sz w:val="32"/>
          <w:szCs w:val="32"/>
        </w:rPr>
      </w:pPr>
      <w:bookmarkStart w:id="104" w:name="_承诺函"/>
      <w:bookmarkEnd w:id="104"/>
      <w:bookmarkStart w:id="105" w:name="_Toc275865619"/>
      <w:r>
        <w:rPr>
          <w:rFonts w:hint="eastAsia" w:ascii="宋体" w:hAnsi="宋体" w:cs="宋体"/>
          <w:b/>
          <w:sz w:val="32"/>
          <w:szCs w:val="32"/>
        </w:rPr>
        <w:t>承诺函</w:t>
      </w:r>
    </w:p>
    <w:p>
      <w:pPr>
        <w:ind w:right="279" w:rightChars="133"/>
        <w:rPr>
          <w:b/>
        </w:rPr>
      </w:pPr>
      <w:r>
        <w:rPr>
          <w:rFonts w:hint="eastAsia" w:ascii="宋体" w:hAnsi="宋体" w:cs="宋体"/>
          <w:b/>
          <w:szCs w:val="21"/>
        </w:rPr>
        <w:t>江门市江海区土地储备中心</w:t>
      </w:r>
      <w:r>
        <w:rPr>
          <w:rFonts w:hint="eastAsia"/>
          <w:b/>
        </w:rPr>
        <w:t>：</w:t>
      </w:r>
    </w:p>
    <w:p>
      <w:pPr>
        <w:snapToGrid w:val="0"/>
        <w:spacing w:before="120" w:beforeLines="50" w:line="360" w:lineRule="auto"/>
        <w:ind w:right="279" w:rightChars="133" w:firstLine="525" w:firstLineChars="250"/>
        <w:rPr>
          <w:rFonts w:ascii="宋体" w:hAnsi="宋体"/>
        </w:rPr>
      </w:pPr>
      <w:r>
        <w:rPr>
          <w:rFonts w:hint="eastAsia" w:ascii="宋体" w:hAnsi="宋体"/>
        </w:rPr>
        <w:t>关于贵单位</w:t>
      </w:r>
      <w:r>
        <w:rPr>
          <w:rFonts w:hint="eastAsia" w:ascii="宋体" w:hAnsi="宋体"/>
          <w:u w:val="single"/>
        </w:rPr>
        <w:t>　　</w:t>
      </w:r>
      <w:r>
        <w:rPr>
          <w:rFonts w:hint="eastAsia" w:ascii="宋体" w:hAnsi="宋体"/>
        </w:rPr>
        <w:t>年</w:t>
      </w:r>
      <w:r>
        <w:rPr>
          <w:rFonts w:hint="eastAsia" w:ascii="宋体" w:hAnsi="宋体"/>
          <w:u w:val="single"/>
        </w:rPr>
        <w:t>　　</w:t>
      </w:r>
      <w:r>
        <w:rPr>
          <w:rFonts w:hint="eastAsia" w:ascii="宋体" w:hAnsi="宋体"/>
        </w:rPr>
        <w:t>月</w:t>
      </w:r>
      <w:r>
        <w:rPr>
          <w:rFonts w:hint="eastAsia" w:ascii="宋体" w:hAnsi="宋体"/>
          <w:u w:val="single"/>
        </w:rPr>
        <w:t>　　</w:t>
      </w:r>
      <w:r>
        <w:rPr>
          <w:rFonts w:hint="eastAsia" w:ascii="宋体" w:hAnsi="宋体"/>
        </w:rPr>
        <w:t>日发布</w:t>
      </w:r>
      <w:r>
        <w:rPr>
          <w:rFonts w:hint="eastAsia" w:ascii="宋体" w:hAnsi="宋体" w:cs="宋体"/>
          <w:color w:val="000000"/>
          <w:szCs w:val="21"/>
          <w:u w:val="single"/>
        </w:rPr>
        <w:t>《江门市江海区和德路及应急产业项目占用耕地耕作层土壤剥离再利用方案》耕作层土壤剥离再利用工程项目</w:t>
      </w:r>
      <w:r>
        <w:rPr>
          <w:rFonts w:hint="eastAsia" w:ascii="宋体" w:hAnsi="宋体"/>
        </w:rPr>
        <w:t>的采购公告，本单位（企业）愿意参加投标，并承诺：</w:t>
      </w:r>
    </w:p>
    <w:p>
      <w:pPr>
        <w:snapToGrid w:val="0"/>
        <w:spacing w:before="120" w:beforeLines="50" w:line="360" w:lineRule="auto"/>
        <w:ind w:right="279" w:rightChars="133" w:firstLine="525" w:firstLineChars="250"/>
        <w:rPr>
          <w:bCs/>
          <w:szCs w:val="21"/>
        </w:rPr>
      </w:pPr>
      <w:r>
        <w:rPr>
          <w:rFonts w:hint="eastAsia"/>
          <w:bCs/>
          <w:szCs w:val="21"/>
        </w:rPr>
        <w:t>根据《中华人民共和国政府采购法实施条例》的规定，本单位（企业）及附属机构，非为采购项目提供整体设计、规范编制或者项目管理、监理、检测等服务的供应商。否则，由此所造成的损失、不良后果及法律责任，一律由我单位（企业）承担。</w:t>
      </w:r>
    </w:p>
    <w:p>
      <w:pPr>
        <w:spacing w:line="360" w:lineRule="auto"/>
        <w:ind w:right="279" w:rightChars="133" w:firstLine="420"/>
        <w:rPr>
          <w:color w:val="FF0000"/>
        </w:rPr>
      </w:pPr>
    </w:p>
    <w:p>
      <w:pPr>
        <w:adjustRightInd w:val="0"/>
        <w:snapToGrid w:val="0"/>
        <w:spacing w:after="120" w:afterLines="50" w:line="360" w:lineRule="auto"/>
        <w:ind w:right="279" w:rightChars="133" w:firstLine="420"/>
      </w:pPr>
      <w:r>
        <w:rPr>
          <w:rFonts w:hint="eastAsia"/>
        </w:rPr>
        <w:t>单位名称：　　　　　　　　　　　　　　　</w:t>
      </w:r>
      <w:r>
        <w:rPr>
          <w:rFonts w:hint="eastAsia" w:ascii="宋体"/>
        </w:rPr>
        <w:t>法定代表人或</w:t>
      </w:r>
      <w:r>
        <w:rPr>
          <w:rFonts w:hint="eastAsia" w:ascii="宋体" w:hAnsi="宋体"/>
        </w:rPr>
        <w:t>投标人授权代表（签名或盖章）</w:t>
      </w:r>
      <w:r>
        <w:rPr>
          <w:rFonts w:hint="eastAsia"/>
        </w:rPr>
        <w:t>：</w:t>
      </w:r>
    </w:p>
    <w:p>
      <w:pPr>
        <w:adjustRightInd w:val="0"/>
        <w:snapToGrid w:val="0"/>
        <w:spacing w:after="120" w:afterLines="50" w:line="360" w:lineRule="auto"/>
        <w:ind w:right="279" w:rightChars="133" w:firstLine="420"/>
      </w:pPr>
      <w:r>
        <w:rPr>
          <w:rFonts w:hint="eastAsia"/>
        </w:rPr>
        <w:t>单位地址：　　　　　　　　　　　　　　　单位公章：</w:t>
      </w:r>
    </w:p>
    <w:p>
      <w:pPr>
        <w:adjustRightInd w:val="0"/>
        <w:snapToGrid w:val="0"/>
        <w:spacing w:after="120" w:afterLines="50" w:line="360" w:lineRule="auto"/>
        <w:ind w:right="279" w:rightChars="133" w:firstLine="420"/>
      </w:pPr>
      <w:r>
        <w:rPr>
          <w:rFonts w:hint="eastAsia"/>
        </w:rPr>
        <w:t>邮政编码：　　　　　　　　　　　　　　　日期：</w:t>
      </w:r>
    </w:p>
    <w:p>
      <w:pPr>
        <w:adjustRightInd w:val="0"/>
        <w:snapToGrid w:val="0"/>
        <w:spacing w:after="120" w:afterLines="50" w:line="360" w:lineRule="auto"/>
        <w:ind w:right="279" w:rightChars="133" w:firstLine="420"/>
      </w:pPr>
      <w:r>
        <w:rPr>
          <w:rFonts w:hint="eastAsia"/>
        </w:rPr>
        <w:t>联系电话：</w:t>
      </w:r>
    </w:p>
    <w:p>
      <w:pPr>
        <w:numPr>
          <w:ilvl w:val="0"/>
          <w:numId w:val="27"/>
        </w:numPr>
        <w:spacing w:line="440" w:lineRule="exact"/>
        <w:rPr>
          <w:bCs/>
        </w:rPr>
      </w:pPr>
      <w:r>
        <w:rPr>
          <w:b/>
          <w:color w:val="FF0000"/>
        </w:rPr>
        <w:br w:type="page"/>
      </w:r>
      <w:bookmarkEnd w:id="105"/>
      <w:bookmarkStart w:id="106" w:name="_Toc275865614"/>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开标一览表(报价表)</w:t>
      </w:r>
    </w:p>
    <w:p>
      <w:pPr>
        <w:tabs>
          <w:tab w:val="left" w:pos="7740"/>
        </w:tabs>
        <w:adjustRightInd w:val="0"/>
        <w:snapToGrid w:val="0"/>
        <w:rPr>
          <w:rFonts w:ascii="宋体" w:hAnsi="宋体"/>
          <w:sz w:val="24"/>
        </w:rPr>
      </w:pPr>
      <w:r>
        <w:rPr>
          <w:rFonts w:hint="eastAsia" w:ascii="宋体" w:hAnsi="宋体"/>
        </w:rPr>
        <w:t xml:space="preserve">投标人名称：                                                   </w:t>
      </w:r>
    </w:p>
    <w:tbl>
      <w:tblPr>
        <w:tblStyle w:val="50"/>
        <w:tblW w:w="980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4623"/>
        <w:gridCol w:w="2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465" w:type="dxa"/>
            <w:tcBorders>
              <w:top w:val="single" w:color="auto" w:sz="12" w:space="0"/>
              <w:bottom w:val="double" w:color="auto" w:sz="4" w:space="0"/>
            </w:tcBorders>
            <w:shd w:val="clear" w:color="auto" w:fill="EEECE1"/>
            <w:vAlign w:val="center"/>
          </w:tcPr>
          <w:p>
            <w:pPr>
              <w:spacing w:line="360" w:lineRule="auto"/>
              <w:jc w:val="center"/>
              <w:rPr>
                <w:rFonts w:ascii="宋体"/>
                <w:b/>
                <w:szCs w:val="21"/>
              </w:rPr>
            </w:pPr>
            <w:r>
              <w:rPr>
                <w:rFonts w:hint="eastAsia" w:ascii="宋体"/>
                <w:b/>
                <w:szCs w:val="21"/>
              </w:rPr>
              <w:t>采购内容</w:t>
            </w:r>
          </w:p>
        </w:tc>
        <w:tc>
          <w:tcPr>
            <w:tcW w:w="4623" w:type="dxa"/>
            <w:tcBorders>
              <w:top w:val="single" w:color="auto" w:sz="12" w:space="0"/>
              <w:bottom w:val="double" w:color="auto" w:sz="4" w:space="0"/>
            </w:tcBorders>
            <w:shd w:val="clear" w:color="auto" w:fill="EEECE1"/>
            <w:vAlign w:val="center"/>
          </w:tcPr>
          <w:p>
            <w:pPr>
              <w:spacing w:line="360" w:lineRule="auto"/>
              <w:jc w:val="center"/>
              <w:rPr>
                <w:rFonts w:ascii="宋体"/>
                <w:b/>
                <w:szCs w:val="21"/>
              </w:rPr>
            </w:pPr>
            <w:r>
              <w:rPr>
                <w:rFonts w:hint="eastAsia" w:ascii="宋体"/>
                <w:b/>
                <w:szCs w:val="21"/>
              </w:rPr>
              <w:t>投标报价</w:t>
            </w:r>
          </w:p>
          <w:p>
            <w:pPr>
              <w:spacing w:line="360" w:lineRule="auto"/>
              <w:jc w:val="center"/>
              <w:rPr>
                <w:rFonts w:ascii="宋体"/>
                <w:b/>
                <w:szCs w:val="21"/>
              </w:rPr>
            </w:pPr>
            <w:r>
              <w:rPr>
                <w:rFonts w:hint="eastAsia" w:ascii="宋体"/>
                <w:b/>
                <w:szCs w:val="21"/>
              </w:rPr>
              <w:t>（人民币 元）</w:t>
            </w:r>
          </w:p>
        </w:tc>
        <w:tc>
          <w:tcPr>
            <w:tcW w:w="2718" w:type="dxa"/>
            <w:tcBorders>
              <w:top w:val="single" w:color="auto" w:sz="12" w:space="0"/>
              <w:bottom w:val="double" w:color="auto" w:sz="4" w:space="0"/>
            </w:tcBorders>
            <w:shd w:val="clear" w:color="auto" w:fill="EEECE1"/>
            <w:vAlign w:val="center"/>
          </w:tcPr>
          <w:p>
            <w:pPr>
              <w:spacing w:line="360" w:lineRule="auto"/>
              <w:jc w:val="center"/>
              <w:rPr>
                <w:rFonts w:ascii="宋体"/>
                <w:b/>
                <w:szCs w:val="21"/>
              </w:rPr>
            </w:pPr>
            <w:r>
              <w:rPr>
                <w:rFonts w:hint="eastAsia" w:ascii="宋体"/>
                <w:b/>
                <w:szCs w:val="21"/>
              </w:rPr>
              <w:t>服务期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69" w:hRule="atLeast"/>
        </w:trPr>
        <w:tc>
          <w:tcPr>
            <w:tcW w:w="2465" w:type="dxa"/>
            <w:tcBorders>
              <w:top w:val="double" w:color="auto" w:sz="4" w:space="0"/>
              <w:bottom w:val="single" w:color="auto" w:sz="12" w:space="0"/>
            </w:tcBorders>
            <w:vAlign w:val="center"/>
          </w:tcPr>
          <w:p>
            <w:pPr>
              <w:jc w:val="center"/>
              <w:rPr>
                <w:rFonts w:ascii="宋体"/>
                <w:bCs/>
                <w:szCs w:val="21"/>
                <w:highlight w:val="yellow"/>
              </w:rPr>
            </w:pPr>
            <w:r>
              <w:rPr>
                <w:rFonts w:hint="eastAsia" w:ascii="宋体" w:hAnsi="宋体" w:cs="宋体"/>
                <w:color w:val="000000"/>
                <w:szCs w:val="21"/>
              </w:rPr>
              <w:t>《江门市江海区和德路及应急产业项目占用耕地耕作层土壤剥离再利用方案》耕作层土壤剥离再利用工程项目</w:t>
            </w:r>
          </w:p>
        </w:tc>
        <w:tc>
          <w:tcPr>
            <w:tcW w:w="4623" w:type="dxa"/>
            <w:tcBorders>
              <w:top w:val="double" w:color="auto" w:sz="4" w:space="0"/>
              <w:bottom w:val="single" w:color="auto" w:sz="12" w:space="0"/>
            </w:tcBorders>
            <w:vAlign w:val="center"/>
          </w:tcPr>
          <w:p>
            <w:pPr>
              <w:spacing w:line="360" w:lineRule="auto"/>
              <w:rPr>
                <w:rFonts w:ascii="宋体"/>
                <w:bCs/>
                <w:szCs w:val="21"/>
                <w:u w:val="single"/>
              </w:rPr>
            </w:pPr>
            <w:r>
              <w:rPr>
                <w:rFonts w:hint="eastAsia" w:ascii="宋体"/>
                <w:bCs/>
                <w:szCs w:val="21"/>
              </w:rPr>
              <w:t>小写：RMB</w:t>
            </w:r>
            <w:r>
              <w:rPr>
                <w:rFonts w:hint="eastAsia" w:ascii="宋体"/>
                <w:bCs/>
                <w:szCs w:val="21"/>
                <w:u w:val="single"/>
              </w:rPr>
              <w:t xml:space="preserve">                             </w:t>
            </w:r>
          </w:p>
          <w:p>
            <w:pPr>
              <w:spacing w:line="360" w:lineRule="auto"/>
              <w:rPr>
                <w:rFonts w:ascii="宋体"/>
                <w:bCs/>
                <w:szCs w:val="21"/>
                <w:u w:val="single"/>
              </w:rPr>
            </w:pPr>
            <w:r>
              <w:rPr>
                <w:rFonts w:hint="eastAsia" w:ascii="宋体"/>
                <w:bCs/>
                <w:szCs w:val="21"/>
              </w:rPr>
              <w:t>大写：</w:t>
            </w:r>
            <w:r>
              <w:rPr>
                <w:rFonts w:hint="eastAsia" w:ascii="宋体"/>
                <w:bCs/>
                <w:szCs w:val="21"/>
                <w:u w:val="single"/>
              </w:rPr>
              <w:t xml:space="preserve">                                </w:t>
            </w:r>
          </w:p>
        </w:tc>
        <w:tc>
          <w:tcPr>
            <w:tcW w:w="2718" w:type="dxa"/>
            <w:tcBorders>
              <w:top w:val="double" w:color="auto" w:sz="4" w:space="0"/>
              <w:bottom w:val="single" w:color="auto" w:sz="12" w:space="0"/>
            </w:tcBorders>
            <w:vAlign w:val="center"/>
          </w:tcPr>
          <w:p>
            <w:pPr>
              <w:pStyle w:val="199"/>
              <w:spacing w:line="240" w:lineRule="auto"/>
              <w:ind w:firstLine="120"/>
              <w:rPr>
                <w:rFonts w:ascii="宋体" w:hAnsi="宋体"/>
                <w:snapToGrid/>
                <w:spacing w:val="0"/>
                <w:kern w:val="2"/>
                <w:sz w:val="21"/>
                <w:szCs w:val="21"/>
              </w:rPr>
            </w:pPr>
            <w:r>
              <w:rPr>
                <w:rFonts w:hint="eastAsia" w:ascii="宋体" w:hAnsi="宋体"/>
                <w:snapToGrid/>
                <w:spacing w:val="0"/>
                <w:kern w:val="2"/>
                <w:sz w:val="21"/>
                <w:szCs w:val="21"/>
              </w:rPr>
              <w:t>自合同签订之日起__个日历天</w:t>
            </w:r>
          </w:p>
        </w:tc>
      </w:tr>
    </w:tbl>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00" w:lineRule="exact"/>
        <w:rPr>
          <w:rFonts w:ascii="宋体" w:hAnsi="宋体"/>
          <w:b/>
          <w:bCs/>
          <w:sz w:val="28"/>
        </w:rPr>
      </w:pPr>
    </w:p>
    <w:p>
      <w:pPr>
        <w:spacing w:line="400" w:lineRule="exact"/>
        <w:ind w:right="279" w:rightChars="133"/>
        <w:rPr>
          <w:rFonts w:ascii="宋体" w:hAnsi="宋体"/>
          <w:b/>
          <w:bCs/>
          <w:szCs w:val="21"/>
        </w:rPr>
      </w:pPr>
      <w:r>
        <w:rPr>
          <w:rFonts w:hint="eastAsia" w:ascii="宋体" w:hAnsi="宋体"/>
          <w:b/>
          <w:bCs/>
          <w:szCs w:val="21"/>
        </w:rPr>
        <w:t>备注：</w:t>
      </w:r>
    </w:p>
    <w:p>
      <w:pPr>
        <w:numPr>
          <w:ilvl w:val="1"/>
          <w:numId w:val="29"/>
        </w:numPr>
        <w:tabs>
          <w:tab w:val="left" w:pos="360"/>
          <w:tab w:val="clear" w:pos="1620"/>
        </w:tabs>
        <w:snapToGrid w:val="0"/>
        <w:spacing w:line="360" w:lineRule="auto"/>
        <w:ind w:left="360" w:right="279" w:rightChars="133"/>
        <w:rPr>
          <w:rFonts w:ascii="宋体" w:hAnsi="宋体"/>
          <w:b/>
          <w:bCs/>
          <w:szCs w:val="21"/>
        </w:rPr>
      </w:pPr>
      <w:r>
        <w:rPr>
          <w:b/>
        </w:rPr>
        <w:t>此表须附在正、副本的投标文件中，并另封装一份于开标小信封中</w:t>
      </w:r>
      <w:r>
        <w:rPr>
          <w:rFonts w:hint="eastAsia"/>
          <w:b/>
        </w:rPr>
        <w:t>。</w:t>
      </w:r>
    </w:p>
    <w:p>
      <w:pPr>
        <w:numPr>
          <w:ilvl w:val="1"/>
          <w:numId w:val="29"/>
        </w:numPr>
        <w:tabs>
          <w:tab w:val="left" w:pos="360"/>
          <w:tab w:val="clear" w:pos="1620"/>
        </w:tabs>
        <w:snapToGrid w:val="0"/>
        <w:spacing w:line="360" w:lineRule="auto"/>
        <w:ind w:left="360" w:right="279" w:rightChars="133"/>
        <w:rPr>
          <w:rFonts w:ascii="宋体" w:hAnsi="宋体"/>
          <w:b/>
          <w:bCs/>
          <w:szCs w:val="21"/>
        </w:rPr>
      </w:pPr>
      <w:r>
        <w:rPr>
          <w:rFonts w:hint="eastAsia"/>
          <w:b/>
        </w:rPr>
        <w:t>此表内投标报价为最终价，投标文件内不得含有任何对本报价进行修改的其他说明或资料，否则为无效投标</w:t>
      </w:r>
      <w:r>
        <w:rPr>
          <w:rFonts w:hint="eastAsia" w:ascii="宋体" w:hAnsi="宋体"/>
          <w:b/>
          <w:bCs/>
          <w:szCs w:val="21"/>
        </w:rPr>
        <w:t>。</w:t>
      </w:r>
    </w:p>
    <w:p>
      <w:pPr>
        <w:numPr>
          <w:ilvl w:val="1"/>
          <w:numId w:val="29"/>
        </w:numPr>
        <w:tabs>
          <w:tab w:val="left" w:pos="360"/>
          <w:tab w:val="left" w:pos="840"/>
          <w:tab w:val="clear" w:pos="1620"/>
        </w:tabs>
        <w:snapToGrid w:val="0"/>
        <w:spacing w:line="360" w:lineRule="auto"/>
        <w:ind w:left="360" w:right="279" w:rightChars="133"/>
        <w:rPr>
          <w:b/>
        </w:rPr>
      </w:pPr>
      <w:r>
        <w:rPr>
          <w:rFonts w:hint="eastAsia"/>
          <w:b/>
        </w:rPr>
        <w:t>投标报价要求具体见第二章“投标报价”要求。</w:t>
      </w:r>
    </w:p>
    <w:p>
      <w:pPr>
        <w:numPr>
          <w:ilvl w:val="0"/>
          <w:numId w:val="27"/>
        </w:numPr>
        <w:spacing w:line="440" w:lineRule="exact"/>
        <w:rPr>
          <w:bCs/>
        </w:rPr>
      </w:pPr>
      <w:r>
        <w:rPr>
          <w:rFonts w:ascii="宋体" w:hAnsi="宋体" w:cs="宋体"/>
          <w:b/>
          <w:sz w:val="25"/>
          <w:szCs w:val="25"/>
        </w:rPr>
        <w:br w:type="page"/>
      </w:r>
      <w:bookmarkStart w:id="107" w:name="_Toc275865611"/>
      <w:bookmarkStart w:id="108" w:name="_Toc192662843"/>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投标分项报价表</w:t>
      </w:r>
      <w:bookmarkEnd w:id="107"/>
      <w:bookmarkEnd w:id="108"/>
    </w:p>
    <w:p>
      <w:pPr>
        <w:spacing w:line="360" w:lineRule="auto"/>
        <w:jc w:val="center"/>
        <w:rPr>
          <w:b/>
          <w:spacing w:val="4"/>
          <w:sz w:val="24"/>
        </w:rPr>
      </w:pPr>
      <w:r>
        <w:rPr>
          <w:rFonts w:hint="eastAsia"/>
          <w:b/>
          <w:spacing w:val="4"/>
          <w:sz w:val="24"/>
        </w:rPr>
        <w:t>（格式自定）</w:t>
      </w:r>
    </w:p>
    <w:p>
      <w:pPr>
        <w:widowControl/>
        <w:wordWrap w:val="0"/>
        <w:spacing w:line="360" w:lineRule="auto"/>
        <w:jc w:val="left"/>
        <w:rPr>
          <w:rFonts w:ascii="宋体" w:hAnsi="宋体"/>
        </w:rPr>
      </w:pPr>
      <w:r>
        <w:rPr>
          <w:rFonts w:hint="eastAsia" w:ascii="宋体" w:hAnsi="宋体"/>
        </w:rPr>
        <w:t xml:space="preserve">投标人名称：                                          </w:t>
      </w: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ind w:firstLine="436" w:firstLineChars="200"/>
        <w:rPr>
          <w:spacing w:val="4"/>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00" w:lineRule="exact"/>
        <w:ind w:left="750" w:hanging="749" w:hangingChars="357"/>
        <w:rPr>
          <w:rFonts w:ascii="宋体" w:hAnsi="宋体"/>
          <w:color w:val="000000"/>
        </w:rPr>
      </w:pPr>
      <w:r>
        <w:rPr>
          <w:rFonts w:hint="eastAsia" w:ascii="宋体" w:hAnsi="宋体"/>
          <w:color w:val="000000"/>
        </w:rPr>
        <w:t>注：</w:t>
      </w:r>
    </w:p>
    <w:p>
      <w:pPr>
        <w:numPr>
          <w:ilvl w:val="0"/>
          <w:numId w:val="30"/>
        </w:numPr>
        <w:snapToGrid w:val="0"/>
        <w:spacing w:line="360" w:lineRule="auto"/>
        <w:rPr>
          <w:rFonts w:ascii="宋体" w:hAnsi="宋体"/>
          <w:color w:val="000000"/>
        </w:rPr>
      </w:pPr>
      <w:r>
        <w:rPr>
          <w:rFonts w:hint="eastAsia" w:ascii="宋体" w:hAnsi="宋体"/>
          <w:color w:val="000000"/>
        </w:rPr>
        <w:t>此表为《开标一览表(报价表)》的报价明细表。</w:t>
      </w:r>
    </w:p>
    <w:p>
      <w:pPr>
        <w:numPr>
          <w:ilvl w:val="0"/>
          <w:numId w:val="30"/>
        </w:numPr>
        <w:snapToGrid w:val="0"/>
        <w:spacing w:line="360" w:lineRule="auto"/>
        <w:rPr>
          <w:rFonts w:ascii="宋体" w:hAnsi="宋体"/>
          <w:color w:val="000000"/>
        </w:rPr>
      </w:pPr>
      <w:r>
        <w:rPr>
          <w:rFonts w:hint="eastAsia" w:ascii="宋体" w:hAnsi="宋体"/>
          <w:color w:val="000000"/>
        </w:rPr>
        <w:t>投标人的详细报价表格式可自定。</w:t>
      </w:r>
    </w:p>
    <w:p>
      <w:pPr>
        <w:numPr>
          <w:ilvl w:val="0"/>
          <w:numId w:val="30"/>
        </w:numPr>
        <w:snapToGrid w:val="0"/>
        <w:spacing w:line="360" w:lineRule="auto"/>
        <w:rPr>
          <w:rFonts w:ascii="宋体" w:hAnsi="宋体"/>
          <w:b/>
          <w:color w:val="000000"/>
        </w:rPr>
      </w:pPr>
      <w:r>
        <w:rPr>
          <w:rFonts w:hint="eastAsia" w:ascii="宋体" w:hAnsi="宋体"/>
          <w:b/>
          <w:color w:val="000000"/>
        </w:rPr>
        <w:t>属于《政府采购促进中小企业发展暂行办法》（财库[2011]181号）中规定的中小企业产品的，需在本表中详细列明。</w:t>
      </w:r>
    </w:p>
    <w:bookmarkEnd w:id="106"/>
    <w:p>
      <w:pPr>
        <w:numPr>
          <w:ilvl w:val="0"/>
          <w:numId w:val="27"/>
        </w:numPr>
        <w:spacing w:line="440" w:lineRule="exact"/>
        <w:rPr>
          <w:rFonts w:ascii="黑体" w:eastAsia="黑体"/>
          <w:bCs/>
          <w:sz w:val="28"/>
        </w:rPr>
        <w:sectPr>
          <w:pgSz w:w="11906" w:h="16838"/>
          <w:pgMar w:top="1134" w:right="1134" w:bottom="1134" w:left="1134" w:header="657" w:footer="481" w:gutter="0"/>
          <w:cols w:space="720" w:num="1"/>
          <w:docGrid w:linePitch="312" w:charSpace="0"/>
        </w:sectPr>
      </w:pPr>
    </w:p>
    <w:p>
      <w:pPr>
        <w:numPr>
          <w:ilvl w:val="0"/>
          <w:numId w:val="27"/>
        </w:numPr>
        <w:spacing w:line="440" w:lineRule="exact"/>
        <w:rPr>
          <w:rFonts w:ascii="宋体" w:hAnsi="宋体" w:cs="宋体"/>
          <w:b/>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投标服务方案</w:t>
      </w:r>
    </w:p>
    <w:p>
      <w:pPr>
        <w:adjustRightInd w:val="0"/>
        <w:snapToGrid w:val="0"/>
        <w:spacing w:line="360" w:lineRule="auto"/>
        <w:rPr>
          <w:rFonts w:ascii="宋体" w:hAnsi="宋体" w:cs="宋体"/>
          <w:b/>
          <w:szCs w:val="21"/>
        </w:rPr>
      </w:pPr>
      <w:r>
        <w:rPr>
          <w:rFonts w:hint="eastAsia" w:ascii="宋体" w:hAnsi="宋体" w:cs="宋体"/>
          <w:b/>
          <w:szCs w:val="21"/>
        </w:rPr>
        <w:t>主要内容应包括但不限于以下内容（格式自定）：</w:t>
      </w:r>
    </w:p>
    <w:p>
      <w:pPr>
        <w:numPr>
          <w:ilvl w:val="3"/>
          <w:numId w:val="31"/>
        </w:numPr>
        <w:tabs>
          <w:tab w:val="left" w:pos="630"/>
          <w:tab w:val="left" w:pos="993"/>
          <w:tab w:val="clear" w:pos="1680"/>
        </w:tabs>
        <w:adjustRightInd w:val="0"/>
        <w:snapToGrid w:val="0"/>
        <w:spacing w:line="360" w:lineRule="auto"/>
        <w:ind w:left="993" w:right="279" w:rightChars="133" w:hanging="567"/>
        <w:rPr>
          <w:rFonts w:hAnsi="宋体"/>
          <w:bCs/>
          <w:kern w:val="0"/>
          <w:szCs w:val="21"/>
        </w:rPr>
      </w:pPr>
      <w:r>
        <w:rPr>
          <w:rFonts w:hint="eastAsia" w:hAnsi="宋体"/>
          <w:bCs/>
          <w:kern w:val="0"/>
          <w:szCs w:val="21"/>
        </w:rPr>
        <w:t>项目总体方案；</w:t>
      </w:r>
    </w:p>
    <w:p>
      <w:pPr>
        <w:numPr>
          <w:ilvl w:val="3"/>
          <w:numId w:val="31"/>
        </w:numPr>
        <w:tabs>
          <w:tab w:val="left" w:pos="630"/>
          <w:tab w:val="left" w:pos="993"/>
          <w:tab w:val="clear" w:pos="1680"/>
        </w:tabs>
        <w:adjustRightInd w:val="0"/>
        <w:snapToGrid w:val="0"/>
        <w:spacing w:line="360" w:lineRule="auto"/>
        <w:ind w:left="993" w:right="279" w:rightChars="133" w:hanging="567"/>
        <w:rPr>
          <w:rFonts w:hAnsi="宋体"/>
          <w:bCs/>
          <w:kern w:val="0"/>
          <w:szCs w:val="21"/>
        </w:rPr>
      </w:pPr>
      <w:r>
        <w:rPr>
          <w:rFonts w:hint="eastAsia"/>
        </w:rPr>
        <w:t>各项管理规章制度、服务质量指标、组织机构；</w:t>
      </w:r>
    </w:p>
    <w:p>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rPr>
      </w:pPr>
      <w:r>
        <w:rPr>
          <w:rFonts w:ascii="宋体" w:hAnsi="宋体"/>
          <w:color w:val="000000"/>
        </w:rPr>
        <w:t>详细的合同项下提供服务的执行时间表及其实施措施，明确标注出影响合同执行的关</w:t>
      </w:r>
      <w:r>
        <w:rPr>
          <w:rFonts w:hint="eastAsia" w:ascii="宋体" w:hAnsi="宋体"/>
          <w:color w:val="000000"/>
        </w:rPr>
        <w:t xml:space="preserve"> </w:t>
      </w:r>
      <w:r>
        <w:rPr>
          <w:rFonts w:ascii="宋体" w:hAnsi="宋体"/>
          <w:color w:val="000000"/>
        </w:rPr>
        <w:t>键时间及因素；</w:t>
      </w:r>
    </w:p>
    <w:p>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rPr>
      </w:pPr>
      <w:r>
        <w:rPr>
          <w:rFonts w:hint="eastAsia" w:ascii="宋体" w:hAnsi="宋体"/>
          <w:color w:val="000000"/>
        </w:rPr>
        <w:t>须采购人配合事项；</w:t>
      </w:r>
    </w:p>
    <w:p>
      <w:pPr>
        <w:numPr>
          <w:ilvl w:val="3"/>
          <w:numId w:val="31"/>
        </w:numPr>
        <w:tabs>
          <w:tab w:val="left" w:pos="630"/>
          <w:tab w:val="left" w:pos="993"/>
          <w:tab w:val="clear" w:pos="1680"/>
        </w:tabs>
        <w:adjustRightInd w:val="0"/>
        <w:snapToGrid w:val="0"/>
        <w:spacing w:line="360" w:lineRule="auto"/>
        <w:ind w:left="993" w:right="279" w:rightChars="133" w:hanging="567"/>
        <w:rPr>
          <w:rFonts w:ascii="宋体" w:hAnsi="宋体"/>
          <w:color w:val="000000"/>
          <w:sz w:val="24"/>
        </w:rPr>
      </w:pPr>
      <w:r>
        <w:rPr>
          <w:rFonts w:hint="eastAsia" w:ascii="宋体" w:hAnsi="宋体"/>
          <w:color w:val="000000"/>
        </w:rPr>
        <w:t>投标人认为对投标有利的其他资料。</w:t>
      </w:r>
    </w:p>
    <w:p>
      <w:pPr>
        <w:spacing w:line="500" w:lineRule="exact"/>
        <w:ind w:left="2692" w:leftChars="1282"/>
        <w:rPr>
          <w:rFonts w:ascii="宋体" w:hAnsi="宋体" w:cs="宋体"/>
          <w:spacing w:val="4"/>
          <w:szCs w:val="21"/>
        </w:rPr>
      </w:pPr>
    </w:p>
    <w:p>
      <w:pPr>
        <w:spacing w:line="500" w:lineRule="exact"/>
        <w:ind w:left="2692" w:leftChars="1282"/>
        <w:rPr>
          <w:rFonts w:ascii="宋体" w:hAnsi="宋体" w:cs="宋体"/>
          <w:spacing w:val="4"/>
          <w:szCs w:val="21"/>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00" w:lineRule="exact"/>
        <w:rPr>
          <w:rFonts w:ascii="宋体" w:hAnsi="宋体" w:cs="宋体"/>
          <w:szCs w:val="21"/>
        </w:rPr>
      </w:pPr>
    </w:p>
    <w:p>
      <w:pPr>
        <w:spacing w:line="440" w:lineRule="exact"/>
        <w:rPr>
          <w:rFonts w:ascii="宋体" w:hAnsi="宋体" w:cs="宋体"/>
          <w:bCs/>
          <w:sz w:val="25"/>
          <w:szCs w:val="25"/>
        </w:rPr>
      </w:pPr>
      <w:bookmarkStart w:id="109" w:name="_Toc50691037"/>
      <w:bookmarkStart w:id="110" w:name="_Toc50703730"/>
      <w:bookmarkStart w:id="111" w:name="_Toc43264518"/>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pPr>
    </w:p>
    <w:p>
      <w:pPr>
        <w:numPr>
          <w:ilvl w:val="0"/>
          <w:numId w:val="27"/>
        </w:numPr>
        <w:spacing w:line="440" w:lineRule="exact"/>
        <w:rPr>
          <w:rFonts w:ascii="宋体" w:hAnsi="宋体" w:cs="宋体"/>
          <w:bCs/>
          <w:sz w:val="25"/>
          <w:szCs w:val="25"/>
        </w:rPr>
      </w:pPr>
      <w:r>
        <w:rPr>
          <w:rFonts w:ascii="宋体" w:hAnsi="宋体" w:cs="宋体"/>
          <w:bCs/>
          <w:sz w:val="25"/>
          <w:szCs w:val="25"/>
        </w:rPr>
        <w:br w:type="page"/>
      </w: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投标人基本情况表</w:t>
      </w:r>
    </w:p>
    <w:p>
      <w:pPr>
        <w:numPr>
          <w:ilvl w:val="0"/>
          <w:numId w:val="32"/>
        </w:numPr>
        <w:spacing w:line="360" w:lineRule="auto"/>
        <w:rPr>
          <w:rFonts w:ascii="宋体" w:hAnsi="宋体" w:cs="宋体"/>
          <w:szCs w:val="21"/>
        </w:rPr>
      </w:pPr>
      <w:r>
        <w:rPr>
          <w:rFonts w:hint="eastAsia" w:ascii="宋体" w:hAnsi="宋体" w:cs="宋体"/>
          <w:szCs w:val="21"/>
        </w:rPr>
        <w:t>单位基本情况</w:t>
      </w:r>
    </w:p>
    <w:p>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单位名称：</w:t>
      </w:r>
      <w:r>
        <w:rPr>
          <w:rFonts w:hint="eastAsia" w:ascii="宋体" w:hAnsi="宋体" w:cs="宋体"/>
          <w:szCs w:val="21"/>
          <w:u w:val="single"/>
        </w:rPr>
        <w:t xml:space="preserve">                           </w:t>
      </w:r>
      <w:r>
        <w:rPr>
          <w:rFonts w:hint="eastAsia" w:ascii="宋体" w:hAnsi="宋体" w:cs="宋体"/>
          <w:szCs w:val="21"/>
        </w:rPr>
        <w:t xml:space="preserve">  电话号码：</w:t>
      </w:r>
      <w:r>
        <w:rPr>
          <w:rFonts w:hint="eastAsia" w:ascii="宋体" w:hAnsi="宋体" w:cs="宋体"/>
          <w:szCs w:val="21"/>
          <w:u w:val="single"/>
        </w:rPr>
        <w:t xml:space="preserve">             </w:t>
      </w:r>
      <w:r>
        <w:rPr>
          <w:rFonts w:hint="eastAsia" w:ascii="宋体" w:hAnsi="宋体" w:cs="宋体"/>
          <w:szCs w:val="21"/>
        </w:rPr>
        <w:t xml:space="preserve"> </w:t>
      </w:r>
    </w:p>
    <w:p>
      <w:pPr>
        <w:numPr>
          <w:ilvl w:val="1"/>
          <w:numId w:val="32"/>
        </w:numPr>
        <w:tabs>
          <w:tab w:val="left" w:pos="420"/>
          <w:tab w:val="clear" w:pos="840"/>
        </w:tabs>
        <w:spacing w:line="360" w:lineRule="auto"/>
        <w:ind w:left="420"/>
        <w:rPr>
          <w:rFonts w:ascii="宋体" w:hAnsi="宋体" w:cs="宋体"/>
          <w:szCs w:val="21"/>
          <w:u w:val="single"/>
        </w:rPr>
      </w:pPr>
      <w:r>
        <w:rPr>
          <w:rFonts w:hint="eastAsia" w:ascii="宋体" w:hAnsi="宋体" w:cs="宋体"/>
          <w:szCs w:val="21"/>
        </w:rPr>
        <w:t>地    址：</w:t>
      </w:r>
      <w:r>
        <w:rPr>
          <w:rFonts w:hint="eastAsia" w:ascii="宋体" w:hAnsi="宋体" w:cs="宋体"/>
          <w:szCs w:val="21"/>
          <w:u w:val="single"/>
        </w:rPr>
        <w:t xml:space="preserve">                           </w:t>
      </w:r>
      <w:r>
        <w:rPr>
          <w:rFonts w:hint="eastAsia" w:ascii="宋体" w:hAnsi="宋体" w:cs="宋体"/>
          <w:szCs w:val="21"/>
        </w:rPr>
        <w:t xml:space="preserve">  传    真：</w:t>
      </w:r>
      <w:r>
        <w:rPr>
          <w:rFonts w:hint="eastAsia" w:ascii="宋体" w:hAnsi="宋体" w:cs="宋体"/>
          <w:szCs w:val="21"/>
          <w:u w:val="single"/>
        </w:rPr>
        <w:t xml:space="preserve">              </w:t>
      </w:r>
    </w:p>
    <w:p>
      <w:pPr>
        <w:numPr>
          <w:ilvl w:val="1"/>
          <w:numId w:val="32"/>
        </w:numPr>
        <w:tabs>
          <w:tab w:val="left" w:pos="420"/>
          <w:tab w:val="clear" w:pos="840"/>
        </w:tabs>
        <w:spacing w:line="360" w:lineRule="auto"/>
        <w:ind w:left="420"/>
        <w:rPr>
          <w:rFonts w:ascii="宋体" w:hAnsi="宋体" w:cs="宋体"/>
          <w:szCs w:val="21"/>
          <w:u w:val="single"/>
        </w:rPr>
      </w:pPr>
      <w:r>
        <w:rPr>
          <w:rFonts w:hint="eastAsia" w:ascii="宋体" w:hAnsi="宋体" w:cs="宋体"/>
          <w:szCs w:val="21"/>
        </w:rPr>
        <w:t>注册资金：</w:t>
      </w:r>
      <w:r>
        <w:rPr>
          <w:rFonts w:hint="eastAsia" w:ascii="宋体" w:hAnsi="宋体" w:cs="宋体"/>
          <w:szCs w:val="21"/>
          <w:u w:val="single"/>
        </w:rPr>
        <w:t xml:space="preserve">                           </w:t>
      </w:r>
      <w:r>
        <w:rPr>
          <w:rFonts w:hint="eastAsia" w:ascii="宋体" w:hAnsi="宋体" w:cs="宋体"/>
          <w:szCs w:val="21"/>
        </w:rPr>
        <w:t xml:space="preserve">  经济性质：</w:t>
      </w:r>
      <w:r>
        <w:rPr>
          <w:rFonts w:hint="eastAsia" w:ascii="宋体" w:hAnsi="宋体" w:cs="宋体"/>
          <w:szCs w:val="21"/>
          <w:u w:val="single"/>
        </w:rPr>
        <w:t xml:space="preserve">              </w:t>
      </w:r>
    </w:p>
    <w:p>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 xml:space="preserve">单位开户银行名称及账号：     </w:t>
      </w:r>
    </w:p>
    <w:p>
      <w:pPr>
        <w:numPr>
          <w:ilvl w:val="1"/>
          <w:numId w:val="32"/>
        </w:numPr>
        <w:tabs>
          <w:tab w:val="left" w:pos="420"/>
          <w:tab w:val="clear" w:pos="840"/>
        </w:tabs>
        <w:spacing w:line="360" w:lineRule="auto"/>
        <w:ind w:left="420"/>
        <w:rPr>
          <w:rFonts w:ascii="宋体" w:hAnsi="宋体" w:cs="宋体"/>
          <w:szCs w:val="21"/>
        </w:rPr>
      </w:pPr>
      <w:r>
        <w:rPr>
          <w:rFonts w:hint="eastAsia" w:ascii="宋体" w:hAnsi="宋体" w:cs="宋体"/>
          <w:szCs w:val="21"/>
        </w:rPr>
        <w:t xml:space="preserve">营业注册执照号：   </w:t>
      </w:r>
    </w:p>
    <w:p>
      <w:pPr>
        <w:numPr>
          <w:ilvl w:val="1"/>
          <w:numId w:val="32"/>
        </w:numPr>
        <w:tabs>
          <w:tab w:val="left" w:pos="420"/>
          <w:tab w:val="clear" w:pos="840"/>
        </w:tabs>
        <w:spacing w:line="360" w:lineRule="auto"/>
        <w:ind w:left="420" w:right="279" w:rightChars="133"/>
        <w:rPr>
          <w:rFonts w:ascii="宋体" w:hAnsi="宋体" w:cs="宋体"/>
          <w:szCs w:val="21"/>
        </w:rPr>
      </w:pPr>
      <w:r>
        <w:rPr>
          <w:rFonts w:hint="eastAsia" w:ascii="宋体" w:hAnsi="宋体" w:cs="宋体"/>
          <w:szCs w:val="21"/>
        </w:rPr>
        <w:t>单位简介</w:t>
      </w:r>
    </w:p>
    <w:p>
      <w:pPr>
        <w:spacing w:line="360" w:lineRule="auto"/>
        <w:ind w:left="360" w:right="279" w:rightChars="133"/>
        <w:rPr>
          <w:rFonts w:ascii="宋体" w:hAnsi="宋体" w:cs="宋体"/>
          <w:szCs w:val="21"/>
        </w:rPr>
      </w:pPr>
      <w:r>
        <w:rPr>
          <w:rFonts w:hint="eastAsia" w:ascii="宋体" w:hAnsi="宋体" w:cs="宋体"/>
          <w:szCs w:val="21"/>
        </w:rPr>
        <w:t>文字描述：</w:t>
      </w:r>
      <w:r>
        <w:rPr>
          <w:rFonts w:hint="eastAsia" w:ascii="宋体" w:hAnsi="宋体" w:cs="宋体"/>
          <w:bCs/>
          <w:szCs w:val="21"/>
          <w:lang w:val="en-GB"/>
        </w:rPr>
        <w:t>发展历程、经营规模及服务理念</w:t>
      </w:r>
      <w:r>
        <w:rPr>
          <w:rFonts w:hint="eastAsia" w:ascii="宋体" w:hAnsi="宋体" w:cs="宋体"/>
          <w:szCs w:val="21"/>
        </w:rPr>
        <w:t>、技术力量、财务状况、管理水平等方面进行阐述。</w:t>
      </w:r>
    </w:p>
    <w:p>
      <w:pPr>
        <w:numPr>
          <w:ilvl w:val="0"/>
          <w:numId w:val="32"/>
        </w:numPr>
        <w:spacing w:line="360" w:lineRule="auto"/>
        <w:ind w:right="279" w:rightChars="133"/>
        <w:rPr>
          <w:rFonts w:ascii="宋体" w:hAnsi="宋体" w:cs="宋体"/>
          <w:szCs w:val="21"/>
        </w:rPr>
      </w:pPr>
      <w:r>
        <w:rPr>
          <w:rFonts w:hint="eastAsia" w:ascii="宋体" w:hAnsi="宋体" w:cs="宋体"/>
          <w:szCs w:val="21"/>
        </w:rPr>
        <w:t>投标人获得国家有关部门颁发的资质：</w:t>
      </w:r>
    </w:p>
    <w:tbl>
      <w:tblPr>
        <w:tblStyle w:val="5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295"/>
        <w:gridCol w:w="1805"/>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91" w:type="dxa"/>
            <w:tcBorders>
              <w:top w:val="single" w:color="auto" w:sz="12" w:space="0"/>
              <w:left w:val="single" w:color="auto" w:sz="12" w:space="0"/>
            </w:tcBorders>
          </w:tcPr>
          <w:p>
            <w:pPr>
              <w:jc w:val="center"/>
              <w:rPr>
                <w:rFonts w:ascii="宋体" w:hAnsi="宋体" w:cs="宋体"/>
                <w:szCs w:val="21"/>
              </w:rPr>
            </w:pPr>
            <w:r>
              <w:rPr>
                <w:rFonts w:hint="eastAsia" w:ascii="宋体" w:hAnsi="宋体" w:cs="宋体"/>
                <w:szCs w:val="21"/>
              </w:rPr>
              <w:t>证书名称</w:t>
            </w:r>
          </w:p>
        </w:tc>
        <w:tc>
          <w:tcPr>
            <w:tcW w:w="2295" w:type="dxa"/>
            <w:tcBorders>
              <w:top w:val="single" w:color="auto" w:sz="12" w:space="0"/>
            </w:tcBorders>
          </w:tcPr>
          <w:p>
            <w:pPr>
              <w:jc w:val="center"/>
              <w:rPr>
                <w:rFonts w:ascii="宋体" w:hAnsi="宋体" w:cs="宋体"/>
                <w:szCs w:val="21"/>
              </w:rPr>
            </w:pPr>
            <w:r>
              <w:rPr>
                <w:rFonts w:hint="eastAsia" w:ascii="宋体" w:hAnsi="宋体" w:cs="宋体"/>
                <w:szCs w:val="21"/>
              </w:rPr>
              <w:t>发证单位</w:t>
            </w:r>
          </w:p>
        </w:tc>
        <w:tc>
          <w:tcPr>
            <w:tcW w:w="1805" w:type="dxa"/>
            <w:tcBorders>
              <w:top w:val="single" w:color="auto" w:sz="12" w:space="0"/>
            </w:tcBorders>
          </w:tcPr>
          <w:p>
            <w:pPr>
              <w:jc w:val="center"/>
              <w:rPr>
                <w:rFonts w:ascii="宋体" w:hAnsi="宋体" w:cs="宋体"/>
                <w:szCs w:val="21"/>
              </w:rPr>
            </w:pPr>
            <w:r>
              <w:rPr>
                <w:rFonts w:hint="eastAsia" w:ascii="宋体" w:hAnsi="宋体" w:cs="宋体"/>
                <w:szCs w:val="21"/>
              </w:rPr>
              <w:t>证书等级</w:t>
            </w:r>
          </w:p>
        </w:tc>
        <w:tc>
          <w:tcPr>
            <w:tcW w:w="2239" w:type="dxa"/>
            <w:tcBorders>
              <w:top w:val="single" w:color="auto" w:sz="12" w:space="0"/>
              <w:right w:val="single" w:color="auto" w:sz="12" w:space="0"/>
            </w:tcBorders>
          </w:tcPr>
          <w:p>
            <w:pPr>
              <w:jc w:val="center"/>
              <w:rPr>
                <w:rFonts w:ascii="宋体" w:hAnsi="宋体" w:cs="宋体"/>
                <w:szCs w:val="21"/>
              </w:rPr>
            </w:pPr>
            <w:r>
              <w:rPr>
                <w:rFonts w:hint="eastAsia" w:ascii="宋体" w:hAnsi="宋体" w:cs="宋体"/>
                <w:szCs w:val="21"/>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tcBorders>
          </w:tcPr>
          <w:p>
            <w:pPr>
              <w:spacing w:line="360" w:lineRule="auto"/>
              <w:jc w:val="center"/>
              <w:rPr>
                <w:rFonts w:ascii="宋体" w:hAnsi="宋体" w:cs="宋体"/>
                <w:szCs w:val="21"/>
              </w:rPr>
            </w:pPr>
          </w:p>
        </w:tc>
        <w:tc>
          <w:tcPr>
            <w:tcW w:w="2295" w:type="dxa"/>
          </w:tcPr>
          <w:p>
            <w:pPr>
              <w:spacing w:line="360" w:lineRule="auto"/>
              <w:jc w:val="center"/>
              <w:rPr>
                <w:rFonts w:ascii="宋体" w:hAnsi="宋体" w:cs="宋体"/>
                <w:szCs w:val="21"/>
              </w:rPr>
            </w:pPr>
          </w:p>
        </w:tc>
        <w:tc>
          <w:tcPr>
            <w:tcW w:w="1805" w:type="dxa"/>
          </w:tcPr>
          <w:p>
            <w:pPr>
              <w:spacing w:line="360" w:lineRule="auto"/>
              <w:jc w:val="center"/>
              <w:rPr>
                <w:rFonts w:ascii="宋体" w:hAnsi="宋体" w:cs="宋体"/>
                <w:szCs w:val="21"/>
              </w:rPr>
            </w:pPr>
          </w:p>
        </w:tc>
        <w:tc>
          <w:tcPr>
            <w:tcW w:w="2239" w:type="dxa"/>
            <w:tcBorders>
              <w:right w:val="single" w:color="auto" w:sz="12" w:space="0"/>
            </w:tcBorders>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bottom w:val="single" w:color="auto" w:sz="12" w:space="0"/>
            </w:tcBorders>
          </w:tcPr>
          <w:p>
            <w:pPr>
              <w:spacing w:line="360" w:lineRule="auto"/>
              <w:jc w:val="center"/>
              <w:rPr>
                <w:rFonts w:ascii="宋体" w:hAnsi="宋体" w:cs="宋体"/>
                <w:szCs w:val="21"/>
              </w:rPr>
            </w:pPr>
          </w:p>
        </w:tc>
        <w:tc>
          <w:tcPr>
            <w:tcW w:w="2295" w:type="dxa"/>
            <w:tcBorders>
              <w:bottom w:val="single" w:color="auto" w:sz="12" w:space="0"/>
            </w:tcBorders>
          </w:tcPr>
          <w:p>
            <w:pPr>
              <w:spacing w:line="360" w:lineRule="auto"/>
              <w:jc w:val="center"/>
              <w:rPr>
                <w:rFonts w:ascii="宋体" w:hAnsi="宋体" w:cs="宋体"/>
                <w:szCs w:val="21"/>
              </w:rPr>
            </w:pPr>
          </w:p>
        </w:tc>
        <w:tc>
          <w:tcPr>
            <w:tcW w:w="1805" w:type="dxa"/>
            <w:tcBorders>
              <w:bottom w:val="single" w:color="auto" w:sz="12" w:space="0"/>
            </w:tcBorders>
          </w:tcPr>
          <w:p>
            <w:pPr>
              <w:spacing w:line="360" w:lineRule="auto"/>
              <w:jc w:val="center"/>
              <w:rPr>
                <w:rFonts w:ascii="宋体" w:hAnsi="宋体" w:cs="宋体"/>
                <w:szCs w:val="21"/>
              </w:rPr>
            </w:pPr>
          </w:p>
        </w:tc>
        <w:tc>
          <w:tcPr>
            <w:tcW w:w="2239" w:type="dxa"/>
            <w:tcBorders>
              <w:bottom w:val="single" w:color="auto" w:sz="12" w:space="0"/>
              <w:right w:val="single" w:color="auto" w:sz="12" w:space="0"/>
            </w:tcBorders>
          </w:tcPr>
          <w:p>
            <w:pPr>
              <w:spacing w:line="360" w:lineRule="auto"/>
              <w:jc w:val="center"/>
              <w:rPr>
                <w:rFonts w:ascii="宋体" w:hAnsi="宋体" w:cs="宋体"/>
                <w:szCs w:val="21"/>
              </w:rPr>
            </w:pPr>
          </w:p>
        </w:tc>
      </w:tr>
    </w:tbl>
    <w:p>
      <w:pPr>
        <w:adjustRightInd w:val="0"/>
        <w:snapToGrid w:val="0"/>
        <w:spacing w:before="240" w:beforeLines="100" w:line="360" w:lineRule="auto"/>
        <w:rPr>
          <w:rFonts w:ascii="宋体" w:hAnsi="宋体" w:cs="宋体"/>
          <w:szCs w:val="21"/>
        </w:rPr>
      </w:pPr>
      <w:r>
        <w:rPr>
          <w:rFonts w:hint="eastAsia" w:ascii="宋体" w:hAnsi="宋体" w:cs="宋体"/>
          <w:szCs w:val="21"/>
        </w:rPr>
        <w:t>我/我们声明以上所述是正确无误的，您有权进行您认为必要的所有调查。</w:t>
      </w:r>
    </w:p>
    <w:p>
      <w:pPr>
        <w:spacing w:line="500" w:lineRule="exact"/>
        <w:ind w:firstLine="420" w:firstLineChars="200"/>
        <w:rPr>
          <w:rFonts w:ascii="宋体" w:hAnsi="宋体" w:cs="宋体"/>
          <w:szCs w:val="21"/>
        </w:rPr>
      </w:pPr>
      <w:bookmarkStart w:id="112" w:name="_Toc43264525"/>
    </w:p>
    <w:p>
      <w:pPr>
        <w:spacing w:line="500" w:lineRule="exact"/>
        <w:ind w:firstLine="420" w:firstLineChars="200"/>
        <w:rPr>
          <w:rFonts w:ascii="宋体" w:hAnsi="宋体" w:cs="宋体"/>
          <w:szCs w:val="21"/>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20" w:lineRule="exact"/>
        <w:rPr>
          <w:spacing w:val="4"/>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40" w:lineRule="exact"/>
        <w:rPr>
          <w:rFonts w:ascii="宋体" w:hAnsi="宋体" w:cs="宋体"/>
          <w:bCs/>
          <w:sz w:val="25"/>
          <w:szCs w:val="25"/>
        </w:rPr>
      </w:pPr>
    </w:p>
    <w:p>
      <w:pPr>
        <w:pStyle w:val="7"/>
        <w:rPr>
          <w:rFonts w:ascii="宋体" w:hAnsi="宋体" w:eastAsia="宋体" w:cs="宋体"/>
          <w:bCs/>
          <w:color w:val="auto"/>
          <w:sz w:val="25"/>
          <w:szCs w:val="25"/>
        </w:rPr>
      </w:pPr>
    </w:p>
    <w:p>
      <w:pPr>
        <w:pStyle w:val="7"/>
        <w:rPr>
          <w:rFonts w:ascii="宋体" w:hAnsi="宋体" w:eastAsia="宋体" w:cs="宋体"/>
          <w:bCs/>
          <w:color w:val="auto"/>
          <w:sz w:val="25"/>
          <w:szCs w:val="25"/>
        </w:rPr>
        <w:sectPr>
          <w:pgSz w:w="11906" w:h="16838"/>
          <w:pgMar w:top="1440" w:right="1418" w:bottom="1440" w:left="1418" w:header="657" w:footer="481" w:gutter="0"/>
          <w:pgNumType w:fmt="numberInDash"/>
          <w:cols w:space="720" w:num="1"/>
          <w:docGrid w:linePitch="312" w:charSpace="0"/>
        </w:sectPr>
      </w:pPr>
    </w:p>
    <w:p>
      <w:pPr>
        <w:numPr>
          <w:ilvl w:val="0"/>
          <w:numId w:val="27"/>
        </w:numPr>
        <w:spacing w:line="440" w:lineRule="exact"/>
        <w:rPr>
          <w:rFonts w:ascii="宋体" w:hAnsi="宋体" w:cs="宋体"/>
          <w:bCs/>
          <w:sz w:val="25"/>
          <w:szCs w:val="25"/>
        </w:rPr>
      </w:pPr>
    </w:p>
    <w:bookmarkEnd w:id="112"/>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2018年至今挖土方、回填土石方相关经验情况一览表</w:t>
      </w:r>
    </w:p>
    <w:p>
      <w:pPr>
        <w:widowControl/>
        <w:wordWrap w:val="0"/>
        <w:spacing w:line="360" w:lineRule="auto"/>
        <w:jc w:val="left"/>
        <w:rPr>
          <w:rFonts w:ascii="宋体" w:hAnsi="宋体"/>
          <w:color w:val="FF0000"/>
        </w:rPr>
      </w:pPr>
      <w:r>
        <w:rPr>
          <w:rFonts w:hint="eastAsia" w:ascii="宋体" w:hAnsi="宋体"/>
        </w:rPr>
        <w:t xml:space="preserve">投标人名称：                     </w:t>
      </w:r>
      <w:r>
        <w:rPr>
          <w:rFonts w:hint="eastAsia" w:ascii="宋体" w:hAnsi="宋体"/>
          <w:color w:val="FF0000"/>
        </w:rPr>
        <w:t xml:space="preserve">             </w:t>
      </w:r>
      <w:r>
        <w:rPr>
          <w:rFonts w:hint="eastAsia" w:ascii="宋体" w:hAnsi="宋体"/>
        </w:rPr>
        <w:t xml:space="preserve">      项目编号：</w:t>
      </w:r>
    </w:p>
    <w:tbl>
      <w:tblPr>
        <w:tblStyle w:val="50"/>
        <w:tblW w:w="90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1260"/>
        <w:gridCol w:w="1330"/>
        <w:gridCol w:w="1690"/>
        <w:gridCol w:w="1260"/>
        <w:gridCol w:w="1690"/>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dxa"/>
            <w:tcBorders>
              <w:top w:val="single" w:color="auto" w:sz="12" w:space="0"/>
              <w:bottom w:val="double" w:color="auto" w:sz="4" w:space="0"/>
            </w:tcBorders>
            <w:shd w:val="clear" w:color="auto" w:fill="EEECE1"/>
            <w:vAlign w:val="center"/>
          </w:tcPr>
          <w:p>
            <w:pPr>
              <w:adjustRightInd w:val="0"/>
              <w:snapToGrid w:val="0"/>
              <w:ind w:left="-69" w:leftChars="-33" w:right="-97" w:rightChars="-46"/>
              <w:jc w:val="center"/>
            </w:pPr>
            <w:r>
              <w:rPr>
                <w:rFonts w:hint="eastAsia"/>
              </w:rPr>
              <w:t>序号</w:t>
            </w:r>
          </w:p>
        </w:tc>
        <w:tc>
          <w:tcPr>
            <w:tcW w:w="126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业主名称</w:t>
            </w:r>
          </w:p>
        </w:tc>
        <w:tc>
          <w:tcPr>
            <w:tcW w:w="133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项目名称</w:t>
            </w:r>
          </w:p>
        </w:tc>
        <w:tc>
          <w:tcPr>
            <w:tcW w:w="169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服务内容</w:t>
            </w:r>
          </w:p>
        </w:tc>
        <w:tc>
          <w:tcPr>
            <w:tcW w:w="126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合同总价</w:t>
            </w:r>
          </w:p>
        </w:tc>
        <w:tc>
          <w:tcPr>
            <w:tcW w:w="1690"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签约及完成时间</w:t>
            </w:r>
          </w:p>
        </w:tc>
        <w:tc>
          <w:tcPr>
            <w:tcW w:w="1239" w:type="dxa"/>
            <w:tcBorders>
              <w:top w:val="single" w:color="auto" w:sz="12" w:space="0"/>
              <w:bottom w:val="double" w:color="auto" w:sz="4" w:space="0"/>
            </w:tcBorders>
            <w:shd w:val="clear" w:color="auto" w:fill="EEECE1"/>
            <w:vAlign w:val="center"/>
          </w:tcPr>
          <w:p>
            <w:pPr>
              <w:adjustRightInd w:val="0"/>
              <w:snapToGrid w:val="0"/>
              <w:jc w:val="center"/>
            </w:pPr>
            <w:r>
              <w:rPr>
                <w:rFonts w:hint="eastAsia"/>
              </w:rPr>
              <w:t>单位联系人及电话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tcBorders>
              <w:top w:val="double" w:color="auto" w:sz="4" w:space="0"/>
            </w:tcBorders>
            <w:vAlign w:val="center"/>
          </w:tcPr>
          <w:p>
            <w:pPr>
              <w:spacing w:line="400" w:lineRule="exact"/>
              <w:jc w:val="center"/>
            </w:pPr>
          </w:p>
        </w:tc>
        <w:tc>
          <w:tcPr>
            <w:tcW w:w="1260" w:type="dxa"/>
            <w:tcBorders>
              <w:top w:val="double" w:color="auto" w:sz="4" w:space="0"/>
            </w:tcBorders>
            <w:vAlign w:val="center"/>
          </w:tcPr>
          <w:p>
            <w:pPr>
              <w:spacing w:line="400" w:lineRule="exact"/>
              <w:jc w:val="center"/>
            </w:pPr>
          </w:p>
        </w:tc>
        <w:tc>
          <w:tcPr>
            <w:tcW w:w="1330" w:type="dxa"/>
            <w:tcBorders>
              <w:top w:val="double" w:color="auto" w:sz="4" w:space="0"/>
            </w:tcBorders>
            <w:vAlign w:val="center"/>
          </w:tcPr>
          <w:p>
            <w:pPr>
              <w:spacing w:line="400" w:lineRule="exact"/>
              <w:jc w:val="center"/>
            </w:pPr>
          </w:p>
        </w:tc>
        <w:tc>
          <w:tcPr>
            <w:tcW w:w="1690" w:type="dxa"/>
            <w:tcBorders>
              <w:top w:val="double" w:color="auto" w:sz="4" w:space="0"/>
            </w:tcBorders>
            <w:vAlign w:val="center"/>
          </w:tcPr>
          <w:p>
            <w:pPr>
              <w:spacing w:line="400" w:lineRule="exact"/>
              <w:jc w:val="center"/>
            </w:pPr>
          </w:p>
        </w:tc>
        <w:tc>
          <w:tcPr>
            <w:tcW w:w="1260" w:type="dxa"/>
            <w:tcBorders>
              <w:top w:val="double" w:color="auto" w:sz="4" w:space="0"/>
            </w:tcBorders>
            <w:vAlign w:val="center"/>
          </w:tcPr>
          <w:p>
            <w:pPr>
              <w:spacing w:line="400" w:lineRule="exact"/>
              <w:jc w:val="center"/>
            </w:pPr>
          </w:p>
        </w:tc>
        <w:tc>
          <w:tcPr>
            <w:tcW w:w="1690" w:type="dxa"/>
            <w:tcBorders>
              <w:top w:val="double" w:color="auto" w:sz="4" w:space="0"/>
            </w:tcBorders>
            <w:vAlign w:val="center"/>
          </w:tcPr>
          <w:p>
            <w:pPr>
              <w:spacing w:line="400" w:lineRule="exact"/>
              <w:jc w:val="center"/>
            </w:pPr>
          </w:p>
        </w:tc>
        <w:tc>
          <w:tcPr>
            <w:tcW w:w="1239" w:type="dxa"/>
            <w:tcBorders>
              <w:top w:val="double" w:color="auto" w:sz="4" w:space="0"/>
            </w:tcBorders>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pPr>
          </w:p>
        </w:tc>
        <w:tc>
          <w:tcPr>
            <w:tcW w:w="1260" w:type="dxa"/>
            <w:vAlign w:val="center"/>
          </w:tcPr>
          <w:p>
            <w:pPr>
              <w:spacing w:line="400" w:lineRule="exact"/>
              <w:jc w:val="center"/>
            </w:pPr>
          </w:p>
        </w:tc>
        <w:tc>
          <w:tcPr>
            <w:tcW w:w="1330" w:type="dxa"/>
            <w:vAlign w:val="center"/>
          </w:tcPr>
          <w:p>
            <w:pPr>
              <w:spacing w:line="400" w:lineRule="exact"/>
              <w:jc w:val="center"/>
            </w:pPr>
          </w:p>
        </w:tc>
        <w:tc>
          <w:tcPr>
            <w:tcW w:w="1690" w:type="dxa"/>
            <w:vAlign w:val="center"/>
          </w:tcPr>
          <w:p>
            <w:pPr>
              <w:spacing w:line="400" w:lineRule="exact"/>
              <w:jc w:val="center"/>
            </w:pPr>
          </w:p>
        </w:tc>
        <w:tc>
          <w:tcPr>
            <w:tcW w:w="1260" w:type="dxa"/>
            <w:vAlign w:val="center"/>
          </w:tcPr>
          <w:p>
            <w:pPr>
              <w:spacing w:line="400" w:lineRule="exact"/>
              <w:jc w:val="center"/>
            </w:pPr>
          </w:p>
        </w:tc>
        <w:tc>
          <w:tcPr>
            <w:tcW w:w="1690" w:type="dxa"/>
            <w:vAlign w:val="center"/>
          </w:tcPr>
          <w:p>
            <w:pPr>
              <w:spacing w:line="400" w:lineRule="exact"/>
              <w:jc w:val="center"/>
            </w:pPr>
          </w:p>
        </w:tc>
        <w:tc>
          <w:tcPr>
            <w:tcW w:w="1239" w:type="dxa"/>
            <w:vAlign w:val="center"/>
          </w:tcPr>
          <w:p>
            <w:pPr>
              <w:spacing w:line="400" w:lineRule="exact"/>
              <w:jc w:val="center"/>
            </w:pPr>
          </w:p>
        </w:tc>
      </w:tr>
    </w:tbl>
    <w:p>
      <w:pPr>
        <w:adjustRightInd w:val="0"/>
        <w:snapToGrid w:val="0"/>
        <w:spacing w:line="360" w:lineRule="auto"/>
        <w:ind w:left="620" w:hanging="620" w:hangingChars="294"/>
        <w:rPr>
          <w:b/>
          <w:bCs/>
        </w:rPr>
      </w:pPr>
    </w:p>
    <w:p>
      <w:pPr>
        <w:adjustRightInd w:val="0"/>
        <w:snapToGrid w:val="0"/>
        <w:spacing w:line="360" w:lineRule="auto"/>
        <w:ind w:left="620" w:hanging="620" w:hangingChars="294"/>
        <w:rPr>
          <w:rFonts w:ascii="宋体" w:hAnsi="宋体" w:cs="宋体"/>
          <w:b/>
          <w:color w:val="FF0000"/>
          <w:sz w:val="25"/>
          <w:szCs w:val="25"/>
        </w:rPr>
      </w:pPr>
      <w:r>
        <w:rPr>
          <w:rFonts w:hint="eastAsia"/>
          <w:b/>
          <w:bCs/>
        </w:rPr>
        <w:t>备注：</w:t>
      </w:r>
      <w:r>
        <w:rPr>
          <w:rFonts w:hint="eastAsia" w:ascii="宋体" w:hAnsi="宋体" w:cs="宋体"/>
          <w:b/>
          <w:szCs w:val="21"/>
        </w:rPr>
        <w:t>需提供成交/中标通知书或合同关键页(含签订合同双方的单位名称、合同项目名称、项目金额与含签订合同双方的落款盖章、签订日期的关键页）复印件并加盖公章作为证明文件。</w:t>
      </w:r>
    </w:p>
    <w:p>
      <w:pPr>
        <w:spacing w:line="500" w:lineRule="exact"/>
        <w:rPr>
          <w:rFonts w:ascii="宋体" w:hAnsi="宋体" w:cs="宋体"/>
          <w:sz w:val="25"/>
          <w:szCs w:val="25"/>
        </w:rPr>
      </w:pPr>
    </w:p>
    <w:p>
      <w:pPr>
        <w:spacing w:line="500" w:lineRule="exact"/>
        <w:rPr>
          <w:rFonts w:ascii="宋体" w:hAnsi="宋体" w:cs="宋体"/>
          <w:sz w:val="25"/>
          <w:szCs w:val="25"/>
        </w:rPr>
      </w:pPr>
    </w:p>
    <w:p>
      <w:pPr>
        <w:spacing w:line="500" w:lineRule="exact"/>
        <w:rPr>
          <w:rFonts w:ascii="宋体" w:hAnsi="宋体"/>
          <w:color w:val="000000"/>
          <w:u w:val="single"/>
        </w:rPr>
      </w:pPr>
      <w:r>
        <w:rPr>
          <w:rFonts w:hint="eastAsia"/>
          <w:spacing w:val="4"/>
        </w:rPr>
        <w:t>投标人名称（盖公章）：</w:t>
      </w:r>
      <w:r>
        <w:rPr>
          <w:rFonts w:hint="eastAsia"/>
          <w:spacing w:val="4"/>
          <w:u w:val="single"/>
        </w:rPr>
        <w:t xml:space="preserve">                             </w:t>
      </w:r>
    </w:p>
    <w:p>
      <w:pPr>
        <w:rPr>
          <w:spacing w:val="4"/>
        </w:rPr>
      </w:pPr>
    </w:p>
    <w:p>
      <w:pPr>
        <w:spacing w:line="500" w:lineRule="exact"/>
        <w:rPr>
          <w:rFonts w:ascii="宋体" w:hAnsi="宋体" w:cs="宋体"/>
          <w:sz w:val="25"/>
          <w:szCs w:val="25"/>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p>
      <w:pPr>
        <w:spacing w:line="440" w:lineRule="exact"/>
        <w:rPr>
          <w:rFonts w:ascii="宋体" w:hAnsi="宋体" w:cs="宋体"/>
          <w:spacing w:val="4"/>
          <w:sz w:val="25"/>
          <w:szCs w:val="25"/>
        </w:rPr>
      </w:pPr>
    </w:p>
    <w:p>
      <w:pPr>
        <w:pStyle w:val="7"/>
        <w:rPr>
          <w:rFonts w:ascii="宋体" w:hAnsi="宋体" w:eastAsia="宋体" w:cs="宋体"/>
          <w:color w:val="auto"/>
          <w:spacing w:val="4"/>
          <w:sz w:val="25"/>
          <w:szCs w:val="25"/>
        </w:rPr>
      </w:pPr>
    </w:p>
    <w:p>
      <w:pPr>
        <w:pStyle w:val="7"/>
        <w:rPr>
          <w:rFonts w:ascii="宋体" w:hAnsi="宋体" w:eastAsia="宋体" w:cs="宋体"/>
          <w:color w:val="auto"/>
          <w:spacing w:val="4"/>
          <w:sz w:val="25"/>
          <w:szCs w:val="25"/>
        </w:rPr>
        <w:sectPr>
          <w:pgSz w:w="11906" w:h="16838"/>
          <w:pgMar w:top="1440" w:right="1418" w:bottom="1440" w:left="1418" w:header="657" w:footer="481" w:gutter="0"/>
          <w:pgNumType w:fmt="numberInDash"/>
          <w:cols w:space="720" w:num="1"/>
          <w:docGrid w:linePitch="312" w:charSpace="0"/>
        </w:sectPr>
      </w:pPr>
    </w:p>
    <w:p>
      <w:pPr>
        <w:numPr>
          <w:ilvl w:val="0"/>
          <w:numId w:val="27"/>
        </w:numPr>
        <w:spacing w:line="440" w:lineRule="exact"/>
        <w:rPr>
          <w:rFonts w:ascii="宋体" w:hAnsi="宋体" w:cs="宋体"/>
          <w:spacing w:val="4"/>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项目负责人及服务团队成员一览表</w:t>
      </w:r>
    </w:p>
    <w:p>
      <w:pPr>
        <w:widowControl/>
        <w:wordWrap w:val="0"/>
        <w:spacing w:line="360" w:lineRule="auto"/>
        <w:jc w:val="left"/>
        <w:rPr>
          <w:rFonts w:ascii="宋体" w:hAnsi="宋体"/>
          <w:color w:val="000000"/>
        </w:rPr>
      </w:pPr>
      <w:r>
        <w:rPr>
          <w:rFonts w:hint="eastAsia" w:ascii="宋体" w:hAnsi="宋体"/>
        </w:rPr>
        <w:t xml:space="preserve">投标人名称：                     </w:t>
      </w:r>
      <w:r>
        <w:rPr>
          <w:rFonts w:hint="eastAsia" w:ascii="宋体" w:hAnsi="宋体"/>
          <w:color w:val="FF0000"/>
        </w:rPr>
        <w:t xml:space="preserve">          </w:t>
      </w:r>
      <w:r>
        <w:rPr>
          <w:rFonts w:hint="eastAsia" w:ascii="宋体" w:hAnsi="宋体"/>
        </w:rPr>
        <w:t xml:space="preserve">         项目编号</w:t>
      </w:r>
    </w:p>
    <w:tbl>
      <w:tblPr>
        <w:tblStyle w:val="50"/>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375"/>
        <w:gridCol w:w="669"/>
        <w:gridCol w:w="834"/>
        <w:gridCol w:w="834"/>
        <w:gridCol w:w="835"/>
        <w:gridCol w:w="957"/>
        <w:gridCol w:w="1146"/>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序号</w:t>
            </w:r>
          </w:p>
        </w:tc>
        <w:tc>
          <w:tcPr>
            <w:tcW w:w="1375" w:type="dxa"/>
            <w:tcBorders>
              <w:top w:val="single" w:color="auto" w:sz="12" w:space="0"/>
              <w:bottom w:val="double" w:color="auto" w:sz="4" w:space="0"/>
            </w:tcBorders>
            <w:shd w:val="clear" w:color="auto" w:fill="EEECE1"/>
            <w:vAlign w:val="center"/>
          </w:tcPr>
          <w:p>
            <w:pPr>
              <w:pStyle w:val="199"/>
              <w:keepNext w:val="0"/>
              <w:snapToGrid w:val="0"/>
              <w:spacing w:before="0" w:after="0" w:line="240" w:lineRule="auto"/>
              <w:textAlignment w:val="auto"/>
              <w:rPr>
                <w:rFonts w:ascii="宋体" w:hAnsi="宋体"/>
                <w:snapToGrid/>
                <w:spacing w:val="0"/>
                <w:kern w:val="2"/>
                <w:sz w:val="21"/>
                <w:szCs w:val="24"/>
              </w:rPr>
            </w:pPr>
            <w:r>
              <w:rPr>
                <w:rFonts w:hint="eastAsia" w:ascii="宋体" w:hAnsi="宋体"/>
                <w:snapToGrid/>
                <w:spacing w:val="0"/>
                <w:kern w:val="2"/>
                <w:sz w:val="21"/>
                <w:szCs w:val="24"/>
              </w:rPr>
              <w:t>姓名</w:t>
            </w:r>
          </w:p>
        </w:tc>
        <w:tc>
          <w:tcPr>
            <w:tcW w:w="669"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性别</w:t>
            </w:r>
          </w:p>
        </w:tc>
        <w:tc>
          <w:tcPr>
            <w:tcW w:w="834"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年龄</w:t>
            </w:r>
          </w:p>
        </w:tc>
        <w:tc>
          <w:tcPr>
            <w:tcW w:w="834"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学历</w:t>
            </w:r>
          </w:p>
        </w:tc>
        <w:tc>
          <w:tcPr>
            <w:tcW w:w="835"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职称</w:t>
            </w:r>
          </w:p>
        </w:tc>
        <w:tc>
          <w:tcPr>
            <w:tcW w:w="95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专业</w:t>
            </w:r>
          </w:p>
        </w:tc>
        <w:tc>
          <w:tcPr>
            <w:tcW w:w="1146"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经验年限</w:t>
            </w:r>
          </w:p>
        </w:tc>
        <w:tc>
          <w:tcPr>
            <w:tcW w:w="1418"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rPr>
            </w:pPr>
            <w:r>
              <w:rPr>
                <w:rFonts w:hint="eastAsia" w:ascii="宋体" w:hAnsi="宋体"/>
              </w:rPr>
              <w:t>拟担任职务或承担工作内容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tcBorders>
              <w:top w:val="double" w:color="auto" w:sz="4" w:space="0"/>
            </w:tcBorders>
            <w:vAlign w:val="center"/>
          </w:tcPr>
          <w:p>
            <w:pPr>
              <w:spacing w:line="400" w:lineRule="exact"/>
              <w:jc w:val="center"/>
              <w:rPr>
                <w:rFonts w:ascii="宋体" w:hAnsi="宋体"/>
              </w:rPr>
            </w:pPr>
          </w:p>
        </w:tc>
        <w:tc>
          <w:tcPr>
            <w:tcW w:w="1375" w:type="dxa"/>
            <w:tcBorders>
              <w:top w:val="double" w:color="auto" w:sz="4" w:space="0"/>
            </w:tcBorders>
            <w:vAlign w:val="center"/>
          </w:tcPr>
          <w:p>
            <w:pPr>
              <w:spacing w:line="400" w:lineRule="exact"/>
              <w:jc w:val="center"/>
              <w:rPr>
                <w:rFonts w:ascii="宋体" w:hAnsi="宋体"/>
              </w:rPr>
            </w:pPr>
          </w:p>
        </w:tc>
        <w:tc>
          <w:tcPr>
            <w:tcW w:w="669" w:type="dxa"/>
            <w:tcBorders>
              <w:top w:val="double" w:color="auto" w:sz="4" w:space="0"/>
            </w:tcBorders>
            <w:vAlign w:val="center"/>
          </w:tcPr>
          <w:p>
            <w:pPr>
              <w:spacing w:line="400" w:lineRule="exact"/>
              <w:jc w:val="center"/>
              <w:rPr>
                <w:rFonts w:ascii="宋体" w:hAnsi="宋体"/>
              </w:rPr>
            </w:pPr>
          </w:p>
        </w:tc>
        <w:tc>
          <w:tcPr>
            <w:tcW w:w="834" w:type="dxa"/>
            <w:tcBorders>
              <w:top w:val="double" w:color="auto" w:sz="4" w:space="0"/>
            </w:tcBorders>
            <w:vAlign w:val="center"/>
          </w:tcPr>
          <w:p>
            <w:pPr>
              <w:spacing w:line="400" w:lineRule="exact"/>
              <w:jc w:val="center"/>
              <w:rPr>
                <w:rFonts w:ascii="宋体" w:hAnsi="宋体"/>
              </w:rPr>
            </w:pPr>
          </w:p>
        </w:tc>
        <w:tc>
          <w:tcPr>
            <w:tcW w:w="834" w:type="dxa"/>
            <w:tcBorders>
              <w:top w:val="double" w:color="auto" w:sz="4" w:space="0"/>
            </w:tcBorders>
            <w:vAlign w:val="center"/>
          </w:tcPr>
          <w:p>
            <w:pPr>
              <w:spacing w:line="400" w:lineRule="exact"/>
              <w:jc w:val="center"/>
              <w:rPr>
                <w:rFonts w:ascii="宋体" w:hAnsi="宋体"/>
              </w:rPr>
            </w:pPr>
          </w:p>
        </w:tc>
        <w:tc>
          <w:tcPr>
            <w:tcW w:w="835" w:type="dxa"/>
            <w:tcBorders>
              <w:top w:val="double" w:color="auto" w:sz="4" w:space="0"/>
            </w:tcBorders>
            <w:vAlign w:val="center"/>
          </w:tcPr>
          <w:p>
            <w:pPr>
              <w:spacing w:line="400" w:lineRule="exact"/>
              <w:jc w:val="center"/>
              <w:rPr>
                <w:rFonts w:ascii="宋体" w:hAnsi="宋体"/>
              </w:rPr>
            </w:pPr>
          </w:p>
        </w:tc>
        <w:tc>
          <w:tcPr>
            <w:tcW w:w="957" w:type="dxa"/>
            <w:tcBorders>
              <w:top w:val="double" w:color="auto" w:sz="4" w:space="0"/>
            </w:tcBorders>
            <w:vAlign w:val="center"/>
          </w:tcPr>
          <w:p>
            <w:pPr>
              <w:spacing w:line="400" w:lineRule="exact"/>
              <w:jc w:val="center"/>
              <w:rPr>
                <w:rFonts w:ascii="宋体" w:hAnsi="宋体"/>
              </w:rPr>
            </w:pPr>
          </w:p>
        </w:tc>
        <w:tc>
          <w:tcPr>
            <w:tcW w:w="1146" w:type="dxa"/>
            <w:tcBorders>
              <w:top w:val="double" w:color="auto" w:sz="4" w:space="0"/>
            </w:tcBorders>
            <w:vAlign w:val="center"/>
          </w:tcPr>
          <w:p>
            <w:pPr>
              <w:spacing w:line="400" w:lineRule="exact"/>
              <w:jc w:val="center"/>
              <w:rPr>
                <w:rFonts w:ascii="宋体" w:hAnsi="宋体"/>
              </w:rPr>
            </w:pPr>
          </w:p>
        </w:tc>
        <w:tc>
          <w:tcPr>
            <w:tcW w:w="1418" w:type="dxa"/>
            <w:tcBorders>
              <w:top w:val="double" w:color="auto" w:sz="4" w:space="0"/>
            </w:tcBorders>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rPr>
            </w:pPr>
          </w:p>
        </w:tc>
        <w:tc>
          <w:tcPr>
            <w:tcW w:w="1375" w:type="dxa"/>
            <w:vAlign w:val="center"/>
          </w:tcPr>
          <w:p>
            <w:pPr>
              <w:spacing w:line="400" w:lineRule="exact"/>
              <w:jc w:val="center"/>
              <w:rPr>
                <w:rFonts w:ascii="宋体" w:hAnsi="宋体"/>
              </w:rPr>
            </w:pPr>
          </w:p>
        </w:tc>
        <w:tc>
          <w:tcPr>
            <w:tcW w:w="669"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4" w:type="dxa"/>
            <w:vAlign w:val="center"/>
          </w:tcPr>
          <w:p>
            <w:pPr>
              <w:spacing w:line="400" w:lineRule="exact"/>
              <w:jc w:val="center"/>
              <w:rPr>
                <w:rFonts w:ascii="宋体" w:hAnsi="宋体"/>
              </w:rPr>
            </w:pPr>
          </w:p>
        </w:tc>
        <w:tc>
          <w:tcPr>
            <w:tcW w:w="835" w:type="dxa"/>
            <w:vAlign w:val="center"/>
          </w:tcPr>
          <w:p>
            <w:pPr>
              <w:spacing w:line="400" w:lineRule="exact"/>
              <w:jc w:val="center"/>
              <w:rPr>
                <w:rFonts w:ascii="宋体" w:hAnsi="宋体"/>
              </w:rPr>
            </w:pPr>
          </w:p>
        </w:tc>
        <w:tc>
          <w:tcPr>
            <w:tcW w:w="957" w:type="dxa"/>
            <w:vAlign w:val="center"/>
          </w:tcPr>
          <w:p>
            <w:pPr>
              <w:spacing w:line="400" w:lineRule="exact"/>
              <w:jc w:val="center"/>
              <w:rPr>
                <w:rFonts w:ascii="宋体" w:hAnsi="宋体"/>
              </w:rPr>
            </w:pPr>
          </w:p>
        </w:tc>
        <w:tc>
          <w:tcPr>
            <w:tcW w:w="1146" w:type="dxa"/>
            <w:vAlign w:val="center"/>
          </w:tcPr>
          <w:p>
            <w:pPr>
              <w:spacing w:line="400" w:lineRule="exact"/>
              <w:jc w:val="center"/>
              <w:rPr>
                <w:rFonts w:ascii="宋体" w:hAnsi="宋体"/>
              </w:rPr>
            </w:pPr>
          </w:p>
        </w:tc>
        <w:tc>
          <w:tcPr>
            <w:tcW w:w="1418" w:type="dxa"/>
            <w:vAlign w:val="center"/>
          </w:tcPr>
          <w:p>
            <w:pPr>
              <w:spacing w:line="400" w:lineRule="exact"/>
              <w:jc w:val="center"/>
              <w:rPr>
                <w:rFonts w:ascii="宋体" w:hAnsi="宋体"/>
              </w:rPr>
            </w:pPr>
          </w:p>
        </w:tc>
      </w:tr>
    </w:tbl>
    <w:p>
      <w:pPr>
        <w:spacing w:line="500" w:lineRule="exact"/>
        <w:rPr>
          <w:rFonts w:ascii="宋体" w:hAnsi="宋体" w:cs="宋体"/>
          <w:b/>
          <w:bCs/>
          <w:color w:val="FF0000"/>
          <w:szCs w:val="21"/>
        </w:rPr>
      </w:pPr>
      <w:r>
        <w:rPr>
          <w:rFonts w:hint="eastAsia" w:ascii="宋体" w:hAnsi="宋体" w:cs="宋体"/>
          <w:b/>
          <w:bCs/>
          <w:szCs w:val="21"/>
        </w:rPr>
        <w:t>备注</w:t>
      </w:r>
      <w:r>
        <w:rPr>
          <w:rFonts w:hint="eastAsia" w:ascii="宋体" w:hAnsi="宋体" w:cs="宋体"/>
          <w:bCs/>
          <w:szCs w:val="21"/>
        </w:rPr>
        <w:t>：</w:t>
      </w:r>
      <w:r>
        <w:rPr>
          <w:rFonts w:hint="eastAsia" w:ascii="宋体" w:hAnsi="宋体"/>
          <w:b/>
          <w:color w:val="000000"/>
          <w:szCs w:val="21"/>
        </w:rPr>
        <w:t>须提供在本单位购买的社保证明、职称等证明文件复印件并加盖公章。</w:t>
      </w:r>
    </w:p>
    <w:p>
      <w:pPr>
        <w:spacing w:line="500" w:lineRule="exact"/>
        <w:ind w:firstLine="516" w:firstLineChars="200"/>
        <w:rPr>
          <w:rFonts w:ascii="宋体" w:hAnsi="宋体" w:cs="宋体"/>
          <w:spacing w:val="4"/>
          <w:sz w:val="25"/>
          <w:szCs w:val="25"/>
        </w:rPr>
      </w:pPr>
    </w:p>
    <w:p>
      <w:pPr>
        <w:spacing w:line="500" w:lineRule="exact"/>
        <w:ind w:firstLine="516" w:firstLineChars="200"/>
        <w:rPr>
          <w:rFonts w:ascii="宋体" w:hAnsi="宋体" w:cs="宋体"/>
          <w:spacing w:val="4"/>
          <w:sz w:val="25"/>
          <w:szCs w:val="25"/>
        </w:rPr>
      </w:pPr>
    </w:p>
    <w:bookmarkEnd w:id="109"/>
    <w:bookmarkEnd w:id="110"/>
    <w:p>
      <w:pPr>
        <w:spacing w:line="500" w:lineRule="exact"/>
        <w:rPr>
          <w:rFonts w:ascii="宋体" w:hAnsi="宋体"/>
          <w:color w:val="000000"/>
          <w:u w:val="single"/>
        </w:rPr>
      </w:pPr>
      <w:bookmarkStart w:id="113" w:name="_Toc259022219"/>
      <w:r>
        <w:rPr>
          <w:rFonts w:hint="eastAsia"/>
          <w:spacing w:val="4"/>
        </w:rPr>
        <w:t>投标人名称（盖公章）：</w:t>
      </w:r>
      <w:r>
        <w:rPr>
          <w:rFonts w:hint="eastAsia"/>
          <w:spacing w:val="4"/>
          <w:u w:val="single"/>
        </w:rPr>
        <w:t xml:space="preserve">                             </w:t>
      </w:r>
    </w:p>
    <w:p>
      <w:pPr>
        <w:rPr>
          <w:spacing w:val="4"/>
        </w:rPr>
      </w:pPr>
    </w:p>
    <w:p>
      <w:pPr>
        <w:spacing w:line="500" w:lineRule="exact"/>
        <w:rPr>
          <w:rFonts w:ascii="宋体" w:hAnsi="宋体" w:cs="宋体"/>
          <w:sz w:val="25"/>
          <w:szCs w:val="25"/>
        </w:rPr>
      </w:pPr>
      <w:r>
        <w:rPr>
          <w:rFonts w:hint="eastAsia" w:ascii="宋体"/>
        </w:rPr>
        <w:t>法定代表人或</w:t>
      </w:r>
      <w:r>
        <w:rPr>
          <w:rFonts w:hint="eastAsia" w:ascii="宋体" w:hAnsi="宋体"/>
        </w:rPr>
        <w:t>投标人授权代表（签名或盖章）：</w:t>
      </w:r>
      <w:r>
        <w:rPr>
          <w:spacing w:val="4"/>
          <w:u w:val="single"/>
        </w:rPr>
        <w:t xml:space="preserve">             </w:t>
      </w:r>
      <w:r>
        <w:rPr>
          <w:spacing w:val="4"/>
        </w:rPr>
        <w:t xml:space="preserve"> </w:t>
      </w:r>
      <w:r>
        <w:rPr>
          <w:rFonts w:hint="eastAsia"/>
          <w:spacing w:val="4"/>
        </w:rPr>
        <w:t>职务：</w:t>
      </w:r>
      <w:r>
        <w:rPr>
          <w:spacing w:val="4"/>
          <w:u w:val="single"/>
        </w:rPr>
        <w:t xml:space="preserve">        </w:t>
      </w:r>
      <w:r>
        <w:rPr>
          <w:spacing w:val="4"/>
        </w:rPr>
        <w:t xml:space="preserve"> </w:t>
      </w:r>
      <w:r>
        <w:rPr>
          <w:rFonts w:hint="eastAsia"/>
          <w:spacing w:val="4"/>
        </w:rPr>
        <w:t>日期：</w:t>
      </w:r>
      <w:r>
        <w:rPr>
          <w:spacing w:val="4"/>
          <w:u w:val="single"/>
        </w:rPr>
        <w:t xml:space="preserve">      </w:t>
      </w:r>
    </w:p>
    <w:bookmarkEnd w:id="113"/>
    <w:p>
      <w:pPr>
        <w:spacing w:line="440" w:lineRule="exact"/>
        <w:rPr>
          <w:spacing w:val="4"/>
        </w:rPr>
      </w:pPr>
    </w:p>
    <w:p>
      <w:pPr>
        <w:spacing w:line="520" w:lineRule="exact"/>
        <w:ind w:firstLine="4837" w:firstLineChars="1875"/>
        <w:rPr>
          <w:rFonts w:ascii="宋体" w:hAnsi="宋体" w:cs="宋体"/>
          <w:spacing w:val="4"/>
          <w:sz w:val="25"/>
          <w:szCs w:val="25"/>
        </w:rPr>
      </w:pPr>
    </w:p>
    <w:p>
      <w:pPr>
        <w:spacing w:line="520" w:lineRule="exact"/>
        <w:rPr>
          <w:rFonts w:ascii="宋体" w:hAnsi="宋体" w:cs="宋体"/>
          <w:spacing w:val="4"/>
          <w:sz w:val="25"/>
          <w:szCs w:val="25"/>
        </w:rPr>
      </w:pPr>
    </w:p>
    <w:p>
      <w:pPr>
        <w:spacing w:line="520" w:lineRule="exact"/>
        <w:rPr>
          <w:rFonts w:ascii="宋体" w:hAnsi="宋体" w:cs="宋体"/>
          <w:spacing w:val="4"/>
          <w:sz w:val="25"/>
          <w:szCs w:val="25"/>
        </w:rPr>
      </w:pPr>
    </w:p>
    <w:p>
      <w:pPr>
        <w:spacing w:line="520" w:lineRule="exact"/>
        <w:rPr>
          <w:rFonts w:ascii="宋体" w:hAnsi="宋体" w:cs="宋体"/>
          <w:spacing w:val="4"/>
          <w:sz w:val="25"/>
          <w:szCs w:val="25"/>
        </w:rPr>
        <w:sectPr>
          <w:pgSz w:w="11906" w:h="16838"/>
          <w:pgMar w:top="1440" w:right="1418" w:bottom="1440" w:left="1418" w:header="657" w:footer="481" w:gutter="0"/>
          <w:pgNumType w:fmt="numberInDash"/>
          <w:cols w:space="720" w:num="1"/>
          <w:docGrid w:linePitch="312" w:charSpace="0"/>
        </w:sectPr>
      </w:pPr>
    </w:p>
    <w:p>
      <w:pPr>
        <w:numPr>
          <w:ilvl w:val="0"/>
          <w:numId w:val="27"/>
        </w:numPr>
        <w:spacing w:line="440" w:lineRule="exact"/>
        <w:rPr>
          <w:rFonts w:ascii="宋体" w:hAnsi="宋体" w:cs="宋体"/>
          <w:b/>
          <w:bCs/>
          <w:sz w:val="25"/>
          <w:szCs w:val="25"/>
        </w:rPr>
      </w:pPr>
    </w:p>
    <w:p>
      <w:pPr>
        <w:pStyle w:val="9"/>
        <w:tabs>
          <w:tab w:val="left" w:pos="709"/>
        </w:tabs>
        <w:snapToGrid w:val="0"/>
        <w:spacing w:before="96" w:beforeLines="40" w:after="240" w:afterLines="100"/>
        <w:ind w:firstLine="0" w:firstLineChars="0"/>
        <w:jc w:val="center"/>
        <w:rPr>
          <w:rFonts w:ascii="宋体" w:hAnsi="宋体" w:cs="宋体"/>
          <w:b/>
          <w:sz w:val="32"/>
          <w:szCs w:val="32"/>
        </w:rPr>
      </w:pPr>
      <w:r>
        <w:rPr>
          <w:rFonts w:hint="eastAsia" w:ascii="宋体" w:hAnsi="宋体" w:cs="宋体"/>
          <w:b/>
          <w:sz w:val="32"/>
          <w:szCs w:val="32"/>
        </w:rPr>
        <w:t>中小企业声明函</w:t>
      </w:r>
    </w:p>
    <w:p>
      <w:pPr>
        <w:adjustRightInd w:val="0"/>
        <w:snapToGrid w:val="0"/>
        <w:spacing w:line="360" w:lineRule="auto"/>
        <w:ind w:right="279" w:rightChars="133" w:firstLine="420" w:firstLineChars="200"/>
        <w:rPr>
          <w:rFonts w:ascii="宋体" w:hAnsi="宋体"/>
        </w:rPr>
      </w:pPr>
      <w:r>
        <w:rPr>
          <w:rFonts w:hint="eastAsia" w:ascii="宋体" w:hAnsi="宋体"/>
        </w:rPr>
        <w:t>本单位郑重声明，根据《政府采购促进中小企业发展暂行办法》（财库[2011]181号）的规定，本单位为</w:t>
      </w:r>
      <w:r>
        <w:rPr>
          <w:rFonts w:hint="eastAsia" w:ascii="宋体" w:hAnsi="宋体"/>
          <w:u w:val="single"/>
        </w:rPr>
        <w:t xml:space="preserve">         </w:t>
      </w:r>
      <w:r>
        <w:rPr>
          <w:rFonts w:hint="eastAsia" w:ascii="宋体" w:hAnsi="宋体"/>
        </w:rPr>
        <w:t>（请填写：中型、小型、微型）企业。即，本单位同时满足以下条件：</w:t>
      </w:r>
    </w:p>
    <w:p>
      <w:pPr>
        <w:adjustRightInd w:val="0"/>
        <w:snapToGrid w:val="0"/>
        <w:spacing w:line="360" w:lineRule="auto"/>
        <w:ind w:left="315" w:right="279" w:rightChars="133" w:hanging="315" w:hangingChars="150"/>
        <w:rPr>
          <w:rFonts w:ascii="宋体" w:hAnsi="宋体"/>
        </w:rPr>
      </w:pPr>
      <w:r>
        <w:rPr>
          <w:rFonts w:hint="eastAsia" w:ascii="宋体" w:hAnsi="宋体"/>
        </w:rPr>
        <w:t>1、根据《工业和信息化部、国家统计局、国家发展和改革委员会、财政部关于印发中小企业划型标准规定的通知》（工信部联企业[2011]300号）规定的划分标准，本单位为</w:t>
      </w:r>
      <w:r>
        <w:rPr>
          <w:rFonts w:hint="eastAsia" w:ascii="宋体" w:hAnsi="宋体"/>
          <w:u w:val="single"/>
        </w:rPr>
        <w:t xml:space="preserve">             </w:t>
      </w:r>
      <w:r>
        <w:rPr>
          <w:rFonts w:hint="eastAsia" w:ascii="宋体" w:hAnsi="宋体"/>
        </w:rPr>
        <w:t>（请填写：中型、小型、微型）企业。</w:t>
      </w:r>
    </w:p>
    <w:p>
      <w:pPr>
        <w:adjustRightInd w:val="0"/>
        <w:snapToGrid w:val="0"/>
        <w:spacing w:line="360" w:lineRule="auto"/>
        <w:ind w:left="315" w:right="279" w:rightChars="133" w:hanging="315" w:hangingChars="150"/>
        <w:rPr>
          <w:rFonts w:ascii="宋体" w:hAnsi="宋体"/>
        </w:rPr>
      </w:pPr>
      <w:r>
        <w:rPr>
          <w:rFonts w:hint="eastAsia" w:ascii="宋体" w:hAnsi="宋体"/>
        </w:rPr>
        <w:t>2、本单位参加</w:t>
      </w:r>
      <w:r>
        <w:rPr>
          <w:rFonts w:hint="eastAsia" w:ascii="宋体" w:hAnsi="宋体"/>
          <w:u w:val="single"/>
        </w:rPr>
        <w:t xml:space="preserve">     (采购人单位名称)    </w:t>
      </w:r>
      <w:r>
        <w:rPr>
          <w:rFonts w:hint="eastAsia" w:ascii="宋体" w:hAnsi="宋体"/>
        </w:rPr>
        <w:t>的</w:t>
      </w:r>
      <w:r>
        <w:rPr>
          <w:rFonts w:hint="eastAsia" w:ascii="宋体" w:hAnsi="宋体"/>
          <w:u w:val="single"/>
        </w:rPr>
        <w:t xml:space="preserve">   (项目名称)      </w:t>
      </w:r>
      <w:r>
        <w:rPr>
          <w:rFonts w:hint="eastAsia" w:ascii="宋体" w:hAnsi="宋体"/>
        </w:rPr>
        <w:t xml:space="preserve"> 采购活动提供本企业制造的货物，由本企业承担工程、提供服务，或者提供其他</w:t>
      </w:r>
      <w:r>
        <w:rPr>
          <w:rFonts w:hint="eastAsia" w:ascii="宋体" w:hAnsi="宋体"/>
          <w:u w:val="single"/>
        </w:rPr>
        <w:t xml:space="preserve">         </w:t>
      </w:r>
      <w:r>
        <w:rPr>
          <w:rFonts w:hint="eastAsia" w:ascii="宋体" w:hAnsi="宋体"/>
        </w:rPr>
        <w:t>（请填写：中型、小型、微型）企业制造的货物。本条所称货物不包括使用大型企业注册商标的货物。</w:t>
      </w:r>
      <w:r>
        <w:rPr>
          <w:rFonts w:hint="eastAsia" w:ascii="宋体" w:hAnsi="宋体"/>
        </w:rPr>
        <w:br w:type="textWrapping"/>
      </w:r>
      <w:r>
        <w:rPr>
          <w:rFonts w:hint="eastAsia" w:ascii="宋体" w:hAnsi="宋体"/>
        </w:rPr>
        <w:t>本单位对上述声明的真实性负责。如有虚假，将依法承担相应责任。</w:t>
      </w:r>
    </w:p>
    <w:p>
      <w:pPr>
        <w:spacing w:line="360" w:lineRule="auto"/>
        <w:ind w:firstLine="500" w:firstLineChars="200"/>
        <w:jc w:val="center"/>
        <w:rPr>
          <w:rFonts w:ascii="宋体" w:hAnsi="宋体" w:cs="宋体"/>
          <w:sz w:val="25"/>
          <w:szCs w:val="25"/>
        </w:rPr>
      </w:pPr>
    </w:p>
    <w:p>
      <w:pPr>
        <w:spacing w:line="360" w:lineRule="auto"/>
        <w:ind w:firstLine="500" w:firstLineChars="200"/>
        <w:jc w:val="center"/>
        <w:rPr>
          <w:rFonts w:ascii="宋体" w:hAnsi="宋体" w:cs="宋体"/>
          <w:sz w:val="25"/>
          <w:szCs w:val="25"/>
        </w:rPr>
      </w:pPr>
    </w:p>
    <w:p>
      <w:pPr>
        <w:spacing w:line="360" w:lineRule="auto"/>
        <w:ind w:firstLine="500" w:firstLineChars="200"/>
        <w:jc w:val="center"/>
        <w:rPr>
          <w:rFonts w:ascii="宋体" w:hAnsi="宋体"/>
        </w:rPr>
      </w:pPr>
      <w:r>
        <w:rPr>
          <w:rFonts w:hint="eastAsia" w:ascii="宋体" w:hAnsi="宋体" w:cs="宋体"/>
          <w:sz w:val="25"/>
          <w:szCs w:val="25"/>
        </w:rPr>
        <w:t xml:space="preserve">                       </w:t>
      </w:r>
      <w:r>
        <w:rPr>
          <w:rFonts w:hint="eastAsia" w:ascii="宋体" w:hAnsi="宋体"/>
        </w:rPr>
        <w:t xml:space="preserve"> 投标人名称（盖章）：</w:t>
      </w:r>
    </w:p>
    <w:p>
      <w:pPr>
        <w:spacing w:line="360" w:lineRule="auto"/>
        <w:ind w:firstLine="420" w:firstLineChars="200"/>
        <w:jc w:val="center"/>
        <w:rPr>
          <w:rFonts w:ascii="宋体" w:hAnsi="宋体"/>
        </w:rPr>
      </w:pPr>
      <w:r>
        <w:rPr>
          <w:rFonts w:hint="eastAsia" w:ascii="宋体" w:hAnsi="宋体"/>
        </w:rPr>
        <w:t xml:space="preserve">                           日　　　　　期</w:t>
      </w:r>
      <w:bookmarkEnd w:id="111"/>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spacing w:line="360" w:lineRule="auto"/>
        <w:ind w:firstLine="420" w:firstLineChars="200"/>
        <w:jc w:val="center"/>
        <w:rPr>
          <w:rFonts w:ascii="宋体" w:hAnsi="宋体"/>
        </w:rPr>
      </w:pPr>
    </w:p>
    <w:p>
      <w:pPr>
        <w:jc w:val="center"/>
        <w:rPr>
          <w:sz w:val="72"/>
          <w:szCs w:val="72"/>
        </w:rPr>
      </w:pPr>
      <w:r>
        <w:rPr>
          <w:rFonts w:hint="eastAsia"/>
          <w:sz w:val="72"/>
          <w:szCs w:val="72"/>
        </w:rPr>
        <w:t>项目情况</w:t>
      </w:r>
    </w:p>
    <w:p>
      <w:pPr>
        <w:jc w:val="center"/>
        <w:rPr>
          <w:sz w:val="72"/>
          <w:szCs w:val="72"/>
        </w:rPr>
      </w:pPr>
    </w:p>
    <w:p>
      <w:pPr>
        <w:numPr>
          <w:ilvl w:val="0"/>
          <w:numId w:val="33"/>
        </w:numPr>
        <w:jc w:val="left"/>
        <w:rPr>
          <w:sz w:val="32"/>
          <w:szCs w:val="32"/>
        </w:rPr>
      </w:pPr>
      <w:r>
        <w:rPr>
          <w:rFonts w:hint="eastAsia"/>
          <w:sz w:val="32"/>
          <w:szCs w:val="32"/>
        </w:rPr>
        <w:t>项目简介</w:t>
      </w:r>
    </w:p>
    <w:p>
      <w:pPr>
        <w:ind w:firstLine="640" w:firstLineChars="200"/>
        <w:jc w:val="left"/>
        <w:rPr>
          <w:sz w:val="32"/>
          <w:szCs w:val="32"/>
        </w:rPr>
      </w:pPr>
      <w:r>
        <w:rPr>
          <w:rFonts w:hint="eastAsia"/>
          <w:sz w:val="32"/>
          <w:szCs w:val="32"/>
        </w:rPr>
        <w:t>为促进江海区优势产业的集聚发展以及创新平台的形成，向重大创新载体与创新产业提供承载空间，江海区人民政府拟将建新地块规划建设和德路及应急产业项目。项目的落成对加快区域经济格局的重构，推动江海区实现产业动能升级转换，助力江海区高质量发展提供有力支撑。</w:t>
      </w:r>
      <w:r>
        <w:rPr>
          <w:sz w:val="32"/>
          <w:szCs w:val="32"/>
        </w:rPr>
        <w:t xml:space="preserve"> </w:t>
      </w:r>
    </w:p>
    <w:p>
      <w:pPr>
        <w:ind w:firstLine="420" w:firstLineChars="200"/>
        <w:jc w:val="left"/>
      </w:pPr>
      <w:r>
        <w:drawing>
          <wp:inline distT="0" distB="0" distL="0" distR="0">
            <wp:extent cx="5759450" cy="2993390"/>
            <wp:effectExtent l="0" t="0" r="0" b="0"/>
            <wp:docPr id="1011347311"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7311" name="图片 1" descr="地图&#10;&#10;描述已自动生成"/>
                    <pic:cNvPicPr>
                      <a:picLocks noChangeAspect="1"/>
                    </pic:cNvPicPr>
                  </pic:nvPicPr>
                  <pic:blipFill>
                    <a:blip r:embed="rId9"/>
                    <a:stretch>
                      <a:fillRect/>
                    </a:stretch>
                  </pic:blipFill>
                  <pic:spPr>
                    <a:xfrm>
                      <a:off x="0" y="0"/>
                      <a:ext cx="5759450" cy="2993390"/>
                    </a:xfrm>
                    <a:prstGeom prst="rect">
                      <a:avLst/>
                    </a:prstGeom>
                  </pic:spPr>
                </pic:pic>
              </a:graphicData>
            </a:graphic>
          </wp:inline>
        </w:drawing>
      </w:r>
      <w:r>
        <w:t xml:space="preserve"> </w:t>
      </w:r>
    </w:p>
    <w:p>
      <w:pPr>
        <w:ind w:firstLine="420" w:firstLineChars="200"/>
        <w:jc w:val="left"/>
      </w:pPr>
    </w:p>
    <w:p>
      <w:pPr>
        <w:numPr>
          <w:ilvl w:val="0"/>
          <w:numId w:val="33"/>
        </w:numPr>
        <w:jc w:val="left"/>
        <w:rPr>
          <w:sz w:val="32"/>
          <w:szCs w:val="32"/>
        </w:rPr>
      </w:pPr>
      <w:r>
        <w:rPr>
          <w:rFonts w:hint="eastAsia"/>
          <w:sz w:val="32"/>
          <w:szCs w:val="32"/>
        </w:rPr>
        <w:t>剥离区</w:t>
      </w:r>
    </w:p>
    <w:p>
      <w:pPr>
        <w:ind w:firstLine="640" w:firstLineChars="200"/>
        <w:jc w:val="left"/>
        <w:rPr>
          <w:sz w:val="32"/>
          <w:szCs w:val="32"/>
        </w:rPr>
      </w:pPr>
      <w:r>
        <w:rPr>
          <w:rFonts w:hint="eastAsia"/>
          <w:sz w:val="32"/>
          <w:szCs w:val="32"/>
        </w:rPr>
        <w:t>根据江门市江海区 2021 年度国土变更调查成果，江门市江海区和德路 及应急产业项目总面积1.8528公顷，其中农用地1.7226公顷（其中耕地面积 1.7225公顷，其他农用地面积 0.0001公顷）、建设用地0.1262公顷。</w:t>
      </w:r>
    </w:p>
    <w:p>
      <w:pPr>
        <w:ind w:firstLine="420" w:firstLineChars="200"/>
        <w:jc w:val="left"/>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1983"/>
        <w:gridCol w:w="2978"/>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Align w:val="center"/>
          </w:tcPr>
          <w:p>
            <w:pPr>
              <w:jc w:val="center"/>
              <w:rPr>
                <w:sz w:val="24"/>
                <w:szCs w:val="28"/>
              </w:rPr>
            </w:pPr>
            <w:r>
              <w:rPr>
                <w:rFonts w:hint="eastAsia"/>
                <w:sz w:val="24"/>
                <w:szCs w:val="28"/>
              </w:rPr>
              <w:t>项目名称</w:t>
            </w:r>
          </w:p>
        </w:tc>
        <w:tc>
          <w:tcPr>
            <w:tcW w:w="4961" w:type="dxa"/>
            <w:gridSpan w:val="2"/>
            <w:vAlign w:val="center"/>
          </w:tcPr>
          <w:p>
            <w:pPr>
              <w:jc w:val="center"/>
              <w:rPr>
                <w:sz w:val="24"/>
                <w:szCs w:val="28"/>
              </w:rPr>
            </w:pPr>
            <w:r>
              <w:rPr>
                <w:rFonts w:hint="eastAsia"/>
                <w:sz w:val="24"/>
                <w:szCs w:val="28"/>
              </w:rPr>
              <w:t>现状地类</w:t>
            </w:r>
          </w:p>
        </w:tc>
        <w:tc>
          <w:tcPr>
            <w:tcW w:w="1552" w:type="dxa"/>
            <w:vAlign w:val="center"/>
          </w:tcPr>
          <w:p>
            <w:pPr>
              <w:jc w:val="center"/>
              <w:rPr>
                <w:sz w:val="24"/>
                <w:szCs w:val="28"/>
              </w:rPr>
            </w:pPr>
            <w:r>
              <w:rPr>
                <w:rFonts w:hint="eastAsia"/>
                <w:sz w:val="24"/>
                <w:szCs w:val="28"/>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restart"/>
            <w:vAlign w:val="center"/>
          </w:tcPr>
          <w:p>
            <w:pPr>
              <w:jc w:val="center"/>
              <w:rPr>
                <w:sz w:val="24"/>
                <w:szCs w:val="28"/>
              </w:rPr>
            </w:pPr>
            <w:r>
              <w:rPr>
                <w:rFonts w:hint="eastAsia"/>
                <w:sz w:val="24"/>
                <w:szCs w:val="28"/>
              </w:rPr>
              <w:t>和德路及应急产业项目</w:t>
            </w:r>
          </w:p>
        </w:tc>
        <w:tc>
          <w:tcPr>
            <w:tcW w:w="1983" w:type="dxa"/>
            <w:vMerge w:val="restart"/>
            <w:vAlign w:val="center"/>
          </w:tcPr>
          <w:p>
            <w:pPr>
              <w:jc w:val="center"/>
              <w:rPr>
                <w:sz w:val="24"/>
                <w:szCs w:val="28"/>
              </w:rPr>
            </w:pPr>
            <w:r>
              <w:rPr>
                <w:rFonts w:hint="eastAsia"/>
                <w:sz w:val="24"/>
                <w:szCs w:val="28"/>
              </w:rPr>
              <w:t>农用地</w:t>
            </w:r>
          </w:p>
        </w:tc>
        <w:tc>
          <w:tcPr>
            <w:tcW w:w="2978" w:type="dxa"/>
            <w:vAlign w:val="center"/>
          </w:tcPr>
          <w:p>
            <w:pPr>
              <w:jc w:val="center"/>
              <w:rPr>
                <w:sz w:val="24"/>
                <w:szCs w:val="28"/>
              </w:rPr>
            </w:pPr>
            <w:r>
              <w:rPr>
                <w:rFonts w:hint="eastAsia"/>
                <w:sz w:val="24"/>
                <w:szCs w:val="28"/>
              </w:rPr>
              <w:t>耕地</w:t>
            </w:r>
          </w:p>
        </w:tc>
        <w:tc>
          <w:tcPr>
            <w:tcW w:w="1552" w:type="dxa"/>
            <w:vAlign w:val="center"/>
          </w:tcPr>
          <w:p>
            <w:pPr>
              <w:jc w:val="center"/>
              <w:rPr>
                <w:sz w:val="24"/>
                <w:szCs w:val="28"/>
              </w:rPr>
            </w:pPr>
            <w:r>
              <w:rPr>
                <w:sz w:val="24"/>
                <w:szCs w:val="28"/>
              </w:rPr>
              <w:t>1.7226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vAlign w:val="center"/>
          </w:tcPr>
          <w:p>
            <w:pPr>
              <w:jc w:val="center"/>
              <w:rPr>
                <w:sz w:val="24"/>
                <w:szCs w:val="28"/>
              </w:rPr>
            </w:pPr>
          </w:p>
        </w:tc>
        <w:tc>
          <w:tcPr>
            <w:tcW w:w="1983" w:type="dxa"/>
            <w:vMerge w:val="continue"/>
            <w:vAlign w:val="center"/>
          </w:tcPr>
          <w:p>
            <w:pPr>
              <w:jc w:val="center"/>
              <w:rPr>
                <w:sz w:val="24"/>
                <w:szCs w:val="28"/>
              </w:rPr>
            </w:pPr>
          </w:p>
        </w:tc>
        <w:tc>
          <w:tcPr>
            <w:tcW w:w="2978" w:type="dxa"/>
            <w:vAlign w:val="center"/>
          </w:tcPr>
          <w:p>
            <w:pPr>
              <w:jc w:val="center"/>
              <w:rPr>
                <w:sz w:val="24"/>
                <w:szCs w:val="28"/>
              </w:rPr>
            </w:pPr>
            <w:r>
              <w:rPr>
                <w:rFonts w:hint="eastAsia"/>
                <w:sz w:val="24"/>
                <w:szCs w:val="28"/>
              </w:rPr>
              <w:t>其他农用地</w:t>
            </w:r>
          </w:p>
        </w:tc>
        <w:tc>
          <w:tcPr>
            <w:tcW w:w="1552" w:type="dxa"/>
            <w:vAlign w:val="center"/>
          </w:tcPr>
          <w:p>
            <w:pPr>
              <w:jc w:val="center"/>
              <w:rPr>
                <w:sz w:val="24"/>
                <w:szCs w:val="28"/>
              </w:rPr>
            </w:pPr>
            <w:r>
              <w:rPr>
                <w:sz w:val="24"/>
                <w:szCs w:val="28"/>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vMerge w:val="continue"/>
            <w:vAlign w:val="center"/>
          </w:tcPr>
          <w:p>
            <w:pPr>
              <w:jc w:val="center"/>
              <w:rPr>
                <w:sz w:val="24"/>
                <w:szCs w:val="28"/>
              </w:rPr>
            </w:pPr>
          </w:p>
        </w:tc>
        <w:tc>
          <w:tcPr>
            <w:tcW w:w="1983" w:type="dxa"/>
            <w:vAlign w:val="center"/>
          </w:tcPr>
          <w:p>
            <w:pPr>
              <w:jc w:val="center"/>
              <w:rPr>
                <w:sz w:val="24"/>
                <w:szCs w:val="28"/>
              </w:rPr>
            </w:pPr>
            <w:r>
              <w:rPr>
                <w:rFonts w:hint="eastAsia"/>
                <w:sz w:val="24"/>
                <w:szCs w:val="28"/>
              </w:rPr>
              <w:t>建设用地</w:t>
            </w:r>
          </w:p>
        </w:tc>
        <w:tc>
          <w:tcPr>
            <w:tcW w:w="2978" w:type="dxa"/>
            <w:vAlign w:val="center"/>
          </w:tcPr>
          <w:p>
            <w:pPr>
              <w:jc w:val="center"/>
              <w:rPr>
                <w:sz w:val="24"/>
                <w:szCs w:val="28"/>
              </w:rPr>
            </w:pPr>
            <w:r>
              <w:rPr>
                <w:rFonts w:hint="eastAsia"/>
                <w:sz w:val="24"/>
                <w:szCs w:val="28"/>
              </w:rPr>
              <w:t>建设用地</w:t>
            </w:r>
          </w:p>
        </w:tc>
        <w:tc>
          <w:tcPr>
            <w:tcW w:w="1552" w:type="dxa"/>
            <w:vAlign w:val="center"/>
          </w:tcPr>
          <w:p>
            <w:pPr>
              <w:jc w:val="center"/>
              <w:rPr>
                <w:sz w:val="24"/>
                <w:szCs w:val="28"/>
              </w:rPr>
            </w:pPr>
            <w:r>
              <w:rPr>
                <w:sz w:val="24"/>
                <w:szCs w:val="28"/>
              </w:rPr>
              <w:t>0.1262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gridSpan w:val="3"/>
            <w:vAlign w:val="center"/>
          </w:tcPr>
          <w:p>
            <w:pPr>
              <w:jc w:val="center"/>
              <w:rPr>
                <w:sz w:val="24"/>
                <w:szCs w:val="28"/>
              </w:rPr>
            </w:pPr>
            <w:r>
              <w:rPr>
                <w:rFonts w:hint="eastAsia"/>
                <w:sz w:val="24"/>
                <w:szCs w:val="28"/>
              </w:rPr>
              <w:t>合计</w:t>
            </w:r>
          </w:p>
        </w:tc>
        <w:tc>
          <w:tcPr>
            <w:tcW w:w="1552" w:type="dxa"/>
            <w:vAlign w:val="center"/>
          </w:tcPr>
          <w:p>
            <w:pPr>
              <w:jc w:val="center"/>
              <w:rPr>
                <w:sz w:val="24"/>
                <w:szCs w:val="28"/>
              </w:rPr>
            </w:pPr>
            <w:r>
              <w:rPr>
                <w:rFonts w:hint="eastAsia"/>
                <w:sz w:val="24"/>
                <w:szCs w:val="28"/>
              </w:rPr>
              <w:t>1</w:t>
            </w:r>
            <w:r>
              <w:rPr>
                <w:sz w:val="24"/>
                <w:szCs w:val="28"/>
              </w:rPr>
              <w:t>.8528</w:t>
            </w:r>
          </w:p>
        </w:tc>
      </w:tr>
    </w:tbl>
    <w:p>
      <w:pPr>
        <w:numPr>
          <w:ilvl w:val="0"/>
          <w:numId w:val="33"/>
        </w:numPr>
        <w:jc w:val="left"/>
        <w:rPr>
          <w:sz w:val="32"/>
          <w:szCs w:val="32"/>
        </w:rPr>
      </w:pPr>
      <w:r>
        <w:rPr>
          <w:rFonts w:hint="eastAsia"/>
          <w:sz w:val="32"/>
          <w:szCs w:val="32"/>
        </w:rPr>
        <w:t>储存区</w:t>
      </w:r>
    </w:p>
    <w:p>
      <w:pPr>
        <w:ind w:firstLine="640" w:firstLineChars="200"/>
        <w:jc w:val="left"/>
        <w:rPr>
          <w:sz w:val="32"/>
          <w:szCs w:val="32"/>
        </w:rPr>
      </w:pPr>
      <w:r>
        <w:rPr>
          <w:rFonts w:hint="eastAsia"/>
          <w:sz w:val="32"/>
          <w:szCs w:val="32"/>
        </w:rPr>
        <w:t xml:space="preserve">通过实地踏勘，储存区实地暂无种植作物。储存区地势平坦，地面坡度在2°以下，技术人员对地块周边进行了详细排查走访，没有发现地块周边有相关污染源。储存单元临近村庄道路，交通条件较为优越。 </w:t>
      </w:r>
    </w:p>
    <w:p>
      <w:pPr>
        <w:jc w:val="left"/>
        <w:rPr>
          <w:sz w:val="32"/>
          <w:szCs w:val="32"/>
        </w:rPr>
      </w:pPr>
      <w:r>
        <w:drawing>
          <wp:inline distT="0" distB="0" distL="0" distR="0">
            <wp:extent cx="5759450" cy="4475480"/>
            <wp:effectExtent l="0" t="0" r="0" b="1270"/>
            <wp:docPr id="82816691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66910" name="图片 1" descr="地图&#10;&#10;描述已自动生成"/>
                    <pic:cNvPicPr>
                      <a:picLocks noChangeAspect="1"/>
                    </pic:cNvPicPr>
                  </pic:nvPicPr>
                  <pic:blipFill>
                    <a:blip r:embed="rId10"/>
                    <a:stretch>
                      <a:fillRect/>
                    </a:stretch>
                  </pic:blipFill>
                  <pic:spPr>
                    <a:xfrm>
                      <a:off x="0" y="0"/>
                      <a:ext cx="5759450" cy="4475480"/>
                    </a:xfrm>
                    <a:prstGeom prst="rect">
                      <a:avLst/>
                    </a:prstGeom>
                  </pic:spPr>
                </pic:pic>
              </a:graphicData>
            </a:graphic>
          </wp:inline>
        </w:drawing>
      </w:r>
    </w:p>
    <w:p>
      <w:pPr>
        <w:numPr>
          <w:ilvl w:val="0"/>
          <w:numId w:val="33"/>
        </w:numPr>
        <w:jc w:val="left"/>
        <w:rPr>
          <w:sz w:val="32"/>
          <w:szCs w:val="32"/>
        </w:rPr>
      </w:pPr>
      <w:r>
        <w:rPr>
          <w:rFonts w:hint="eastAsia"/>
          <w:sz w:val="32"/>
          <w:szCs w:val="32"/>
        </w:rPr>
        <w:t>运输路线</w:t>
      </w:r>
    </w:p>
    <w:p>
      <w:pPr>
        <w:ind w:firstLine="640" w:firstLineChars="200"/>
        <w:jc w:val="left"/>
        <w:rPr>
          <w:sz w:val="32"/>
          <w:szCs w:val="32"/>
        </w:rPr>
      </w:pPr>
      <w:r>
        <w:rPr>
          <w:rFonts w:hint="eastAsia"/>
          <w:sz w:val="32"/>
          <w:szCs w:val="32"/>
        </w:rPr>
        <w:t xml:space="preserve">本项目按以下规定选择运输线路： </w:t>
      </w:r>
    </w:p>
    <w:p>
      <w:pPr>
        <w:numPr>
          <w:ilvl w:val="0"/>
          <w:numId w:val="34"/>
        </w:numPr>
        <w:ind w:firstLine="640" w:firstLineChars="200"/>
        <w:jc w:val="left"/>
        <w:rPr>
          <w:sz w:val="32"/>
          <w:szCs w:val="32"/>
        </w:rPr>
      </w:pPr>
      <w:r>
        <w:rPr>
          <w:rFonts w:hint="eastAsia"/>
          <w:sz w:val="32"/>
          <w:szCs w:val="32"/>
        </w:rPr>
        <w:t xml:space="preserve">运输应遵循线路最短、成本最低原则，合理安排运输点、运输路线。 </w:t>
      </w:r>
    </w:p>
    <w:p>
      <w:pPr>
        <w:numPr>
          <w:ilvl w:val="0"/>
          <w:numId w:val="34"/>
        </w:numPr>
        <w:ind w:firstLine="640" w:firstLineChars="200"/>
        <w:jc w:val="left"/>
        <w:rPr>
          <w:sz w:val="32"/>
          <w:szCs w:val="32"/>
        </w:rPr>
      </w:pPr>
      <w:r>
        <w:rPr>
          <w:rFonts w:hint="eastAsia"/>
          <w:sz w:val="32"/>
          <w:szCs w:val="32"/>
        </w:rPr>
        <w:t>当剥离区和储存区之间直接对应时，按照运输线路最短的原则，设计剥离区和储存区之间的土方运输线路。</w:t>
      </w:r>
    </w:p>
    <w:p>
      <w:pPr>
        <w:numPr>
          <w:ilvl w:val="0"/>
          <w:numId w:val="34"/>
        </w:numPr>
        <w:ind w:firstLine="640" w:firstLineChars="200"/>
        <w:jc w:val="left"/>
        <w:rPr>
          <w:sz w:val="32"/>
          <w:szCs w:val="32"/>
        </w:rPr>
      </w:pPr>
      <w:r>
        <w:rPr>
          <w:rFonts w:hint="eastAsia"/>
          <w:sz w:val="32"/>
          <w:szCs w:val="32"/>
        </w:rPr>
        <w:t xml:space="preserve">本项目的剥离区和储存区直接对应，据实地调查，储存区位于剥离区南面，距离剥离单元距离较近。由于剥离区内通行道路较窄，只适合能通行小型自卸汽车或农用车，故采用推土机、拖式铲运车剥离耕作层后，直接装运至小型自卸汽车，沿现状道路和公路，选择最短的线路运输至储存区。由于地块剥离土方量较小，地块较分散，自卸汽车可收集多个单元的土壤（在不超出荷载情况下）后再运输到储存区。运输途中应用塑料薄膜或草棚覆盖土壤，减少对沿途环境造成污染。当不能即剥即运时，选择排水条件良好的地点，根据5-10m 距离堆放高度小于 2m、单个堆放体积小于500m³的小土堆，并对堆放的土壤进行薄膜或草棚遮盖，堆放时间不应超过剥离施工期。 </w:t>
      </w:r>
    </w:p>
    <w:p>
      <w:pPr>
        <w:numPr>
          <w:ilvl w:val="0"/>
          <w:numId w:val="34"/>
        </w:numPr>
        <w:ind w:firstLine="640" w:firstLineChars="200"/>
        <w:jc w:val="left"/>
        <w:rPr>
          <w:sz w:val="32"/>
          <w:szCs w:val="32"/>
        </w:rPr>
      </w:pPr>
      <w:r>
        <w:rPr>
          <w:rFonts w:hint="eastAsia"/>
          <w:sz w:val="32"/>
          <w:szCs w:val="32"/>
        </w:rPr>
        <w:t>结合剥离区和储存区之间可通行自卸汽车或农用车的农村道路，根据最短线路原则，规划运输路线详见表。</w:t>
      </w:r>
    </w:p>
    <w:p>
      <w:pPr>
        <w:jc w:val="left"/>
        <w:rPr>
          <w:sz w:val="32"/>
          <w:szCs w:val="32"/>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069"/>
        <w:gridCol w:w="2608"/>
        <w:gridCol w:w="141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szCs w:val="28"/>
              </w:rPr>
            </w:pPr>
            <w:r>
              <w:rPr>
                <w:rFonts w:hint="eastAsia"/>
                <w:sz w:val="24"/>
                <w:szCs w:val="28"/>
              </w:rPr>
              <w:t>剥离单元编号</w:t>
            </w:r>
          </w:p>
        </w:tc>
        <w:tc>
          <w:tcPr>
            <w:tcW w:w="2069" w:type="dxa"/>
            <w:vAlign w:val="center"/>
          </w:tcPr>
          <w:p>
            <w:pPr>
              <w:jc w:val="center"/>
              <w:rPr>
                <w:sz w:val="24"/>
                <w:szCs w:val="28"/>
              </w:rPr>
            </w:pPr>
            <w:r>
              <w:rPr>
                <w:rFonts w:hint="eastAsia"/>
                <w:sz w:val="24"/>
                <w:szCs w:val="28"/>
              </w:rPr>
              <w:t>对应储存单元编号</w:t>
            </w:r>
          </w:p>
        </w:tc>
        <w:tc>
          <w:tcPr>
            <w:tcW w:w="2608" w:type="dxa"/>
            <w:vAlign w:val="center"/>
          </w:tcPr>
          <w:p>
            <w:pPr>
              <w:jc w:val="center"/>
              <w:rPr>
                <w:sz w:val="24"/>
                <w:szCs w:val="28"/>
              </w:rPr>
            </w:pPr>
            <w:r>
              <w:rPr>
                <w:rFonts w:hint="eastAsia"/>
                <w:sz w:val="24"/>
                <w:szCs w:val="28"/>
              </w:rPr>
              <w:t>运输相应土方量 （m³）</w:t>
            </w:r>
          </w:p>
        </w:tc>
        <w:tc>
          <w:tcPr>
            <w:tcW w:w="1418" w:type="dxa"/>
            <w:vAlign w:val="center"/>
          </w:tcPr>
          <w:p>
            <w:pPr>
              <w:jc w:val="center"/>
              <w:rPr>
                <w:sz w:val="24"/>
                <w:szCs w:val="28"/>
              </w:rPr>
            </w:pPr>
            <w:r>
              <w:rPr>
                <w:rFonts w:hint="eastAsia"/>
                <w:sz w:val="24"/>
                <w:szCs w:val="28"/>
              </w:rPr>
              <w:t>线路</w:t>
            </w:r>
          </w:p>
        </w:tc>
        <w:tc>
          <w:tcPr>
            <w:tcW w:w="1410" w:type="dxa"/>
            <w:vAlign w:val="center"/>
          </w:tcPr>
          <w:p>
            <w:pPr>
              <w:jc w:val="center"/>
              <w:rPr>
                <w:sz w:val="24"/>
                <w:szCs w:val="28"/>
              </w:rPr>
            </w:pPr>
            <w:r>
              <w:rPr>
                <w:rFonts w:hint="eastAsia"/>
                <w:sz w:val="24"/>
                <w:szCs w:val="28"/>
              </w:rPr>
              <w:t>线路（km）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szCs w:val="28"/>
              </w:rPr>
            </w:pPr>
            <w:r>
              <w:rPr>
                <w:sz w:val="24"/>
                <w:szCs w:val="28"/>
              </w:rPr>
              <w:t>1-3</w:t>
            </w:r>
          </w:p>
        </w:tc>
        <w:tc>
          <w:tcPr>
            <w:tcW w:w="2069" w:type="dxa"/>
            <w:vAlign w:val="center"/>
          </w:tcPr>
          <w:p>
            <w:pPr>
              <w:jc w:val="center"/>
              <w:rPr>
                <w:sz w:val="24"/>
                <w:szCs w:val="28"/>
              </w:rPr>
            </w:pPr>
            <w:r>
              <w:rPr>
                <w:rFonts w:hint="eastAsia"/>
                <w:sz w:val="24"/>
                <w:szCs w:val="28"/>
              </w:rPr>
              <w:t>1</w:t>
            </w:r>
          </w:p>
        </w:tc>
        <w:tc>
          <w:tcPr>
            <w:tcW w:w="2608" w:type="dxa"/>
            <w:vAlign w:val="center"/>
          </w:tcPr>
          <w:p>
            <w:pPr>
              <w:jc w:val="center"/>
              <w:rPr>
                <w:sz w:val="24"/>
                <w:szCs w:val="28"/>
              </w:rPr>
            </w:pPr>
            <w:r>
              <w:rPr>
                <w:sz w:val="24"/>
                <w:szCs w:val="28"/>
              </w:rPr>
              <w:t>3520.32</w:t>
            </w:r>
          </w:p>
        </w:tc>
        <w:tc>
          <w:tcPr>
            <w:tcW w:w="1418" w:type="dxa"/>
            <w:vAlign w:val="center"/>
          </w:tcPr>
          <w:p>
            <w:pPr>
              <w:jc w:val="center"/>
              <w:rPr>
                <w:sz w:val="24"/>
                <w:szCs w:val="28"/>
              </w:rPr>
            </w:pPr>
            <w:r>
              <w:rPr>
                <w:rFonts w:hint="eastAsia"/>
                <w:sz w:val="24"/>
                <w:szCs w:val="28"/>
              </w:rPr>
              <w:t>村庄道路</w:t>
            </w:r>
          </w:p>
        </w:tc>
        <w:tc>
          <w:tcPr>
            <w:tcW w:w="1410" w:type="dxa"/>
            <w:vAlign w:val="center"/>
          </w:tcPr>
          <w:p>
            <w:pPr>
              <w:jc w:val="center"/>
              <w:rPr>
                <w:sz w:val="24"/>
                <w:szCs w:val="28"/>
              </w:rPr>
            </w:pPr>
            <w:r>
              <w:rPr>
                <w:sz w:val="24"/>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szCs w:val="28"/>
              </w:rPr>
            </w:pPr>
            <w:r>
              <w:rPr>
                <w:rFonts w:hint="eastAsia"/>
                <w:sz w:val="24"/>
                <w:szCs w:val="28"/>
              </w:rPr>
              <w:t>合计</w:t>
            </w:r>
          </w:p>
        </w:tc>
        <w:tc>
          <w:tcPr>
            <w:tcW w:w="2069" w:type="dxa"/>
            <w:vAlign w:val="center"/>
          </w:tcPr>
          <w:p>
            <w:pPr>
              <w:jc w:val="center"/>
              <w:rPr>
                <w:sz w:val="24"/>
                <w:szCs w:val="28"/>
              </w:rPr>
            </w:pPr>
            <w:r>
              <w:rPr>
                <w:rFonts w:hint="eastAsia"/>
                <w:sz w:val="24"/>
                <w:szCs w:val="28"/>
              </w:rPr>
              <w:t>-</w:t>
            </w:r>
            <w:r>
              <w:rPr>
                <w:sz w:val="24"/>
                <w:szCs w:val="28"/>
              </w:rPr>
              <w:t>-</w:t>
            </w:r>
          </w:p>
        </w:tc>
        <w:tc>
          <w:tcPr>
            <w:tcW w:w="2608" w:type="dxa"/>
            <w:vAlign w:val="center"/>
          </w:tcPr>
          <w:p>
            <w:pPr>
              <w:jc w:val="center"/>
              <w:rPr>
                <w:sz w:val="24"/>
                <w:szCs w:val="28"/>
              </w:rPr>
            </w:pPr>
            <w:r>
              <w:rPr>
                <w:sz w:val="24"/>
                <w:szCs w:val="28"/>
              </w:rPr>
              <w:t>3520.32</w:t>
            </w:r>
          </w:p>
        </w:tc>
        <w:tc>
          <w:tcPr>
            <w:tcW w:w="1418" w:type="dxa"/>
            <w:vAlign w:val="center"/>
          </w:tcPr>
          <w:p>
            <w:pPr>
              <w:jc w:val="center"/>
              <w:rPr>
                <w:sz w:val="24"/>
                <w:szCs w:val="28"/>
              </w:rPr>
            </w:pPr>
            <w:r>
              <w:rPr>
                <w:rFonts w:hint="eastAsia"/>
                <w:sz w:val="24"/>
                <w:szCs w:val="28"/>
              </w:rPr>
              <w:t>-</w:t>
            </w:r>
            <w:r>
              <w:rPr>
                <w:sz w:val="24"/>
                <w:szCs w:val="28"/>
              </w:rPr>
              <w:t>-</w:t>
            </w:r>
          </w:p>
        </w:tc>
        <w:tc>
          <w:tcPr>
            <w:tcW w:w="1410" w:type="dxa"/>
            <w:vAlign w:val="center"/>
          </w:tcPr>
          <w:p>
            <w:pPr>
              <w:jc w:val="center"/>
              <w:rPr>
                <w:sz w:val="24"/>
                <w:szCs w:val="28"/>
              </w:rPr>
            </w:pPr>
            <w:r>
              <w:rPr>
                <w:rFonts w:hint="eastAsia"/>
                <w:sz w:val="24"/>
                <w:szCs w:val="28"/>
              </w:rPr>
              <w:t>-</w:t>
            </w:r>
            <w:r>
              <w:rPr>
                <w:sz w:val="24"/>
                <w:szCs w:val="28"/>
              </w:rPr>
              <w:t>-</w:t>
            </w:r>
          </w:p>
        </w:tc>
      </w:tr>
    </w:tbl>
    <w:p/>
    <w:p>
      <w:pPr>
        <w:widowControl/>
        <w:jc w:val="left"/>
      </w:pPr>
      <w:r>
        <w:br w:type="page"/>
      </w:r>
    </w:p>
    <w:p/>
    <w:p>
      <w:pPr>
        <w:jc w:val="left"/>
        <w:rPr>
          <w:sz w:val="32"/>
          <w:szCs w:val="32"/>
        </w:rPr>
      </w:pPr>
      <w:r>
        <w:rPr>
          <w:rFonts w:hint="eastAsia"/>
          <w:sz w:val="32"/>
          <w:szCs w:val="32"/>
        </w:rPr>
        <w:t>工程量清单如下：</w:t>
      </w:r>
    </w:p>
    <w:tbl>
      <w:tblPr>
        <w:tblStyle w:val="50"/>
        <w:tblW w:w="5000" w:type="pct"/>
        <w:tblInd w:w="0" w:type="dxa"/>
        <w:tblLayout w:type="autofit"/>
        <w:tblCellMar>
          <w:top w:w="0" w:type="dxa"/>
          <w:left w:w="0" w:type="dxa"/>
          <w:bottom w:w="0" w:type="dxa"/>
          <w:right w:w="0" w:type="dxa"/>
        </w:tblCellMar>
      </w:tblPr>
      <w:tblGrid>
        <w:gridCol w:w="1176"/>
        <w:gridCol w:w="198"/>
        <w:gridCol w:w="2324"/>
        <w:gridCol w:w="1440"/>
        <w:gridCol w:w="1973"/>
        <w:gridCol w:w="1989"/>
      </w:tblGrid>
      <w:tr>
        <w:tblPrEx>
          <w:tblCellMar>
            <w:top w:w="0" w:type="dxa"/>
            <w:left w:w="0" w:type="dxa"/>
            <w:bottom w:w="0" w:type="dxa"/>
            <w:right w:w="0" w:type="dxa"/>
          </w:tblCellMar>
        </w:tblPrEx>
        <w:trPr>
          <w:trHeight w:val="720" w:hRule="atLeast"/>
        </w:trPr>
        <w:tc>
          <w:tcPr>
            <w:tcW w:w="5000" w:type="pct"/>
            <w:gridSpan w:val="6"/>
            <w:tcBorders>
              <w:top w:val="nil"/>
              <w:left w:val="nil"/>
              <w:bottom w:val="nil"/>
              <w:right w:val="nil"/>
            </w:tcBorders>
            <w:shd w:val="clear" w:color="000000" w:fill="FFFFFF"/>
            <w:tcMar>
              <w:top w:w="15" w:type="dxa"/>
              <w:left w:w="15" w:type="dxa"/>
              <w:bottom w:w="0" w:type="dxa"/>
              <w:right w:w="15" w:type="dxa"/>
            </w:tcMar>
            <w:vAlign w:val="center"/>
          </w:tcPr>
          <w:p>
            <w:pPr>
              <w:widowControl/>
              <w:jc w:val="center"/>
              <w:rPr>
                <w:b/>
                <w:bCs/>
                <w:kern w:val="0"/>
                <w:sz w:val="40"/>
                <w:szCs w:val="40"/>
              </w:rPr>
            </w:pPr>
            <w:r>
              <w:rPr>
                <w:rFonts w:hint="eastAsia"/>
                <w:b/>
                <w:bCs/>
                <w:sz w:val="40"/>
                <w:szCs w:val="40"/>
              </w:rPr>
              <w:t>单位工程招标控制价汇总表</w:t>
            </w:r>
          </w:p>
        </w:tc>
      </w:tr>
      <w:tr>
        <w:tblPrEx>
          <w:tblCellMar>
            <w:top w:w="0" w:type="dxa"/>
            <w:left w:w="0" w:type="dxa"/>
            <w:bottom w:w="0" w:type="dxa"/>
            <w:right w:w="0" w:type="dxa"/>
          </w:tblCellMar>
        </w:tblPrEx>
        <w:trPr>
          <w:trHeight w:val="679" w:hRule="atLeast"/>
        </w:trPr>
        <w:tc>
          <w:tcPr>
            <w:tcW w:w="646" w:type="pct"/>
            <w:tcBorders>
              <w:top w:val="nil"/>
              <w:left w:val="nil"/>
              <w:bottom w:val="nil"/>
              <w:right w:val="nil"/>
            </w:tcBorders>
            <w:shd w:val="clear" w:color="000000" w:fill="FFFFFF"/>
            <w:tcMar>
              <w:top w:w="15" w:type="dxa"/>
              <w:left w:w="15" w:type="dxa"/>
              <w:bottom w:w="0" w:type="dxa"/>
              <w:right w:w="15" w:type="dxa"/>
            </w:tcMar>
            <w:vAlign w:val="bottom"/>
          </w:tcPr>
          <w:p>
            <w:pPr>
              <w:jc w:val="left"/>
              <w:rPr>
                <w:b/>
                <w:bCs/>
                <w:sz w:val="20"/>
                <w:szCs w:val="20"/>
              </w:rPr>
            </w:pPr>
            <w:r>
              <w:rPr>
                <w:rFonts w:hint="eastAsia"/>
                <w:b/>
                <w:bCs/>
                <w:sz w:val="20"/>
                <w:szCs w:val="20"/>
              </w:rPr>
              <w:t>工程名称:</w:t>
            </w:r>
          </w:p>
        </w:tc>
        <w:tc>
          <w:tcPr>
            <w:tcW w:w="2177" w:type="pct"/>
            <w:gridSpan w:val="3"/>
            <w:tcBorders>
              <w:top w:val="nil"/>
              <w:left w:val="nil"/>
              <w:bottom w:val="nil"/>
              <w:right w:val="nil"/>
            </w:tcBorders>
            <w:shd w:val="clear" w:color="000000" w:fill="FFFFFF"/>
            <w:tcMar>
              <w:top w:w="15" w:type="dxa"/>
              <w:left w:w="15" w:type="dxa"/>
              <w:bottom w:w="0" w:type="dxa"/>
              <w:right w:w="15" w:type="dxa"/>
            </w:tcMar>
            <w:vAlign w:val="bottom"/>
          </w:tcPr>
          <w:p>
            <w:pPr>
              <w:rPr>
                <w:b/>
                <w:bCs/>
                <w:sz w:val="20"/>
                <w:szCs w:val="20"/>
              </w:rPr>
            </w:pPr>
            <w:r>
              <w:rPr>
                <w:rFonts w:hint="eastAsia"/>
                <w:b/>
                <w:bCs/>
                <w:sz w:val="20"/>
                <w:szCs w:val="20"/>
              </w:rPr>
              <w:t>江门市江海区和德路及应急产业项目占用耕地耕作层土壤剥离再利用</w:t>
            </w:r>
          </w:p>
        </w:tc>
        <w:tc>
          <w:tcPr>
            <w:tcW w:w="1084" w:type="pct"/>
            <w:tcBorders>
              <w:top w:val="nil"/>
              <w:left w:val="nil"/>
              <w:bottom w:val="nil"/>
              <w:right w:val="nil"/>
            </w:tcBorders>
            <w:shd w:val="clear" w:color="000000" w:fill="FFFFFF"/>
            <w:tcMar>
              <w:top w:w="15" w:type="dxa"/>
              <w:left w:w="15" w:type="dxa"/>
              <w:bottom w:w="0" w:type="dxa"/>
              <w:right w:w="15" w:type="dxa"/>
            </w:tcMar>
            <w:vAlign w:val="bottom"/>
          </w:tcPr>
          <w:p>
            <w:pPr>
              <w:rPr>
                <w:b/>
                <w:bCs/>
                <w:sz w:val="20"/>
                <w:szCs w:val="20"/>
              </w:rPr>
            </w:pPr>
            <w:r>
              <w:rPr>
                <w:rFonts w:hint="eastAsia"/>
                <w:b/>
                <w:bCs/>
                <w:sz w:val="20"/>
                <w:szCs w:val="20"/>
              </w:rPr>
              <w:t>标段：</w:t>
            </w:r>
          </w:p>
        </w:tc>
        <w:tc>
          <w:tcPr>
            <w:tcW w:w="1093" w:type="pct"/>
            <w:tcBorders>
              <w:top w:val="nil"/>
              <w:left w:val="nil"/>
              <w:bottom w:val="nil"/>
              <w:right w:val="nil"/>
            </w:tcBorders>
            <w:shd w:val="clear" w:color="000000" w:fill="FFFFFF"/>
            <w:tcMar>
              <w:top w:w="15" w:type="dxa"/>
              <w:left w:w="15" w:type="dxa"/>
              <w:bottom w:w="0" w:type="dxa"/>
              <w:right w:w="15" w:type="dxa"/>
            </w:tcMar>
            <w:vAlign w:val="bottom"/>
          </w:tcPr>
          <w:p>
            <w:pPr>
              <w:jc w:val="right"/>
              <w:rPr>
                <w:b/>
                <w:bCs/>
                <w:sz w:val="20"/>
                <w:szCs w:val="20"/>
              </w:rPr>
            </w:pPr>
            <w:r>
              <w:rPr>
                <w:rFonts w:hint="eastAsia"/>
                <w:b/>
                <w:bCs/>
                <w:sz w:val="20"/>
                <w:szCs w:val="20"/>
              </w:rPr>
              <w:t>第1页, 共1页</w:t>
            </w:r>
          </w:p>
        </w:tc>
      </w:tr>
      <w:tr>
        <w:tblPrEx>
          <w:tblCellMar>
            <w:top w:w="0" w:type="dxa"/>
            <w:left w:w="0" w:type="dxa"/>
            <w:bottom w:w="0" w:type="dxa"/>
            <w:right w:w="0" w:type="dxa"/>
          </w:tblCellMar>
        </w:tblPrEx>
        <w:trPr>
          <w:trHeight w:val="30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b/>
                <w:bCs/>
                <w:sz w:val="20"/>
                <w:szCs w:val="20"/>
              </w:rPr>
            </w:pPr>
            <w:r>
              <w:rPr>
                <w:rFonts w:hint="eastAsia"/>
                <w:b/>
                <w:bCs/>
                <w:sz w:val="20"/>
                <w:szCs w:val="20"/>
              </w:rPr>
              <w:t>序号</w:t>
            </w:r>
          </w:p>
        </w:tc>
        <w:tc>
          <w:tcPr>
            <w:tcW w:w="1277" w:type="pct"/>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b/>
                <w:bCs/>
                <w:sz w:val="20"/>
                <w:szCs w:val="20"/>
              </w:rPr>
            </w:pPr>
            <w:r>
              <w:rPr>
                <w:rFonts w:hint="eastAsia"/>
                <w:b/>
                <w:bCs/>
                <w:sz w:val="20"/>
                <w:szCs w:val="20"/>
              </w:rPr>
              <w:t>汇总内容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b/>
                <w:bCs/>
                <w:sz w:val="20"/>
                <w:szCs w:val="20"/>
              </w:rPr>
            </w:pPr>
            <w:r>
              <w:rPr>
                <w:rFonts w:hint="eastAsia"/>
                <w:b/>
                <w:bCs/>
                <w:sz w:val="20"/>
                <w:szCs w:val="20"/>
              </w:rPr>
              <w:t>金额(元)</w:t>
            </w:r>
          </w:p>
        </w:tc>
        <w:tc>
          <w:tcPr>
            <w:tcW w:w="1093" w:type="pct"/>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b/>
                <w:bCs/>
                <w:sz w:val="20"/>
                <w:szCs w:val="20"/>
              </w:rPr>
            </w:pPr>
            <w:r>
              <w:rPr>
                <w:rFonts w:hint="eastAsia"/>
                <w:b/>
                <w:bCs/>
                <w:sz w:val="20"/>
                <w:szCs w:val="20"/>
              </w:rPr>
              <w:t>其中：暂估价(元)</w:t>
            </w:r>
          </w:p>
        </w:tc>
      </w:tr>
      <w:tr>
        <w:tblPrEx>
          <w:tblCellMar>
            <w:top w:w="0" w:type="dxa"/>
            <w:left w:w="0" w:type="dxa"/>
            <w:bottom w:w="0" w:type="dxa"/>
            <w:right w:w="0" w:type="dxa"/>
          </w:tblCellMar>
        </w:tblPrEx>
        <w:trPr>
          <w:trHeight w:val="26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分部分项工程费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40"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1.1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土地平整工程</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5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1.2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灌溉与排水工程</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4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措施项目费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3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2.1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绿色施工安全防护措施费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5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2.2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其他措施项目费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4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其他项目费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3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暂列金额</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5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暂估价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17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3.3</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材料暂估价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11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3.4</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专业工程暂估价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0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3.5</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计日工</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8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3.6</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总承包服务费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1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3.7</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索赔费用</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15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3.8</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现场签证费用</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4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3.9</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预算包干费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16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3.10</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工程优质费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4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3.11</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消纳费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196"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3.12</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其他费用</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74"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4</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规费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10"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5</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税前工程造价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8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6</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增值税销项税额</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238"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7</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工程造价</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462" w:hRule="atLeast"/>
        </w:trPr>
        <w:tc>
          <w:tcPr>
            <w:tcW w:w="755" w:type="pct"/>
            <w:gridSpan w:val="2"/>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8</w:t>
            </w:r>
          </w:p>
        </w:tc>
        <w:tc>
          <w:tcPr>
            <w:tcW w:w="1277"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其中：人工费</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r>
        <w:tblPrEx>
          <w:tblCellMar>
            <w:top w:w="0" w:type="dxa"/>
            <w:left w:w="0" w:type="dxa"/>
            <w:bottom w:w="0" w:type="dxa"/>
            <w:right w:w="0" w:type="dxa"/>
          </w:tblCellMar>
        </w:tblPrEx>
        <w:trPr>
          <w:trHeight w:val="462" w:hRule="atLeast"/>
        </w:trPr>
        <w:tc>
          <w:tcPr>
            <w:tcW w:w="2032" w:type="pct"/>
            <w:gridSpan w:val="3"/>
            <w:tcBorders>
              <w:top w:val="single" w:color="000000" w:sz="4" w:space="0"/>
              <w:left w:val="single" w:color="000000" w:sz="4" w:space="0"/>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r>
              <w:rPr>
                <w:rFonts w:hint="eastAsia"/>
                <w:sz w:val="20"/>
                <w:szCs w:val="20"/>
              </w:rPr>
              <w:t>招标控制价合计</w:t>
            </w:r>
          </w:p>
        </w:tc>
        <w:tc>
          <w:tcPr>
            <w:tcW w:w="1875" w:type="pct"/>
            <w:gridSpan w:val="2"/>
            <w:tcBorders>
              <w:top w:val="single" w:color="000000" w:sz="4" w:space="0"/>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c>
          <w:tcPr>
            <w:tcW w:w="1093" w:type="pct"/>
            <w:tcBorders>
              <w:top w:val="nil"/>
              <w:left w:val="nil"/>
              <w:bottom w:val="single" w:color="000000" w:sz="4" w:space="0"/>
              <w:right w:val="single" w:color="000000" w:sz="4" w:space="0"/>
            </w:tcBorders>
            <w:shd w:val="clear" w:color="000000" w:fill="FFFFFF"/>
            <w:tcMar>
              <w:top w:w="15" w:type="dxa"/>
              <w:left w:w="15" w:type="dxa"/>
              <w:bottom w:w="0" w:type="dxa"/>
              <w:right w:w="15" w:type="dxa"/>
            </w:tcMar>
            <w:vAlign w:val="center"/>
          </w:tcPr>
          <w:p>
            <w:pPr>
              <w:jc w:val="center"/>
              <w:rPr>
                <w:sz w:val="20"/>
                <w:szCs w:val="20"/>
              </w:rPr>
            </w:pPr>
          </w:p>
        </w:tc>
      </w:tr>
    </w:tbl>
    <w:p/>
    <w:p/>
    <w:p/>
    <w:p/>
    <w:p>
      <w:pPr>
        <w:widowControl/>
        <w:jc w:val="left"/>
      </w:pPr>
      <w:r>
        <w:br w:type="page"/>
      </w:r>
    </w:p>
    <w:p/>
    <w:tbl>
      <w:tblPr>
        <w:tblStyle w:val="50"/>
        <w:tblW w:w="5000" w:type="pct"/>
        <w:tblInd w:w="0" w:type="dxa"/>
        <w:tblLayout w:type="fixed"/>
        <w:tblCellMar>
          <w:top w:w="0" w:type="dxa"/>
          <w:left w:w="108" w:type="dxa"/>
          <w:bottom w:w="0" w:type="dxa"/>
          <w:right w:w="108" w:type="dxa"/>
        </w:tblCellMar>
      </w:tblPr>
      <w:tblGrid>
        <w:gridCol w:w="449"/>
        <w:gridCol w:w="674"/>
        <w:gridCol w:w="474"/>
        <w:gridCol w:w="1912"/>
        <w:gridCol w:w="1451"/>
        <w:gridCol w:w="632"/>
        <w:gridCol w:w="1040"/>
        <w:gridCol w:w="404"/>
        <w:gridCol w:w="431"/>
        <w:gridCol w:w="1143"/>
        <w:gridCol w:w="676"/>
      </w:tblGrid>
      <w:tr>
        <w:tblPrEx>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000000"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679" w:hRule="atLeast"/>
        </w:trPr>
        <w:tc>
          <w:tcPr>
            <w:tcW w:w="605" w:type="pct"/>
            <w:gridSpan w:val="2"/>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3184" w:type="pct"/>
            <w:gridSpan w:val="6"/>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1211" w:type="pct"/>
            <w:gridSpan w:val="3"/>
            <w:tcBorders>
              <w:top w:val="nil"/>
              <w:left w:val="nil"/>
              <w:bottom w:val="nil"/>
              <w:right w:val="nil"/>
            </w:tcBorders>
            <w:shd w:val="clear" w:color="000000" w:fill="FFFFFF"/>
            <w:vAlign w:val="bottom"/>
          </w:tcPr>
          <w:p>
            <w:pPr>
              <w:widowControl/>
              <w:jc w:val="right"/>
              <w:rPr>
                <w:rFonts w:ascii="宋体" w:hAnsi="宋体" w:cs="宋体"/>
                <w:b/>
                <w:bCs/>
                <w:kern w:val="0"/>
                <w:sz w:val="20"/>
                <w:szCs w:val="20"/>
              </w:rPr>
            </w:pPr>
            <w:r>
              <w:rPr>
                <w:rFonts w:hint="eastAsia" w:ascii="宋体" w:hAnsi="宋体" w:cs="宋体"/>
                <w:b/>
                <w:bCs/>
                <w:kern w:val="0"/>
                <w:sz w:val="20"/>
                <w:szCs w:val="20"/>
              </w:rPr>
              <w:t>第1页, 共2页</w:t>
            </w:r>
          </w:p>
        </w:tc>
      </w:tr>
      <w:tr>
        <w:tblPrEx>
          <w:tblCellMar>
            <w:top w:w="0" w:type="dxa"/>
            <w:left w:w="108" w:type="dxa"/>
            <w:bottom w:w="0" w:type="dxa"/>
            <w:right w:w="108" w:type="dxa"/>
          </w:tblCellMar>
        </w:tblPrEx>
        <w:trPr>
          <w:trHeight w:val="379" w:hRule="atLeast"/>
        </w:trPr>
        <w:tc>
          <w:tcPr>
            <w:tcW w:w="242"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序号</w:t>
            </w:r>
          </w:p>
        </w:tc>
        <w:tc>
          <w:tcPr>
            <w:tcW w:w="618"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项目编码</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项目名称</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项目特征描述</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计量</w:t>
            </w:r>
            <w:r>
              <w:rPr>
                <w:rFonts w:hint="eastAsia" w:ascii="宋体" w:hAnsi="宋体" w:cs="宋体"/>
                <w:b/>
                <w:bCs/>
                <w:kern w:val="0"/>
                <w:sz w:val="18"/>
                <w:szCs w:val="18"/>
              </w:rPr>
              <w:br w:type="textWrapping"/>
            </w:r>
            <w:r>
              <w:rPr>
                <w:rFonts w:hint="eastAsia" w:ascii="宋体" w:hAnsi="宋体" w:cs="宋体"/>
                <w:b/>
                <w:bCs/>
                <w:kern w:val="0"/>
                <w:sz w:val="18"/>
                <w:szCs w:val="18"/>
              </w:rPr>
              <w:t>单位</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工程量</w:t>
            </w:r>
          </w:p>
        </w:tc>
        <w:tc>
          <w:tcPr>
            <w:tcW w:w="1429"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金额(元)</w:t>
            </w:r>
          </w:p>
        </w:tc>
      </w:tr>
      <w:tr>
        <w:tblPrEx>
          <w:tblCellMar>
            <w:top w:w="0" w:type="dxa"/>
            <w:left w:w="108" w:type="dxa"/>
            <w:bottom w:w="0" w:type="dxa"/>
            <w:right w:w="108" w:type="dxa"/>
          </w:tblCellMar>
        </w:tblPrEx>
        <w:trPr>
          <w:trHeight w:val="379" w:hRule="atLeast"/>
        </w:trPr>
        <w:tc>
          <w:tcPr>
            <w:tcW w:w="24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618"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56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450"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综合单价</w:t>
            </w:r>
          </w:p>
        </w:tc>
        <w:tc>
          <w:tcPr>
            <w:tcW w:w="615" w:type="pct"/>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合价</w:t>
            </w:r>
          </w:p>
        </w:tc>
        <w:tc>
          <w:tcPr>
            <w:tcW w:w="364"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其中</w:t>
            </w:r>
          </w:p>
        </w:tc>
      </w:tr>
      <w:tr>
        <w:tblPrEx>
          <w:tblCellMar>
            <w:top w:w="0" w:type="dxa"/>
            <w:left w:w="108" w:type="dxa"/>
            <w:bottom w:w="0" w:type="dxa"/>
            <w:right w:w="108" w:type="dxa"/>
          </w:tblCellMar>
        </w:tblPrEx>
        <w:trPr>
          <w:trHeight w:val="379" w:hRule="atLeast"/>
        </w:trPr>
        <w:tc>
          <w:tcPr>
            <w:tcW w:w="242"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618"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103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781"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34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56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450"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615" w:type="pct"/>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18"/>
                <w:szCs w:val="18"/>
              </w:rPr>
            </w:pPr>
            <w:r>
              <w:rPr>
                <w:rFonts w:hint="eastAsia" w:ascii="宋体" w:hAnsi="宋体" w:cs="宋体"/>
                <w:b/>
                <w:bCs/>
                <w:kern w:val="0"/>
                <w:sz w:val="18"/>
                <w:szCs w:val="18"/>
              </w:rPr>
              <w:t>暂估价</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土地平整工程</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040101001001</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推土机推土(一、二类土)</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1、推土机推土方 运距30m 一、二类土</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3520.320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040101001002</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挖掘机挖装自卸汽车运土</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1、挖掘机装土</w:t>
            </w:r>
            <w:r>
              <w:rPr>
                <w:rFonts w:hint="eastAsia" w:ascii="宋体" w:hAnsi="宋体" w:cs="宋体"/>
                <w:kern w:val="0"/>
                <w:sz w:val="18"/>
                <w:szCs w:val="18"/>
              </w:rPr>
              <w:br w:type="textWrapping"/>
            </w:r>
            <w:r>
              <w:rPr>
                <w:rFonts w:hint="eastAsia" w:ascii="宋体" w:hAnsi="宋体" w:cs="宋体"/>
                <w:kern w:val="0"/>
                <w:sz w:val="18"/>
                <w:szCs w:val="18"/>
              </w:rPr>
              <w:t>2、自卸汽车运土方 运距2km</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3520.320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040101001003</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储存区推土机推土(一、二类土)</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1、推土机推土方 运距70m 一、二类土</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2255.400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0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040101001004</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储存区挖掘机挖装自卸汽车运土</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1、挖掘机装土</w:t>
            </w:r>
            <w:r>
              <w:rPr>
                <w:rFonts w:hint="eastAsia" w:ascii="宋体" w:hAnsi="宋体" w:cs="宋体"/>
                <w:kern w:val="0"/>
                <w:sz w:val="18"/>
                <w:szCs w:val="18"/>
              </w:rPr>
              <w:br w:type="textWrapping"/>
            </w:r>
            <w:r>
              <w:rPr>
                <w:rFonts w:hint="eastAsia" w:ascii="宋体" w:hAnsi="宋体" w:cs="宋体"/>
                <w:kern w:val="0"/>
                <w:sz w:val="18"/>
                <w:szCs w:val="18"/>
              </w:rPr>
              <w:t>2、自卸汽车运土方 运距4km</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2255.400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040101001005</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储存区挖一般土方</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1、挖掘机转堆土方</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3520.320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041103001001</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围堰</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1、筑土围堰</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m3/m</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473.000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灌溉与排水工程</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160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040101002001</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挖沟槽土方</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1、挖掘机挖沟槽、基坑土方 一、二类土</w:t>
            </w:r>
            <w:r>
              <w:rPr>
                <w:rFonts w:hint="eastAsia" w:ascii="宋体" w:hAnsi="宋体" w:cs="宋体"/>
                <w:kern w:val="0"/>
                <w:sz w:val="18"/>
                <w:szCs w:val="18"/>
              </w:rPr>
              <w:br w:type="textWrapping"/>
            </w:r>
            <w:r>
              <w:rPr>
                <w:rFonts w:hint="eastAsia" w:ascii="宋体" w:hAnsi="宋体" w:cs="宋体"/>
                <w:kern w:val="0"/>
                <w:sz w:val="18"/>
                <w:szCs w:val="18"/>
              </w:rPr>
              <w:t>2、聚氯乙烯薄膜铺设</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180.000</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分部分项小计</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措施项目</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AQFHWMSG</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绿色施工安全防护措施费</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720"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AZMJSCSF</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按子目计算的安全文明施工措施项目</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JSJ</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综合脚手架</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KJSJAQDBHDLDB</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靠脚手架安全挡板</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bl>
    <w:p/>
    <w:tbl>
      <w:tblPr>
        <w:tblStyle w:val="50"/>
        <w:tblW w:w="5006" w:type="pct"/>
        <w:tblInd w:w="-5" w:type="dxa"/>
        <w:tblLayout w:type="fixed"/>
        <w:tblCellMar>
          <w:top w:w="0" w:type="dxa"/>
          <w:left w:w="108" w:type="dxa"/>
          <w:bottom w:w="0" w:type="dxa"/>
          <w:right w:w="108" w:type="dxa"/>
        </w:tblCellMar>
      </w:tblPr>
      <w:tblGrid>
        <w:gridCol w:w="450"/>
        <w:gridCol w:w="1149"/>
        <w:gridCol w:w="1916"/>
        <w:gridCol w:w="1452"/>
        <w:gridCol w:w="632"/>
        <w:gridCol w:w="1041"/>
        <w:gridCol w:w="836"/>
        <w:gridCol w:w="1144"/>
        <w:gridCol w:w="676"/>
      </w:tblGrid>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618" w:type="pct"/>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WNLBZB</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围尼龙编织布</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450" w:type="pct"/>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242"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618" w:type="pct"/>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041102040001</w:t>
            </w:r>
          </w:p>
        </w:tc>
        <w:tc>
          <w:tcPr>
            <w:tcW w:w="103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桥梁支架</w:t>
            </w:r>
          </w:p>
        </w:tc>
        <w:tc>
          <w:tcPr>
            <w:tcW w:w="781"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18"/>
                <w:szCs w:val="18"/>
              </w:rPr>
            </w:pPr>
            <w:r>
              <w:rPr>
                <w:rFonts w:hint="eastAsia" w:ascii="宋体" w:hAnsi="宋体" w:cs="宋体"/>
                <w:kern w:val="0"/>
                <w:sz w:val="18"/>
                <w:szCs w:val="18"/>
              </w:rPr>
              <w:t>　</w:t>
            </w:r>
          </w:p>
        </w:tc>
        <w:tc>
          <w:tcPr>
            <w:tcW w:w="3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m3</w:t>
            </w:r>
          </w:p>
        </w:tc>
        <w:tc>
          <w:tcPr>
            <w:tcW w:w="560"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450" w:type="pct"/>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r>
        <w:tblPrEx>
          <w:tblCellMar>
            <w:top w:w="0" w:type="dxa"/>
            <w:left w:w="108" w:type="dxa"/>
            <w:bottom w:w="0" w:type="dxa"/>
            <w:right w:w="108" w:type="dxa"/>
          </w:tblCellMar>
        </w:tblPrEx>
        <w:trPr>
          <w:trHeight w:val="462" w:hRule="atLeast"/>
        </w:trPr>
        <w:tc>
          <w:tcPr>
            <w:tcW w:w="4021" w:type="pct"/>
            <w:gridSpan w:val="7"/>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18"/>
                <w:szCs w:val="18"/>
              </w:rPr>
            </w:pPr>
            <w:r>
              <w:rPr>
                <w:rFonts w:hint="eastAsia" w:ascii="宋体" w:hAnsi="宋体" w:cs="宋体"/>
                <w:kern w:val="0"/>
                <w:sz w:val="18"/>
                <w:szCs w:val="18"/>
              </w:rPr>
              <w:t>本页小计</w:t>
            </w:r>
          </w:p>
        </w:tc>
        <w:tc>
          <w:tcPr>
            <w:tcW w:w="615"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p>
        </w:tc>
        <w:tc>
          <w:tcPr>
            <w:tcW w:w="364"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18"/>
                <w:szCs w:val="18"/>
              </w:rPr>
            </w:pPr>
            <w:r>
              <w:rPr>
                <w:rFonts w:hint="eastAsia" w:ascii="宋体" w:hAnsi="宋体" w:cs="宋体"/>
                <w:kern w:val="0"/>
                <w:sz w:val="18"/>
                <w:szCs w:val="18"/>
              </w:rPr>
              <w:t>　</w:t>
            </w:r>
          </w:p>
        </w:tc>
      </w:tr>
    </w:tbl>
    <w:p>
      <w:pPr>
        <w:rPr>
          <w:sz w:val="20"/>
          <w:szCs w:val="21"/>
        </w:rPr>
      </w:pPr>
    </w:p>
    <w:p>
      <w:pPr>
        <w:rPr>
          <w:sz w:val="20"/>
          <w:szCs w:val="21"/>
        </w:rPr>
      </w:pPr>
    </w:p>
    <w:tbl>
      <w:tblPr>
        <w:tblStyle w:val="50"/>
        <w:tblW w:w="5000" w:type="pct"/>
        <w:tblInd w:w="0" w:type="dxa"/>
        <w:tblLayout w:type="autofit"/>
        <w:tblCellMar>
          <w:top w:w="0" w:type="dxa"/>
          <w:left w:w="108" w:type="dxa"/>
          <w:bottom w:w="0" w:type="dxa"/>
          <w:right w:w="108" w:type="dxa"/>
        </w:tblCellMar>
      </w:tblPr>
      <w:tblGrid>
        <w:gridCol w:w="469"/>
        <w:gridCol w:w="873"/>
        <w:gridCol w:w="943"/>
        <w:gridCol w:w="1540"/>
        <w:gridCol w:w="1477"/>
        <w:gridCol w:w="468"/>
        <w:gridCol w:w="836"/>
        <w:gridCol w:w="407"/>
        <w:gridCol w:w="436"/>
        <w:gridCol w:w="1122"/>
        <w:gridCol w:w="715"/>
      </w:tblGrid>
      <w:tr>
        <w:tblPrEx>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000000"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分部分项工程和单价措施项目清单与计价表</w:t>
            </w:r>
          </w:p>
        </w:tc>
      </w:tr>
      <w:tr>
        <w:tblPrEx>
          <w:tblCellMar>
            <w:top w:w="0" w:type="dxa"/>
            <w:left w:w="108" w:type="dxa"/>
            <w:bottom w:w="0" w:type="dxa"/>
            <w:right w:w="108" w:type="dxa"/>
          </w:tblCellMar>
        </w:tblPrEx>
        <w:trPr>
          <w:trHeight w:val="679" w:hRule="atLeast"/>
        </w:trPr>
        <w:tc>
          <w:tcPr>
            <w:tcW w:w="699" w:type="pct"/>
            <w:gridSpan w:val="2"/>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3056" w:type="pct"/>
            <w:gridSpan w:val="6"/>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1245" w:type="pct"/>
            <w:gridSpan w:val="3"/>
            <w:tcBorders>
              <w:top w:val="nil"/>
              <w:left w:val="nil"/>
              <w:bottom w:val="nil"/>
              <w:right w:val="nil"/>
            </w:tcBorders>
            <w:shd w:val="clear" w:color="000000" w:fill="FFFFFF"/>
            <w:vAlign w:val="bottom"/>
          </w:tcPr>
          <w:p>
            <w:pPr>
              <w:widowControl/>
              <w:jc w:val="right"/>
              <w:rPr>
                <w:rFonts w:ascii="宋体" w:hAnsi="宋体" w:cs="宋体"/>
                <w:b/>
                <w:bCs/>
                <w:kern w:val="0"/>
                <w:sz w:val="20"/>
                <w:szCs w:val="20"/>
              </w:rPr>
            </w:pPr>
            <w:r>
              <w:rPr>
                <w:rFonts w:hint="eastAsia" w:ascii="宋体" w:hAnsi="宋体" w:cs="宋体"/>
                <w:b/>
                <w:bCs/>
                <w:kern w:val="0"/>
                <w:sz w:val="20"/>
                <w:szCs w:val="20"/>
              </w:rPr>
              <w:t>第2页, 共2页</w:t>
            </w:r>
          </w:p>
        </w:tc>
      </w:tr>
      <w:tr>
        <w:tblPrEx>
          <w:tblCellMar>
            <w:top w:w="0" w:type="dxa"/>
            <w:left w:w="108" w:type="dxa"/>
            <w:bottom w:w="0" w:type="dxa"/>
            <w:right w:w="108" w:type="dxa"/>
          </w:tblCellMar>
        </w:tblPrEx>
        <w:trPr>
          <w:trHeight w:val="379" w:hRule="atLeast"/>
        </w:trPr>
        <w:tc>
          <w:tcPr>
            <w:tcW w:w="260"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913"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项目编码</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803"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项目特征描述</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计量</w:t>
            </w:r>
            <w:r>
              <w:rPr>
                <w:rFonts w:hint="eastAsia" w:ascii="宋体" w:hAnsi="宋体" w:cs="宋体"/>
                <w:b/>
                <w:bCs/>
                <w:kern w:val="0"/>
                <w:sz w:val="20"/>
                <w:szCs w:val="20"/>
              </w:rPr>
              <w:br w:type="textWrapping"/>
            </w:r>
            <w:r>
              <w:rPr>
                <w:rFonts w:hint="eastAsia" w:ascii="宋体" w:hAnsi="宋体" w:cs="宋体"/>
                <w:b/>
                <w:bCs/>
                <w:kern w:val="0"/>
                <w:sz w:val="20"/>
                <w:szCs w:val="20"/>
              </w:rPr>
              <w:t>单位</w:t>
            </w:r>
          </w:p>
        </w:tc>
        <w:tc>
          <w:tcPr>
            <w:tcW w:w="457" w:type="pct"/>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工程量</w:t>
            </w:r>
          </w:p>
        </w:tc>
        <w:tc>
          <w:tcPr>
            <w:tcW w:w="1471"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r>
      <w:tr>
        <w:tblPrEx>
          <w:tblCellMar>
            <w:top w:w="0" w:type="dxa"/>
            <w:left w:w="108" w:type="dxa"/>
            <w:bottom w:w="0" w:type="dxa"/>
            <w:right w:w="108" w:type="dxa"/>
          </w:tblCellMar>
        </w:tblPrEx>
        <w:trPr>
          <w:trHeight w:val="379" w:hRule="atLeast"/>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913"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83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80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468" w:type="pct"/>
            <w:gridSpan w:val="2"/>
            <w:vMerge w:val="restar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综合单价</w:t>
            </w:r>
          </w:p>
        </w:tc>
        <w:tc>
          <w:tcPr>
            <w:tcW w:w="611" w:type="pct"/>
            <w:vMerge w:val="restar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合价</w:t>
            </w:r>
          </w:p>
        </w:tc>
        <w:tc>
          <w:tcPr>
            <w:tcW w:w="392"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其中</w:t>
            </w:r>
          </w:p>
        </w:tc>
      </w:tr>
      <w:tr>
        <w:tblPrEx>
          <w:tblCellMar>
            <w:top w:w="0" w:type="dxa"/>
            <w:left w:w="108" w:type="dxa"/>
            <w:bottom w:w="0" w:type="dxa"/>
            <w:right w:w="108" w:type="dxa"/>
          </w:tblCellMar>
        </w:tblPrEx>
        <w:trPr>
          <w:trHeight w:val="379" w:hRule="atLeast"/>
        </w:trPr>
        <w:tc>
          <w:tcPr>
            <w:tcW w:w="26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913"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83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803"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457"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468" w:type="pct"/>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611" w:type="pct"/>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b/>
                <w:bCs/>
                <w:kern w:val="0"/>
                <w:sz w:val="20"/>
                <w:szCs w:val="20"/>
              </w:rPr>
            </w:pPr>
          </w:p>
        </w:tc>
        <w:tc>
          <w:tcPr>
            <w:tcW w:w="392"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暂估价</w:t>
            </w:r>
          </w:p>
        </w:tc>
      </w:tr>
      <w:tr>
        <w:tblPrEx>
          <w:tblCellMar>
            <w:top w:w="0" w:type="dxa"/>
            <w:left w:w="108" w:type="dxa"/>
            <w:bottom w:w="0" w:type="dxa"/>
            <w:right w:w="108" w:type="dxa"/>
          </w:tblCellMar>
        </w:tblPrEx>
        <w:trPr>
          <w:trHeight w:val="720"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SGXCWDHLSZDWD001</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施工现场围挡和临时占地围挡</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SGWDZM001</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施工围档照明</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DLAQFFDB001</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独立安全防护挡板</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m2</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DZSBJC001</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吊装设备基础</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QTCSF</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其他措施项目费</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WY</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围堰</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BDJBQ</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便道及便桥</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DNLSSS</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洞内临时设施</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SGPSJS</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施工排水、降水</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CLJCJK</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处理、监测、监控</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QT001</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其他费用</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项</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1.000</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260"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91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83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措施项目小计</w:t>
            </w:r>
          </w:p>
        </w:tc>
        <w:tc>
          <w:tcPr>
            <w:tcW w:w="803"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259"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5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468"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3997" w:type="pct"/>
            <w:gridSpan w:val="9"/>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本页小计</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3997" w:type="pct"/>
            <w:gridSpan w:val="9"/>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合    计</w:t>
            </w:r>
          </w:p>
        </w:tc>
        <w:tc>
          <w:tcPr>
            <w:tcW w:w="611"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p>
        </w:tc>
        <w:tc>
          <w:tcPr>
            <w:tcW w:w="392"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r>
    </w:tbl>
    <w:p>
      <w:pPr>
        <w:rPr>
          <w:sz w:val="20"/>
          <w:szCs w:val="21"/>
        </w:rPr>
      </w:pPr>
    </w:p>
    <w:p>
      <w:pPr>
        <w:widowControl/>
        <w:jc w:val="left"/>
        <w:rPr>
          <w:sz w:val="20"/>
          <w:szCs w:val="21"/>
        </w:rPr>
      </w:pPr>
      <w:r>
        <w:rPr>
          <w:sz w:val="20"/>
          <w:szCs w:val="21"/>
        </w:rPr>
        <w:br w:type="page"/>
      </w:r>
    </w:p>
    <w:tbl>
      <w:tblPr>
        <w:tblStyle w:val="50"/>
        <w:tblW w:w="5000" w:type="pct"/>
        <w:tblInd w:w="0" w:type="dxa"/>
        <w:tblLayout w:type="autofit"/>
        <w:tblCellMar>
          <w:top w:w="0" w:type="dxa"/>
          <w:left w:w="108" w:type="dxa"/>
          <w:bottom w:w="0" w:type="dxa"/>
          <w:right w:w="108" w:type="dxa"/>
        </w:tblCellMar>
      </w:tblPr>
      <w:tblGrid>
        <w:gridCol w:w="752"/>
        <w:gridCol w:w="394"/>
        <w:gridCol w:w="1109"/>
        <w:gridCol w:w="1279"/>
        <w:gridCol w:w="959"/>
        <w:gridCol w:w="97"/>
        <w:gridCol w:w="519"/>
        <w:gridCol w:w="1110"/>
        <w:gridCol w:w="941"/>
        <w:gridCol w:w="1167"/>
        <w:gridCol w:w="959"/>
      </w:tblGrid>
      <w:tr>
        <w:tblPrEx>
          <w:tblCellMar>
            <w:top w:w="0" w:type="dxa"/>
            <w:left w:w="108" w:type="dxa"/>
            <w:bottom w:w="0" w:type="dxa"/>
            <w:right w:w="108" w:type="dxa"/>
          </w:tblCellMar>
        </w:tblPrEx>
        <w:trPr>
          <w:trHeight w:val="720" w:hRule="atLeast"/>
        </w:trPr>
        <w:tc>
          <w:tcPr>
            <w:tcW w:w="5000" w:type="pct"/>
            <w:gridSpan w:val="11"/>
            <w:tcBorders>
              <w:top w:val="nil"/>
              <w:left w:val="nil"/>
              <w:bottom w:val="nil"/>
              <w:right w:val="nil"/>
            </w:tcBorders>
            <w:shd w:val="clear" w:color="000000"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总价措施项目清单与计价表</w:t>
            </w:r>
          </w:p>
        </w:tc>
      </w:tr>
      <w:tr>
        <w:tblPrEx>
          <w:tblCellMar>
            <w:top w:w="0" w:type="dxa"/>
            <w:left w:w="108" w:type="dxa"/>
            <w:bottom w:w="0" w:type="dxa"/>
            <w:right w:w="108" w:type="dxa"/>
          </w:tblCellMar>
        </w:tblPrEx>
        <w:trPr>
          <w:trHeight w:val="679" w:hRule="atLeast"/>
        </w:trPr>
        <w:tc>
          <w:tcPr>
            <w:tcW w:w="619" w:type="pct"/>
            <w:gridSpan w:val="2"/>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2130" w:type="pct"/>
            <w:gridSpan w:val="5"/>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1105" w:type="pct"/>
            <w:gridSpan w:val="2"/>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标段：</w:t>
            </w:r>
          </w:p>
        </w:tc>
        <w:tc>
          <w:tcPr>
            <w:tcW w:w="1146" w:type="pct"/>
            <w:gridSpan w:val="2"/>
            <w:tcBorders>
              <w:top w:val="nil"/>
              <w:left w:val="nil"/>
              <w:bottom w:val="nil"/>
              <w:right w:val="nil"/>
            </w:tcBorders>
            <w:shd w:val="clear" w:color="000000" w:fill="FFFFFF"/>
            <w:vAlign w:val="bottom"/>
          </w:tcPr>
          <w:p>
            <w:pPr>
              <w:widowControl/>
              <w:jc w:val="right"/>
              <w:rPr>
                <w:rFonts w:ascii="宋体" w:hAnsi="宋体" w:cs="宋体"/>
                <w:b/>
                <w:bCs/>
                <w:kern w:val="0"/>
                <w:sz w:val="20"/>
                <w:szCs w:val="20"/>
              </w:rPr>
            </w:pPr>
            <w:r>
              <w:rPr>
                <w:rFonts w:hint="eastAsia" w:ascii="宋体" w:hAnsi="宋体" w:cs="宋体"/>
                <w:b/>
                <w:bCs/>
                <w:kern w:val="0"/>
                <w:sz w:val="20"/>
                <w:szCs w:val="20"/>
              </w:rPr>
              <w:t>第1页, 共2页</w:t>
            </w:r>
          </w:p>
        </w:tc>
      </w:tr>
      <w:tr>
        <w:tblPrEx>
          <w:tblCellMar>
            <w:top w:w="0" w:type="dxa"/>
            <w:left w:w="108" w:type="dxa"/>
            <w:bottom w:w="0" w:type="dxa"/>
            <w:right w:w="108" w:type="dxa"/>
          </w:tblCellMar>
        </w:tblPrEx>
        <w:trPr>
          <w:trHeight w:val="720" w:hRule="atLeast"/>
        </w:trPr>
        <w:tc>
          <w:tcPr>
            <w:tcW w:w="406"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项目编码</w:t>
            </w:r>
          </w:p>
        </w:tc>
        <w:tc>
          <w:tcPr>
            <w:tcW w:w="690"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517"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计算基础</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598"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507"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调整费率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629"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调整后金额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517"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备注</w:t>
            </w:r>
          </w:p>
        </w:tc>
      </w:tr>
      <w:tr>
        <w:tblPrEx>
          <w:tblCellMar>
            <w:top w:w="0" w:type="dxa"/>
            <w:left w:w="108" w:type="dxa"/>
            <w:bottom w:w="0" w:type="dxa"/>
            <w:right w:w="108" w:type="dxa"/>
          </w:tblCellMar>
        </w:tblPrEx>
        <w:trPr>
          <w:trHeight w:val="720"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AQFHWMSG</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绿色施工安全防护措施费</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1020"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AXSJSCSXMF</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按系数计算的其他安全文明施工措施项目</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6919"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1.1.1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041109001001</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按系数计算的绿色施工安全防护措施费(包括绿色施工、临时设施、安全施工和用工实名管理)</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分部分项人工费+分部分项机具费</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5.22</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以分部分项工程的人工费与施工机具费之和计算，单独场地平整工程按4.35%计算；道路、管网工程按16.50%计算；桥涵、隧道、水处理构筑物工程按14.50%计算；分部分项工程总费用在300万元以内(含300万元)的项目按基本费率乘以1.2计算。</w:t>
            </w:r>
          </w:p>
        </w:tc>
      </w:tr>
      <w:tr>
        <w:tblPrEx>
          <w:tblCellMar>
            <w:top w:w="0" w:type="dxa"/>
            <w:left w:w="108" w:type="dxa"/>
            <w:bottom w:w="0" w:type="dxa"/>
            <w:right w:w="108" w:type="dxa"/>
          </w:tblCellMar>
        </w:tblPrEx>
        <w:trPr>
          <w:trHeight w:val="462"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小计</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462"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QTCSF</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其他措施项目费</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720"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2.1</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HNTMBJZJ</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混凝土模板及支架</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1602" w:hRule="atLeast"/>
        </w:trPr>
        <w:tc>
          <w:tcPr>
            <w:tcW w:w="406"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2.2</w:t>
            </w:r>
          </w:p>
        </w:tc>
        <w:tc>
          <w:tcPr>
            <w:tcW w:w="811"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粤041109009001</w:t>
            </w:r>
          </w:p>
        </w:tc>
        <w:tc>
          <w:tcPr>
            <w:tcW w:w="690"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文明工地增加费</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分部分项人工费+分部分项机具费</w:t>
            </w:r>
          </w:p>
        </w:tc>
        <w:tc>
          <w:tcPr>
            <w:tcW w:w="32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98"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07"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629" w:type="pct"/>
            <w:tcBorders>
              <w:top w:val="nil"/>
              <w:left w:val="nil"/>
              <w:bottom w:val="single" w:color="000000" w:sz="4" w:space="0"/>
              <w:right w:val="single" w:color="000000" w:sz="4" w:space="0"/>
            </w:tcBorders>
            <w:shd w:val="clear" w:color="000000" w:fill="FFFFFF"/>
            <w:vAlign w:val="center"/>
          </w:tcPr>
          <w:p>
            <w:pPr>
              <w:widowControl/>
              <w:jc w:val="right"/>
              <w:rPr>
                <w:rFonts w:ascii="宋体" w:hAnsi="宋体" w:cs="宋体"/>
                <w:kern w:val="0"/>
                <w:sz w:val="20"/>
                <w:szCs w:val="20"/>
              </w:rPr>
            </w:pPr>
            <w:r>
              <w:rPr>
                <w:rFonts w:hint="eastAsia" w:ascii="宋体" w:hAnsi="宋体" w:cs="宋体"/>
                <w:kern w:val="0"/>
                <w:sz w:val="20"/>
                <w:szCs w:val="20"/>
              </w:rPr>
              <w:t>　</w:t>
            </w:r>
          </w:p>
        </w:tc>
        <w:tc>
          <w:tcPr>
            <w:tcW w:w="517" w:type="pct"/>
            <w:tcBorders>
              <w:top w:val="nil"/>
              <w:left w:val="nil"/>
              <w:bottom w:val="single" w:color="000000" w:sz="4" w:space="0"/>
              <w:right w:val="single" w:color="000000"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省级文明工地按1.20%计算；市级文明工地按0.60%计算</w:t>
            </w:r>
          </w:p>
        </w:tc>
      </w:tr>
      <w:tr>
        <w:tblPrEx>
          <w:tblCellMar>
            <w:top w:w="0" w:type="dxa"/>
            <w:left w:w="108" w:type="dxa"/>
            <w:bottom w:w="0" w:type="dxa"/>
            <w:right w:w="108" w:type="dxa"/>
          </w:tblCellMar>
        </w:tblPrEx>
        <w:trPr>
          <w:trHeight w:val="462" w:hRule="atLeast"/>
        </w:trPr>
        <w:tc>
          <w:tcPr>
            <w:tcW w:w="2475" w:type="pct"/>
            <w:gridSpan w:val="6"/>
            <w:tcBorders>
              <w:top w:val="single" w:color="000000" w:sz="4" w:space="0"/>
              <w:left w:val="nil"/>
              <w:bottom w:val="nil"/>
              <w:right w:val="nil"/>
            </w:tcBorders>
            <w:shd w:val="clear" w:color="000000" w:fill="FFFFFF"/>
            <w:vAlign w:val="bottom"/>
          </w:tcPr>
          <w:p>
            <w:pPr>
              <w:widowControl/>
              <w:jc w:val="left"/>
              <w:rPr>
                <w:rFonts w:ascii="宋体" w:hAnsi="宋体" w:cs="宋体"/>
                <w:kern w:val="0"/>
                <w:sz w:val="20"/>
                <w:szCs w:val="20"/>
              </w:rPr>
            </w:pPr>
            <w:r>
              <w:rPr>
                <w:rFonts w:hint="eastAsia" w:ascii="宋体" w:hAnsi="宋体" w:cs="宋体"/>
                <w:kern w:val="0"/>
                <w:sz w:val="20"/>
                <w:szCs w:val="20"/>
              </w:rPr>
              <w:t>编制人（造价人员）：</w:t>
            </w:r>
          </w:p>
        </w:tc>
        <w:tc>
          <w:tcPr>
            <w:tcW w:w="2525" w:type="pct"/>
            <w:gridSpan w:val="5"/>
            <w:tcBorders>
              <w:top w:val="single" w:color="000000" w:sz="4" w:space="0"/>
              <w:left w:val="nil"/>
              <w:bottom w:val="nil"/>
              <w:right w:val="nil"/>
            </w:tcBorders>
            <w:shd w:val="clear" w:color="000000" w:fill="FFFFFF"/>
            <w:vAlign w:val="bottom"/>
          </w:tcPr>
          <w:p>
            <w:pPr>
              <w:widowControl/>
              <w:jc w:val="left"/>
              <w:rPr>
                <w:rFonts w:ascii="宋体" w:hAnsi="宋体" w:cs="宋体"/>
                <w:kern w:val="0"/>
                <w:sz w:val="20"/>
                <w:szCs w:val="20"/>
              </w:rPr>
            </w:pPr>
            <w:r>
              <w:rPr>
                <w:rFonts w:hint="eastAsia" w:ascii="宋体" w:hAnsi="宋体" w:cs="宋体"/>
                <w:kern w:val="0"/>
                <w:sz w:val="20"/>
                <w:szCs w:val="20"/>
              </w:rPr>
              <w:t>复核人（造价工程师）：</w:t>
            </w:r>
          </w:p>
        </w:tc>
      </w:tr>
    </w:tbl>
    <w:p>
      <w:pPr>
        <w:rPr>
          <w:sz w:val="20"/>
          <w:szCs w:val="21"/>
        </w:rPr>
      </w:pPr>
    </w:p>
    <w:tbl>
      <w:tblPr>
        <w:tblStyle w:val="50"/>
        <w:tblW w:w="5000" w:type="pct"/>
        <w:tblInd w:w="0" w:type="dxa"/>
        <w:tblLayout w:type="autofit"/>
        <w:tblCellMar>
          <w:top w:w="0" w:type="dxa"/>
          <w:left w:w="108" w:type="dxa"/>
          <w:bottom w:w="0" w:type="dxa"/>
          <w:right w:w="108" w:type="dxa"/>
        </w:tblCellMar>
      </w:tblPr>
      <w:tblGrid>
        <w:gridCol w:w="590"/>
        <w:gridCol w:w="372"/>
        <w:gridCol w:w="368"/>
        <w:gridCol w:w="368"/>
        <w:gridCol w:w="366"/>
        <w:gridCol w:w="1003"/>
        <w:gridCol w:w="756"/>
        <w:gridCol w:w="637"/>
        <w:gridCol w:w="368"/>
        <w:gridCol w:w="368"/>
        <w:gridCol w:w="470"/>
        <w:gridCol w:w="468"/>
        <w:gridCol w:w="711"/>
        <w:gridCol w:w="388"/>
        <w:gridCol w:w="305"/>
        <w:gridCol w:w="628"/>
        <w:gridCol w:w="1120"/>
      </w:tblGrid>
      <w:tr>
        <w:tblPrEx>
          <w:tblCellMar>
            <w:top w:w="0" w:type="dxa"/>
            <w:left w:w="108" w:type="dxa"/>
            <w:bottom w:w="0" w:type="dxa"/>
            <w:right w:w="108" w:type="dxa"/>
          </w:tblCellMar>
        </w:tblPrEx>
        <w:trPr>
          <w:trHeight w:val="720" w:hRule="atLeast"/>
        </w:trPr>
        <w:tc>
          <w:tcPr>
            <w:tcW w:w="5000" w:type="pct"/>
            <w:gridSpan w:val="17"/>
            <w:tcBorders>
              <w:top w:val="nil"/>
              <w:left w:val="nil"/>
              <w:bottom w:val="nil"/>
              <w:right w:val="nil"/>
            </w:tcBorders>
            <w:shd w:val="clear" w:color="000000"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总价措施项目清单与计价表</w:t>
            </w:r>
          </w:p>
        </w:tc>
      </w:tr>
      <w:tr>
        <w:tblPrEx>
          <w:tblCellMar>
            <w:top w:w="0" w:type="dxa"/>
            <w:left w:w="108" w:type="dxa"/>
            <w:bottom w:w="0" w:type="dxa"/>
            <w:right w:w="108" w:type="dxa"/>
          </w:tblCellMar>
        </w:tblPrEx>
        <w:trPr>
          <w:trHeight w:val="679" w:hRule="atLeast"/>
        </w:trPr>
        <w:tc>
          <w:tcPr>
            <w:tcW w:w="519" w:type="pct"/>
            <w:gridSpan w:val="2"/>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2279" w:type="pct"/>
            <w:gridSpan w:val="8"/>
            <w:tcBorders>
              <w:top w:val="nil"/>
              <w:left w:val="nil"/>
              <w:bottom w:val="nil"/>
              <w:right w:val="nil"/>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888" w:type="pct"/>
            <w:gridSpan w:val="3"/>
            <w:tcBorders>
              <w:top w:val="nil"/>
              <w:left w:val="nil"/>
              <w:bottom w:val="nil"/>
              <w:right w:val="nil"/>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标段：</w:t>
            </w:r>
          </w:p>
        </w:tc>
        <w:tc>
          <w:tcPr>
            <w:tcW w:w="1315" w:type="pct"/>
            <w:gridSpan w:val="4"/>
            <w:tcBorders>
              <w:top w:val="nil"/>
              <w:left w:val="nil"/>
              <w:bottom w:val="nil"/>
              <w:right w:val="nil"/>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第2页, 共2页</w:t>
            </w:r>
          </w:p>
        </w:tc>
      </w:tr>
      <w:tr>
        <w:tblPrEx>
          <w:tblCellMar>
            <w:top w:w="0" w:type="dxa"/>
            <w:left w:w="108" w:type="dxa"/>
            <w:bottom w:w="0" w:type="dxa"/>
            <w:right w:w="108" w:type="dxa"/>
          </w:tblCellMar>
        </w:tblPrEx>
        <w:trPr>
          <w:trHeight w:val="720" w:hRule="atLeast"/>
        </w:trPr>
        <w:tc>
          <w:tcPr>
            <w:tcW w:w="31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项目编码</w:t>
            </w:r>
          </w:p>
        </w:tc>
        <w:tc>
          <w:tcPr>
            <w:tcW w:w="540"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750"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计算基础</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50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383"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调整费率</w:t>
            </w:r>
            <w:r>
              <w:rPr>
                <w:rFonts w:hint="eastAsia" w:ascii="宋体" w:hAnsi="宋体" w:cs="宋体"/>
                <w:b/>
                <w:bCs/>
                <w:kern w:val="0"/>
                <w:sz w:val="20"/>
                <w:szCs w:val="20"/>
              </w:rPr>
              <w:br w:type="textWrapping"/>
            </w:r>
            <w:r>
              <w:rPr>
                <w:rFonts w:hint="eastAsia" w:ascii="宋体" w:hAnsi="宋体" w:cs="宋体"/>
                <w:b/>
                <w:bCs/>
                <w:kern w:val="0"/>
                <w:sz w:val="20"/>
                <w:szCs w:val="20"/>
              </w:rPr>
              <w:t>(%)</w:t>
            </w:r>
          </w:p>
        </w:tc>
        <w:tc>
          <w:tcPr>
            <w:tcW w:w="373"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调整后金额</w:t>
            </w:r>
            <w:r>
              <w:rPr>
                <w:rFonts w:hint="eastAsia" w:ascii="宋体" w:hAnsi="宋体" w:cs="宋体"/>
                <w:b/>
                <w:bCs/>
                <w:kern w:val="0"/>
                <w:sz w:val="20"/>
                <w:szCs w:val="20"/>
              </w:rPr>
              <w:br w:type="textWrapping"/>
            </w:r>
            <w:r>
              <w:rPr>
                <w:rFonts w:hint="eastAsia" w:ascii="宋体" w:hAnsi="宋体" w:cs="宋体"/>
                <w:b/>
                <w:bCs/>
                <w:kern w:val="0"/>
                <w:sz w:val="20"/>
                <w:szCs w:val="20"/>
              </w:rPr>
              <w:t>(元)</w:t>
            </w:r>
          </w:p>
        </w:tc>
        <w:tc>
          <w:tcPr>
            <w:tcW w:w="942"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备注</w:t>
            </w:r>
          </w:p>
        </w:tc>
      </w:tr>
      <w:tr>
        <w:tblPrEx>
          <w:tblCellMar>
            <w:top w:w="0" w:type="dxa"/>
            <w:left w:w="108" w:type="dxa"/>
            <w:bottom w:w="0" w:type="dxa"/>
            <w:right w:w="108" w:type="dxa"/>
          </w:tblCellMar>
        </w:tblPrEx>
        <w:trPr>
          <w:trHeight w:val="1020"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2.3</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041109002001</w:t>
            </w:r>
          </w:p>
        </w:tc>
        <w:tc>
          <w:tcPr>
            <w:tcW w:w="5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夜间施工增加费</w:t>
            </w:r>
          </w:p>
        </w:tc>
        <w:tc>
          <w:tcPr>
            <w:tcW w:w="750"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夜间施工人工费</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20.00</w:t>
            </w:r>
          </w:p>
        </w:tc>
        <w:tc>
          <w:tcPr>
            <w:tcW w:w="505"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按夜间施工项目人工的20%计算</w:t>
            </w:r>
          </w:p>
        </w:tc>
      </w:tr>
      <w:tr>
        <w:tblPrEx>
          <w:tblCellMar>
            <w:top w:w="0" w:type="dxa"/>
            <w:left w:w="108" w:type="dxa"/>
            <w:bottom w:w="0" w:type="dxa"/>
            <w:right w:w="108" w:type="dxa"/>
          </w:tblCellMar>
        </w:tblPrEx>
        <w:trPr>
          <w:trHeight w:val="1602"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2.4</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JTSJYZZF001</w:t>
            </w:r>
          </w:p>
        </w:tc>
        <w:tc>
          <w:tcPr>
            <w:tcW w:w="5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交通疏解员增加费</w:t>
            </w:r>
          </w:p>
        </w:tc>
        <w:tc>
          <w:tcPr>
            <w:tcW w:w="750"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分部分项人工费</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505"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按照项目分部分项人工费的15.00%计算</w:t>
            </w:r>
          </w:p>
        </w:tc>
      </w:tr>
      <w:tr>
        <w:tblPrEx>
          <w:tblCellMar>
            <w:top w:w="0" w:type="dxa"/>
            <w:left w:w="108" w:type="dxa"/>
            <w:bottom w:w="0" w:type="dxa"/>
            <w:right w:w="108" w:type="dxa"/>
          </w:tblCellMar>
        </w:tblPrEx>
        <w:trPr>
          <w:trHeight w:val="598"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2.5</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DXGXJCJXF001</w:t>
            </w:r>
          </w:p>
        </w:tc>
        <w:tc>
          <w:tcPr>
            <w:tcW w:w="5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地下管线交叉降效费</w:t>
            </w:r>
          </w:p>
        </w:tc>
        <w:tc>
          <w:tcPr>
            <w:tcW w:w="750"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505"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109"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2.6</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粤041109008001</w:t>
            </w:r>
          </w:p>
        </w:tc>
        <w:tc>
          <w:tcPr>
            <w:tcW w:w="5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赶工措施费</w:t>
            </w:r>
          </w:p>
        </w:tc>
        <w:tc>
          <w:tcPr>
            <w:tcW w:w="750"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(1-合同工期/标准工期)*(分部分项人工费+分部分项机具费)</w:t>
            </w: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30.00</w:t>
            </w:r>
          </w:p>
        </w:tc>
        <w:tc>
          <w:tcPr>
            <w:tcW w:w="505"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318" w:type="pct"/>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794"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540"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小计</w:t>
            </w:r>
          </w:p>
        </w:tc>
        <w:tc>
          <w:tcPr>
            <w:tcW w:w="750"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95"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505"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83"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73"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94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2798" w:type="pct"/>
            <w:gridSpan w:val="10"/>
            <w:tcBorders>
              <w:top w:val="single" w:color="000000" w:sz="4" w:space="0"/>
              <w:left w:val="single" w:color="000000" w:sz="4" w:space="0"/>
              <w:bottom w:val="single" w:color="auto"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合    计</w:t>
            </w:r>
          </w:p>
        </w:tc>
        <w:tc>
          <w:tcPr>
            <w:tcW w:w="505" w:type="pct"/>
            <w:gridSpan w:val="2"/>
            <w:tcBorders>
              <w:top w:val="nil"/>
              <w:left w:val="nil"/>
              <w:bottom w:val="single" w:color="auto"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83" w:type="pct"/>
            <w:tcBorders>
              <w:top w:val="nil"/>
              <w:left w:val="nil"/>
              <w:bottom w:val="single" w:color="auto"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373" w:type="pct"/>
            <w:gridSpan w:val="2"/>
            <w:tcBorders>
              <w:top w:val="nil"/>
              <w:left w:val="nil"/>
              <w:bottom w:val="single" w:color="auto"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942" w:type="pct"/>
            <w:gridSpan w:val="2"/>
            <w:tcBorders>
              <w:top w:val="nil"/>
              <w:left w:val="nil"/>
              <w:bottom w:val="single" w:color="auto"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720" w:hRule="atLeast"/>
        </w:trPr>
        <w:tc>
          <w:tcPr>
            <w:tcW w:w="5000" w:type="pct"/>
            <w:gridSpan w:val="17"/>
            <w:tcBorders>
              <w:top w:val="nil"/>
              <w:left w:val="nil"/>
              <w:bottom w:val="nil"/>
              <w:right w:val="nil"/>
            </w:tcBorders>
            <w:shd w:val="clear" w:color="000000"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规费、税金项目计价表</w:t>
            </w:r>
          </w:p>
        </w:tc>
      </w:tr>
      <w:tr>
        <w:tblPrEx>
          <w:tblCellMar>
            <w:top w:w="0" w:type="dxa"/>
            <w:left w:w="108" w:type="dxa"/>
            <w:bottom w:w="0" w:type="dxa"/>
            <w:right w:w="108" w:type="dxa"/>
          </w:tblCellMar>
        </w:tblPrEx>
        <w:trPr>
          <w:trHeight w:val="679" w:hRule="atLeast"/>
        </w:trPr>
        <w:tc>
          <w:tcPr>
            <w:tcW w:w="915" w:type="pct"/>
            <w:gridSpan w:val="4"/>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2136" w:type="pct"/>
            <w:gridSpan w:val="7"/>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844" w:type="pct"/>
            <w:gridSpan w:val="3"/>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标段：</w:t>
            </w:r>
          </w:p>
        </w:tc>
        <w:tc>
          <w:tcPr>
            <w:tcW w:w="1106" w:type="pct"/>
            <w:gridSpan w:val="3"/>
            <w:tcBorders>
              <w:top w:val="nil"/>
              <w:left w:val="nil"/>
              <w:bottom w:val="nil"/>
              <w:right w:val="nil"/>
            </w:tcBorders>
            <w:shd w:val="clear" w:color="000000" w:fill="FFFFFF"/>
            <w:vAlign w:val="bottom"/>
          </w:tcPr>
          <w:p>
            <w:pPr>
              <w:widowControl/>
              <w:jc w:val="right"/>
              <w:rPr>
                <w:rFonts w:ascii="宋体" w:hAnsi="宋体" w:cs="宋体"/>
                <w:b/>
                <w:bCs/>
                <w:kern w:val="0"/>
                <w:sz w:val="20"/>
                <w:szCs w:val="20"/>
              </w:rPr>
            </w:pPr>
            <w:r>
              <w:rPr>
                <w:rFonts w:hint="eastAsia" w:ascii="宋体" w:hAnsi="宋体" w:cs="宋体"/>
                <w:b/>
                <w:bCs/>
                <w:kern w:val="0"/>
                <w:sz w:val="20"/>
                <w:szCs w:val="20"/>
              </w:rPr>
              <w:t>第1页, 共1页</w:t>
            </w:r>
          </w:p>
        </w:tc>
      </w:tr>
      <w:tr>
        <w:tblPrEx>
          <w:tblCellMar>
            <w:top w:w="0" w:type="dxa"/>
            <w:left w:w="108" w:type="dxa"/>
            <w:bottom w:w="0" w:type="dxa"/>
            <w:right w:w="108" w:type="dxa"/>
          </w:tblCellMar>
        </w:tblPrEx>
        <w:trPr>
          <w:trHeight w:val="462" w:hRule="atLeast"/>
        </w:trPr>
        <w:tc>
          <w:tcPr>
            <w:tcW w:w="717" w:type="pct"/>
            <w:gridSpan w:val="3"/>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1342"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项目名称</w:t>
            </w:r>
          </w:p>
        </w:tc>
        <w:tc>
          <w:tcPr>
            <w:tcW w:w="991"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计算基础</w:t>
            </w:r>
          </w:p>
        </w:tc>
        <w:tc>
          <w:tcPr>
            <w:tcW w:w="844" w:type="pct"/>
            <w:gridSpan w:val="3"/>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计算基数</w:t>
            </w:r>
          </w:p>
        </w:tc>
        <w:tc>
          <w:tcPr>
            <w:tcW w:w="502"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计算费率(%)</w:t>
            </w:r>
          </w:p>
        </w:tc>
        <w:tc>
          <w:tcPr>
            <w:tcW w:w="604" w:type="pct"/>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r>
      <w:tr>
        <w:tblPrEx>
          <w:tblCellMar>
            <w:top w:w="0" w:type="dxa"/>
            <w:left w:w="108" w:type="dxa"/>
            <w:bottom w:w="0" w:type="dxa"/>
            <w:right w:w="108" w:type="dxa"/>
          </w:tblCellMar>
        </w:tblPrEx>
        <w:trPr>
          <w:trHeight w:val="462" w:hRule="atLeast"/>
        </w:trPr>
        <w:tc>
          <w:tcPr>
            <w:tcW w:w="717" w:type="pct"/>
            <w:gridSpan w:val="3"/>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342"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规费</w:t>
            </w:r>
          </w:p>
        </w:tc>
        <w:tc>
          <w:tcPr>
            <w:tcW w:w="991"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844" w:type="pct"/>
            <w:gridSpan w:val="3"/>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50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604"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717" w:type="pct"/>
            <w:gridSpan w:val="3"/>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342"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增值税销项税额</w:t>
            </w:r>
          </w:p>
        </w:tc>
        <w:tc>
          <w:tcPr>
            <w:tcW w:w="991" w:type="pct"/>
            <w:gridSpan w:val="4"/>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税前工程造价</w:t>
            </w:r>
          </w:p>
        </w:tc>
        <w:tc>
          <w:tcPr>
            <w:tcW w:w="844" w:type="pct"/>
            <w:gridSpan w:val="3"/>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50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604"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3894" w:type="pct"/>
            <w:gridSpan w:val="14"/>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合    计</w:t>
            </w:r>
          </w:p>
        </w:tc>
        <w:tc>
          <w:tcPr>
            <w:tcW w:w="502"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604" w:type="pct"/>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2600" w:type="pct"/>
            <w:gridSpan w:val="9"/>
            <w:tcBorders>
              <w:top w:val="single" w:color="000000" w:sz="4" w:space="0"/>
              <w:left w:val="nil"/>
              <w:bottom w:val="nil"/>
              <w:right w:val="nil"/>
            </w:tcBorders>
            <w:shd w:val="clear" w:color="000000" w:fill="FFFFFF"/>
            <w:vAlign w:val="bottom"/>
          </w:tcPr>
          <w:p>
            <w:pPr>
              <w:widowControl/>
              <w:jc w:val="left"/>
              <w:rPr>
                <w:rFonts w:ascii="宋体" w:hAnsi="宋体" w:cs="宋体"/>
                <w:kern w:val="0"/>
                <w:sz w:val="20"/>
                <w:szCs w:val="20"/>
              </w:rPr>
            </w:pPr>
            <w:r>
              <w:rPr>
                <w:rFonts w:hint="eastAsia" w:ascii="宋体" w:hAnsi="宋体" w:cs="宋体"/>
                <w:kern w:val="0"/>
                <w:sz w:val="20"/>
                <w:szCs w:val="20"/>
              </w:rPr>
              <w:t>编制人（造价人员）：</w:t>
            </w:r>
          </w:p>
        </w:tc>
        <w:tc>
          <w:tcPr>
            <w:tcW w:w="2400" w:type="pct"/>
            <w:gridSpan w:val="8"/>
            <w:tcBorders>
              <w:top w:val="single" w:color="000000" w:sz="4" w:space="0"/>
              <w:left w:val="nil"/>
              <w:bottom w:val="nil"/>
              <w:right w:val="nil"/>
            </w:tcBorders>
            <w:shd w:val="clear" w:color="000000" w:fill="FFFFFF"/>
            <w:vAlign w:val="bottom"/>
          </w:tcPr>
          <w:p>
            <w:pPr>
              <w:widowControl/>
              <w:jc w:val="left"/>
              <w:rPr>
                <w:rFonts w:ascii="宋体" w:hAnsi="宋体" w:cs="宋体"/>
                <w:kern w:val="0"/>
                <w:sz w:val="20"/>
                <w:szCs w:val="20"/>
              </w:rPr>
            </w:pPr>
            <w:r>
              <w:rPr>
                <w:rFonts w:hint="eastAsia" w:ascii="宋体" w:hAnsi="宋体" w:cs="宋体"/>
                <w:kern w:val="0"/>
                <w:sz w:val="20"/>
                <w:szCs w:val="20"/>
              </w:rPr>
              <w:t>复核人（造价工程师）：</w:t>
            </w:r>
          </w:p>
        </w:tc>
      </w:tr>
    </w:tbl>
    <w:p>
      <w:pPr>
        <w:rPr>
          <w:sz w:val="20"/>
          <w:szCs w:val="21"/>
        </w:rPr>
      </w:pPr>
    </w:p>
    <w:p/>
    <w:tbl>
      <w:tblPr>
        <w:tblStyle w:val="50"/>
        <w:tblW w:w="0" w:type="auto"/>
        <w:tblInd w:w="0" w:type="dxa"/>
        <w:tblLayout w:type="autofit"/>
        <w:tblCellMar>
          <w:top w:w="0" w:type="dxa"/>
          <w:left w:w="108" w:type="dxa"/>
          <w:bottom w:w="0" w:type="dxa"/>
          <w:right w:w="108" w:type="dxa"/>
        </w:tblCellMar>
      </w:tblPr>
      <w:tblGrid>
        <w:gridCol w:w="964"/>
        <w:gridCol w:w="679"/>
        <w:gridCol w:w="638"/>
        <w:gridCol w:w="1914"/>
        <w:gridCol w:w="3011"/>
        <w:gridCol w:w="716"/>
        <w:gridCol w:w="1364"/>
      </w:tblGrid>
      <w:tr>
        <w:tblPrEx>
          <w:tblCellMar>
            <w:top w:w="0" w:type="dxa"/>
            <w:left w:w="108" w:type="dxa"/>
            <w:bottom w:w="0" w:type="dxa"/>
            <w:right w:w="108" w:type="dxa"/>
          </w:tblCellMar>
        </w:tblPrEx>
        <w:trPr>
          <w:trHeight w:val="720" w:hRule="atLeast"/>
        </w:trPr>
        <w:tc>
          <w:tcPr>
            <w:tcW w:w="0" w:type="auto"/>
            <w:gridSpan w:val="7"/>
            <w:tcBorders>
              <w:top w:val="nil"/>
              <w:left w:val="nil"/>
              <w:bottom w:val="nil"/>
              <w:right w:val="nil"/>
            </w:tcBorders>
            <w:shd w:val="clear" w:color="000000" w:fill="FFFFFF"/>
            <w:vAlign w:val="center"/>
          </w:tcPr>
          <w:p>
            <w:pPr>
              <w:widowControl/>
              <w:jc w:val="center"/>
              <w:rPr>
                <w:rFonts w:ascii="宋体" w:hAnsi="宋体" w:cs="宋体"/>
                <w:b/>
                <w:bCs/>
                <w:kern w:val="0"/>
                <w:sz w:val="40"/>
                <w:szCs w:val="40"/>
              </w:rPr>
            </w:pPr>
            <w:r>
              <w:rPr>
                <w:rFonts w:hint="eastAsia" w:ascii="宋体" w:hAnsi="宋体" w:cs="宋体"/>
                <w:b/>
                <w:bCs/>
                <w:kern w:val="0"/>
                <w:sz w:val="40"/>
                <w:szCs w:val="40"/>
              </w:rPr>
              <w:t>主要材料设备价格表</w:t>
            </w:r>
          </w:p>
        </w:tc>
      </w:tr>
      <w:tr>
        <w:tblPrEx>
          <w:tblCellMar>
            <w:top w:w="0" w:type="dxa"/>
            <w:left w:w="108" w:type="dxa"/>
            <w:bottom w:w="0" w:type="dxa"/>
            <w:right w:w="108" w:type="dxa"/>
          </w:tblCellMar>
        </w:tblPrEx>
        <w:trPr>
          <w:trHeight w:val="600" w:hRule="atLeast"/>
        </w:trPr>
        <w:tc>
          <w:tcPr>
            <w:tcW w:w="0" w:type="auto"/>
            <w:gridSpan w:val="2"/>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工程名称:</w:t>
            </w:r>
          </w:p>
        </w:tc>
        <w:tc>
          <w:tcPr>
            <w:tcW w:w="0" w:type="auto"/>
            <w:gridSpan w:val="3"/>
            <w:tcBorders>
              <w:top w:val="nil"/>
              <w:left w:val="nil"/>
              <w:bottom w:val="nil"/>
              <w:right w:val="nil"/>
            </w:tcBorders>
            <w:shd w:val="clear" w:color="000000" w:fill="FFFFFF"/>
            <w:vAlign w:val="bottom"/>
          </w:tcPr>
          <w:p>
            <w:pPr>
              <w:widowControl/>
              <w:jc w:val="left"/>
              <w:rPr>
                <w:rFonts w:ascii="宋体" w:hAnsi="宋体" w:cs="宋体"/>
                <w:b/>
                <w:bCs/>
                <w:kern w:val="0"/>
                <w:sz w:val="20"/>
                <w:szCs w:val="20"/>
              </w:rPr>
            </w:pPr>
            <w:r>
              <w:rPr>
                <w:rFonts w:hint="eastAsia" w:ascii="宋体" w:hAnsi="宋体" w:cs="宋体"/>
                <w:b/>
                <w:bCs/>
                <w:kern w:val="0"/>
                <w:sz w:val="20"/>
                <w:szCs w:val="20"/>
              </w:rPr>
              <w:t>江门市江海区和德路及应急产业项目占用耕地耕作层土壤剥离再利用</w:t>
            </w:r>
          </w:p>
        </w:tc>
        <w:tc>
          <w:tcPr>
            <w:tcW w:w="0" w:type="auto"/>
            <w:gridSpan w:val="2"/>
            <w:tcBorders>
              <w:top w:val="nil"/>
              <w:left w:val="nil"/>
              <w:bottom w:val="nil"/>
              <w:right w:val="nil"/>
            </w:tcBorders>
            <w:shd w:val="clear" w:color="000000" w:fill="FFFFFF"/>
            <w:vAlign w:val="bottom"/>
          </w:tcPr>
          <w:p>
            <w:pPr>
              <w:widowControl/>
              <w:jc w:val="right"/>
              <w:rPr>
                <w:rFonts w:ascii="宋体" w:hAnsi="宋体" w:cs="宋体"/>
                <w:b/>
                <w:bCs/>
                <w:kern w:val="0"/>
                <w:sz w:val="20"/>
                <w:szCs w:val="20"/>
              </w:rPr>
            </w:pPr>
            <w:r>
              <w:rPr>
                <w:rFonts w:hint="eastAsia" w:ascii="宋体" w:hAnsi="宋体" w:cs="宋体"/>
                <w:b/>
                <w:bCs/>
                <w:kern w:val="0"/>
                <w:sz w:val="20"/>
                <w:szCs w:val="20"/>
              </w:rPr>
              <w:t>第1页, 共1页</w:t>
            </w:r>
          </w:p>
        </w:tc>
      </w:tr>
      <w:tr>
        <w:tblPrEx>
          <w:tblCellMar>
            <w:top w:w="0" w:type="dxa"/>
            <w:left w:w="108" w:type="dxa"/>
            <w:bottom w:w="0" w:type="dxa"/>
            <w:right w:w="108" w:type="dxa"/>
          </w:tblCellMar>
        </w:tblPrEx>
        <w:trPr>
          <w:trHeight w:val="462" w:hRule="atLeast"/>
        </w:trPr>
        <w:tc>
          <w:tcPr>
            <w:tcW w:w="0" w:type="auto"/>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材料设备编码</w:t>
            </w:r>
          </w:p>
        </w:tc>
        <w:tc>
          <w:tcPr>
            <w:tcW w:w="0" w:type="auto"/>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材料设备名称</w:t>
            </w:r>
          </w:p>
        </w:tc>
        <w:tc>
          <w:tcPr>
            <w:tcW w:w="0" w:type="auto"/>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规格、型号等特殊要求</w:t>
            </w:r>
          </w:p>
        </w:tc>
        <w:tc>
          <w:tcPr>
            <w:tcW w:w="0" w:type="auto"/>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单位</w:t>
            </w:r>
          </w:p>
        </w:tc>
        <w:tc>
          <w:tcPr>
            <w:tcW w:w="0" w:type="auto"/>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除税编制价(元)</w:t>
            </w: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00010003</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机上人工</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工日</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00010010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人工费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02090020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聚氯乙烯薄膜</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m2</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99450630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折旧费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99450640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检修费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99450650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维护费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99450660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安拆费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99450680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柴油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(机械用)0#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kg</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99450700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电</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(机械用)</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kw·h</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62" w:hRule="atLeast"/>
        </w:trPr>
        <w:tc>
          <w:tcPr>
            <w:tcW w:w="0" w:type="auto"/>
            <w:tcBorders>
              <w:top w:val="nil"/>
              <w:left w:val="single" w:color="000000" w:sz="4" w:space="0"/>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0" w:type="auto"/>
            <w:gridSpan w:val="2"/>
            <w:tcBorders>
              <w:top w:val="single" w:color="000000" w:sz="4" w:space="0"/>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99450760</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其他材料费</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r>
              <w:rPr>
                <w:rFonts w:hint="eastAsia" w:ascii="宋体" w:hAnsi="宋体" w:cs="宋体"/>
                <w:kern w:val="0"/>
                <w:sz w:val="20"/>
                <w:szCs w:val="20"/>
              </w:rPr>
              <w:t>元</w:t>
            </w:r>
          </w:p>
        </w:tc>
        <w:tc>
          <w:tcPr>
            <w:tcW w:w="0" w:type="auto"/>
            <w:tcBorders>
              <w:top w:val="nil"/>
              <w:left w:val="nil"/>
              <w:bottom w:val="single" w:color="000000" w:sz="4" w:space="0"/>
              <w:right w:val="single" w:color="000000" w:sz="4" w:space="0"/>
            </w:tcBorders>
            <w:shd w:val="clear" w:color="000000" w:fill="FFFFFF"/>
            <w:vAlign w:val="center"/>
          </w:tcPr>
          <w:p>
            <w:pPr>
              <w:widowControl/>
              <w:jc w:val="center"/>
              <w:rPr>
                <w:rFonts w:ascii="宋体" w:hAnsi="宋体" w:cs="宋体"/>
                <w:kern w:val="0"/>
                <w:sz w:val="20"/>
                <w:szCs w:val="20"/>
              </w:rPr>
            </w:pPr>
          </w:p>
        </w:tc>
      </w:tr>
    </w:tbl>
    <w:p/>
    <w:sectPr>
      <w:pgSz w:w="11906" w:h="16838"/>
      <w:pgMar w:top="1440" w:right="1418" w:bottom="1440" w:left="1418" w:header="657" w:footer="48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6"/>
    <w:family w:val="roman"/>
    <w:pitch w:val="default"/>
    <w:sig w:usb0="FFFFFFFF" w:usb1="E9FFFFFF" w:usb2="0000003F" w:usb3="00000000" w:csb0="603F01FF" w:csb1="FFFF0000"/>
  </w:font>
  <w:font w:name="新宋体">
    <w:panose1 w:val="02010609030101010101"/>
    <w:charset w:val="86"/>
    <w:family w:val="modern"/>
    <w:pitch w:val="default"/>
    <w:sig w:usb0="000002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MingLiU"/>
    <w:panose1 w:val="02010601000101010101"/>
    <w:charset w:val="88"/>
    <w:family w:val="roman"/>
    <w:pitch w:val="default"/>
    <w:sig w:usb0="00000000" w:usb1="00000000" w:usb2="00000016" w:usb3="00000000" w:csb0="00100001" w:csb1="00000000"/>
  </w:font>
  <w:font w:name="MingLiU">
    <w:panose1 w:val="02010609000101010101"/>
    <w:charset w:val="88"/>
    <w:family w:val="auto"/>
    <w:pitch w:val="default"/>
    <w:sig w:usb0="80000001" w:usb1="28091800" w:usb2="00000016" w:usb3="00000000" w:csb0="00100001" w:csb1="00000000"/>
  </w:font>
  <w:font w:name="方正书宋简体">
    <w:altName w:val="宋体"/>
    <w:panose1 w:val="02010601030101010101"/>
    <w:charset w:val="86"/>
    <w:family w:val="auto"/>
    <w:pitch w:val="default"/>
    <w:sig w:usb0="00000000" w:usb1="00000000" w:usb2="00000010" w:usb3="00000000" w:csb0="00040000" w:csb1="00000000"/>
  </w:font>
  <w:font w:name="汉仪大黑简">
    <w:altName w:val="宋体"/>
    <w:panose1 w:val="00000000000000000000"/>
    <w:charset w:val="86"/>
    <w:family w:val="modern"/>
    <w:pitch w:val="default"/>
    <w:sig w:usb0="00000000" w:usb1="00000000" w:usb2="00000012"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ordWrap w:val="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 PAGE  \* ArabicDash  \* MERGEFORMAT </w:instrText>
    </w:r>
    <w:r>
      <w:rPr>
        <w:rFonts w:ascii="宋体" w:hAnsi="宋体"/>
        <w:sz w:val="21"/>
        <w:szCs w:val="21"/>
      </w:rPr>
      <w:fldChar w:fldCharType="separate"/>
    </w:r>
    <w:r>
      <w:rPr>
        <w:rFonts w:ascii="宋体" w:hAnsi="宋体"/>
        <w:sz w:val="21"/>
        <w:szCs w:val="21"/>
      </w:rPr>
      <w:t>- 35 -</w:t>
    </w:r>
    <w:r>
      <w:rPr>
        <w:rFonts w:ascii="宋体" w:hAnsi="宋体"/>
        <w:sz w:val="21"/>
        <w:szCs w:val="21"/>
      </w:rPr>
      <w:fldChar w:fldCharType="end"/>
    </w:r>
    <w:r>
      <w:rPr>
        <w:rFonts w:hint="eastAsia" w:ascii="宋体" w:hAnsi="宋体"/>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4"/>
      </w:rPr>
    </w:pPr>
    <w:r>
      <w:fldChar w:fldCharType="begin"/>
    </w:r>
    <w:r>
      <w:rPr>
        <w:rStyle w:val="54"/>
      </w:rPr>
      <w:instrText xml:space="preserve">PAGE  </w:instrText>
    </w:r>
    <w:r>
      <w:fldChar w:fldCharType="separate"/>
    </w:r>
    <w:r>
      <w:rPr>
        <w:rStyle w:val="54"/>
      </w:rPr>
      <w:t>21</w:t>
    </w:r>
    <w:r>
      <w:fldChar w:fldCharType="end"/>
    </w:r>
  </w:p>
  <w:p>
    <w:pPr>
      <w:pStyle w:val="3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4C2E6"/>
    <w:multiLevelType w:val="singleLevel"/>
    <w:tmpl w:val="D254C2E6"/>
    <w:lvl w:ilvl="0" w:tentative="0">
      <w:start w:val="1"/>
      <w:numFmt w:val="decimal"/>
      <w:suff w:val="nothing"/>
      <w:lvlText w:val="（%1）"/>
      <w:lvlJc w:val="left"/>
    </w:lvl>
  </w:abstractNum>
  <w:abstractNum w:abstractNumId="1">
    <w:nsid w:val="00000018"/>
    <w:multiLevelType w:val="multilevel"/>
    <w:tmpl w:val="00000018"/>
    <w:lvl w:ilvl="0" w:tentative="0">
      <w:start w:val="1"/>
      <w:numFmt w:val="chineseCountingThousand"/>
      <w:pStyle w:val="161"/>
      <w:lvlText w:val="第%1章"/>
      <w:lvlJc w:val="left"/>
      <w:pPr>
        <w:tabs>
          <w:tab w:val="left" w:pos="1440"/>
        </w:tabs>
        <w:ind w:left="425" w:hanging="425"/>
      </w:pPr>
      <w:rPr>
        <w:rFonts w:hint="eastAsia"/>
      </w:rPr>
    </w:lvl>
    <w:lvl w:ilvl="1" w:tentative="0">
      <w:start w:val="1"/>
      <w:numFmt w:val="chineseCountingThousand"/>
      <w:pStyle w:val="162"/>
      <w:lvlText w:val="%2."/>
      <w:lvlJc w:val="left"/>
      <w:pPr>
        <w:tabs>
          <w:tab w:val="left" w:pos="785"/>
        </w:tabs>
        <w:ind w:left="0" w:firstLine="425"/>
      </w:pPr>
      <w:rPr>
        <w:rFonts w:hint="eastAsia"/>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
    <w:nsid w:val="0000001B"/>
    <w:multiLevelType w:val="multilevel"/>
    <w:tmpl w:val="0000001B"/>
    <w:lvl w:ilvl="0" w:tentative="0">
      <w:start w:val="1"/>
      <w:numFmt w:val="decimal"/>
      <w:lvlText w:val="%1."/>
      <w:lvlJc w:val="left"/>
      <w:pPr>
        <w:tabs>
          <w:tab w:val="left" w:pos="780"/>
        </w:tabs>
        <w:ind w:left="780" w:hanging="360"/>
      </w:pPr>
      <w:rPr>
        <w:rFonts w:hint="eastAsia"/>
      </w:rPr>
    </w:lvl>
    <w:lvl w:ilvl="1" w:tentative="0">
      <w:start w:val="1"/>
      <w:numFmt w:val="bullet"/>
      <w:pStyle w:val="16"/>
      <w:lvlText w:val=""/>
      <w:lvlJc w:val="left"/>
      <w:pPr>
        <w:tabs>
          <w:tab w:val="left" w:pos="1440"/>
        </w:tabs>
        <w:ind w:left="1432" w:hanging="352"/>
      </w:pPr>
      <w:rPr>
        <w:rFonts w:hint="default" w:ascii="Wingdings" w:hAnsi="Wingdings"/>
      </w:rPr>
    </w:lvl>
    <w:lvl w:ilvl="2" w:tentative="0">
      <w:start w:val="1"/>
      <w:numFmt w:val="decimal"/>
      <w:lvlText w:val="%3."/>
      <w:lvlJc w:val="left"/>
      <w:pPr>
        <w:tabs>
          <w:tab w:val="left" w:pos="2340"/>
        </w:tabs>
        <w:ind w:left="2340" w:hanging="360"/>
      </w:pPr>
      <w:rPr>
        <w:rFonts w:hint="eastAsia"/>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0000001C"/>
    <w:multiLevelType w:val="multilevel"/>
    <w:tmpl w:val="0000001C"/>
    <w:lvl w:ilvl="0" w:tentative="0">
      <w:start w:val="1"/>
      <w:numFmt w:val="decimal"/>
      <w:pStyle w:val="211"/>
      <w:lvlText w:val="%1"/>
      <w:lvlJc w:val="left"/>
      <w:pPr>
        <w:tabs>
          <w:tab w:val="left" w:pos="425"/>
        </w:tabs>
        <w:ind w:left="425" w:hanging="425"/>
      </w:pPr>
      <w:rPr>
        <w:rFonts w:hint="eastAsia" w:ascii="宋体" w:hAnsi="宋体" w:eastAsia="宋体"/>
        <w:sz w:val="26"/>
        <w:szCs w:val="26"/>
      </w:rPr>
    </w:lvl>
    <w:lvl w:ilvl="1" w:tentative="0">
      <w:start w:val="1"/>
      <w:numFmt w:val="decimal"/>
      <w:lvlText w:val="%1.%2"/>
      <w:lvlJc w:val="left"/>
      <w:pPr>
        <w:tabs>
          <w:tab w:val="left" w:pos="5967"/>
        </w:tabs>
        <w:ind w:left="5967" w:hanging="567"/>
      </w:pPr>
      <w:rPr>
        <w:rFonts w:hint="eastAsia" w:ascii="宋体" w:hAnsi="宋体" w:eastAsia="宋体"/>
        <w:b w:val="0"/>
        <w:i w:val="0"/>
        <w:sz w:val="26"/>
        <w:szCs w:val="21"/>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1F"/>
    <w:multiLevelType w:val="multilevel"/>
    <w:tmpl w:val="0000001F"/>
    <w:lvl w:ilvl="0" w:tentative="0">
      <w:start w:val="1"/>
      <w:numFmt w:val="chineseCountingThousand"/>
      <w:pStyle w:val="95"/>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00000023"/>
    <w:multiLevelType w:val="multilevel"/>
    <w:tmpl w:val="00000023"/>
    <w:lvl w:ilvl="0" w:tentative="0">
      <w:start w:val="1"/>
      <w:numFmt w:val="chineseCountingThousand"/>
      <w:pStyle w:val="189"/>
      <w:lvlText w:val="第%1章"/>
      <w:lvlJc w:val="left"/>
      <w:pPr>
        <w:tabs>
          <w:tab w:val="left" w:pos="1440"/>
        </w:tabs>
        <w:ind w:left="425" w:hanging="425"/>
      </w:pPr>
      <w:rPr>
        <w:rFonts w:hint="eastAsia"/>
      </w:rPr>
    </w:lvl>
    <w:lvl w:ilvl="1" w:tentative="0">
      <w:start w:val="1"/>
      <w:numFmt w:val="chineseCountingThousand"/>
      <w:lvlText w:val="%2."/>
      <w:lvlJc w:val="left"/>
      <w:pPr>
        <w:tabs>
          <w:tab w:val="left" w:pos="1145"/>
        </w:tabs>
        <w:ind w:left="0" w:firstLine="425"/>
      </w:pPr>
      <w:rPr>
        <w:rFonts w:hint="eastAsia" w:ascii="宋体" w:hAnsi="宋体" w:eastAsia="宋体"/>
      </w:rPr>
    </w:lvl>
    <w:lvl w:ilvl="2" w:tentative="0">
      <w:start w:val="1"/>
      <w:numFmt w:val="decimal"/>
      <w:lvlText w:val="%3."/>
      <w:lvlJc w:val="left"/>
      <w:pPr>
        <w:tabs>
          <w:tab w:val="left" w:pos="1418"/>
        </w:tabs>
        <w:ind w:left="1418" w:hanging="567"/>
      </w:pPr>
      <w:rPr>
        <w:rFonts w:hint="eastAsia"/>
      </w:rPr>
    </w:lvl>
    <w:lvl w:ilvl="3" w:tentative="0">
      <w:start w:val="1"/>
      <w:numFmt w:val="decimal"/>
      <w:lvlText w:val="%3.%4"/>
      <w:lvlJc w:val="left"/>
      <w:pPr>
        <w:tabs>
          <w:tab w:val="left" w:pos="1984"/>
        </w:tabs>
        <w:ind w:left="1984" w:hanging="708"/>
      </w:pPr>
      <w:rPr>
        <w:rFonts w:hint="eastAsia"/>
      </w:rPr>
    </w:lvl>
    <w:lvl w:ilvl="4" w:tentative="0">
      <w:start w:val="1"/>
      <w:numFmt w:val="decimal"/>
      <w:lvlText w:val="%3.%4.%5"/>
      <w:lvlJc w:val="left"/>
      <w:pPr>
        <w:tabs>
          <w:tab w:val="left" w:pos="3141"/>
        </w:tabs>
        <w:ind w:left="2551" w:hanging="850"/>
      </w:pPr>
      <w:rPr>
        <w:rFonts w:hint="eastAsia"/>
      </w:rPr>
    </w:lvl>
    <w:lvl w:ilvl="5" w:tentative="0">
      <w:start w:val="1"/>
      <w:numFmt w:val="decimal"/>
      <w:lvlText w:val="%3.%4.%5.%6"/>
      <w:lvlJc w:val="left"/>
      <w:pPr>
        <w:tabs>
          <w:tab w:val="left" w:pos="3926"/>
        </w:tabs>
        <w:ind w:left="3260" w:hanging="1134"/>
      </w:pPr>
      <w:rPr>
        <w:rFonts w:hint="eastAsia"/>
      </w:rPr>
    </w:lvl>
    <w:lvl w:ilvl="6" w:tentative="0">
      <w:start w:val="1"/>
      <w:numFmt w:val="decimal"/>
      <w:lvlText w:val="%3.%4.%5.%6.%7"/>
      <w:lvlJc w:val="left"/>
      <w:pPr>
        <w:tabs>
          <w:tab w:val="left" w:pos="4711"/>
        </w:tabs>
        <w:ind w:left="3827" w:hanging="1276"/>
      </w:pPr>
      <w:rPr>
        <w:rFonts w:hint="eastAsia"/>
      </w:rPr>
    </w:lvl>
    <w:lvl w:ilvl="7" w:tentative="0">
      <w:start w:val="1"/>
      <w:numFmt w:val="decimal"/>
      <w:lvlText w:val="%3.%4.%5.%6.%7.%8"/>
      <w:lvlJc w:val="left"/>
      <w:pPr>
        <w:tabs>
          <w:tab w:val="left" w:pos="5496"/>
        </w:tabs>
        <w:ind w:left="4394" w:hanging="1418"/>
      </w:pPr>
      <w:rPr>
        <w:rFonts w:hint="eastAsia"/>
      </w:rPr>
    </w:lvl>
    <w:lvl w:ilvl="8" w:tentative="0">
      <w:start w:val="1"/>
      <w:numFmt w:val="decimal"/>
      <w:lvlText w:val="%3.%4.%5.%6.%7.%8.%9"/>
      <w:lvlJc w:val="left"/>
      <w:pPr>
        <w:tabs>
          <w:tab w:val="left" w:pos="6282"/>
        </w:tabs>
        <w:ind w:left="5102" w:hanging="1700"/>
      </w:pPr>
      <w:rPr>
        <w:rFonts w:hint="eastAsia"/>
      </w:rPr>
    </w:lvl>
  </w:abstractNum>
  <w:abstractNum w:abstractNumId="6">
    <w:nsid w:val="0000002B"/>
    <w:multiLevelType w:val="multilevel"/>
    <w:tmpl w:val="0000002B"/>
    <w:lvl w:ilvl="0" w:tentative="0">
      <w:start w:val="1"/>
      <w:numFmt w:val="decimal"/>
      <w:pStyle w:val="37"/>
      <w:isLgl/>
      <w:suff w:val="space"/>
      <w:lvlText w:val="图 %1   "/>
      <w:lvlJc w:val="left"/>
      <w:pPr>
        <w:ind w:left="425" w:hanging="425"/>
      </w:pPr>
      <w:rPr>
        <w:rFonts w:hint="eastAsia"/>
      </w:rPr>
    </w:lvl>
    <w:lvl w:ilvl="1" w:tentative="0">
      <w:start w:val="1"/>
      <w:numFmt w:val="decimal"/>
      <w:lvlRestart w:val="0"/>
      <w:isLgl/>
      <w:suff w:val="space"/>
      <w:lvlText w:val="表1-%2"/>
      <w:lvlJc w:val="left"/>
      <w:pPr>
        <w:ind w:left="454" w:hanging="454"/>
      </w:pPr>
      <w:rPr>
        <w:rFonts w:hint="default"/>
      </w:rPr>
    </w:lvl>
    <w:lvl w:ilvl="2" w:tentative="0">
      <w:start w:val="1"/>
      <w:numFmt w:val="none"/>
      <w:isLgl/>
      <w:suff w:val="space"/>
      <w:lvlText w:val=""/>
      <w:lvlJc w:val="left"/>
      <w:pPr>
        <w:ind w:left="0" w:firstLine="0"/>
      </w:pPr>
      <w:rPr>
        <w:rFonts w:hint="eastAsia"/>
      </w:rPr>
    </w:lvl>
    <w:lvl w:ilvl="3" w:tentative="0">
      <w:start w:val="1"/>
      <w:numFmt w:val="none"/>
      <w:isLgl/>
      <w:suff w:val="space"/>
      <w:lvlText w:val=""/>
      <w:lvlJc w:val="left"/>
      <w:pPr>
        <w:ind w:left="0" w:firstLine="0"/>
      </w:pPr>
      <w:rPr>
        <w:rFonts w:hint="default"/>
      </w:rPr>
    </w:lvl>
    <w:lvl w:ilvl="4" w:tentative="0">
      <w:start w:val="1"/>
      <w:numFmt w:val="none"/>
      <w:suff w:val="space"/>
      <w:lvlText w:val=""/>
      <w:lvlJc w:val="left"/>
      <w:pPr>
        <w:ind w:left="1361" w:hanging="510"/>
      </w:pPr>
      <w:rPr>
        <w:rFonts w:hint="eastAsia"/>
      </w:rPr>
    </w:lvl>
    <w:lvl w:ilvl="5" w:tentative="0">
      <w:start w:val="1"/>
      <w:numFmt w:val="none"/>
      <w:lvlText w:val=""/>
      <w:lvlJc w:val="left"/>
      <w:pPr>
        <w:tabs>
          <w:tab w:val="left" w:pos="2409"/>
        </w:tabs>
        <w:ind w:left="2409" w:hanging="425"/>
      </w:pPr>
      <w:rPr>
        <w:rFonts w:hint="eastAsia"/>
      </w:rPr>
    </w:lvl>
    <w:lvl w:ilvl="6" w:tentative="0">
      <w:start w:val="1"/>
      <w:numFmt w:val="none"/>
      <w:lvlText w:val=""/>
      <w:lvlJc w:val="left"/>
      <w:pPr>
        <w:tabs>
          <w:tab w:val="left" w:pos="2835"/>
        </w:tabs>
        <w:ind w:left="2835" w:hanging="426"/>
      </w:pPr>
      <w:rPr>
        <w:rFonts w:hint="eastAsia"/>
      </w:rPr>
    </w:lvl>
    <w:lvl w:ilvl="7" w:tentative="0">
      <w:start w:val="1"/>
      <w:numFmt w:val="none"/>
      <w:lvlText w:val=""/>
      <w:lvlJc w:val="left"/>
      <w:pPr>
        <w:tabs>
          <w:tab w:val="left" w:pos="3260"/>
        </w:tabs>
        <w:ind w:left="3260" w:hanging="425"/>
      </w:pPr>
      <w:rPr>
        <w:rFonts w:hint="eastAsia"/>
      </w:rPr>
    </w:lvl>
    <w:lvl w:ilvl="8" w:tentative="0">
      <w:start w:val="1"/>
      <w:numFmt w:val="lowerRoman"/>
      <w:lvlText w:val="%9."/>
      <w:lvlJc w:val="left"/>
      <w:pPr>
        <w:tabs>
          <w:tab w:val="left" w:pos="3980"/>
        </w:tabs>
        <w:ind w:left="3685" w:hanging="425"/>
      </w:pPr>
      <w:rPr>
        <w:rFonts w:hint="eastAsia"/>
      </w:rPr>
    </w:lvl>
  </w:abstractNum>
  <w:abstractNum w:abstractNumId="7">
    <w:nsid w:val="00000033"/>
    <w:multiLevelType w:val="multilevel"/>
    <w:tmpl w:val="00000033"/>
    <w:lvl w:ilvl="0" w:tentative="0">
      <w:start w:val="1"/>
      <w:numFmt w:val="ideographDigital"/>
      <w:pStyle w:val="125"/>
      <w:lvlText w:val="%1、"/>
      <w:lvlJc w:val="left"/>
      <w:pPr>
        <w:tabs>
          <w:tab w:val="left" w:pos="4301"/>
        </w:tabs>
        <w:ind w:left="4301" w:hanging="420"/>
      </w:pPr>
      <w:rPr>
        <w:rFonts w:hint="eastAsia"/>
      </w:rPr>
    </w:lvl>
    <w:lvl w:ilvl="1" w:tentative="0">
      <w:start w:val="1"/>
      <w:numFmt w:val="chineseCountingThousand"/>
      <w:lvlText w:val="第%2章"/>
      <w:lvlJc w:val="left"/>
      <w:pPr>
        <w:tabs>
          <w:tab w:val="left" w:pos="2295"/>
        </w:tabs>
        <w:ind w:left="1995" w:hanging="420"/>
      </w:pPr>
      <w:rPr>
        <w:rFonts w:hint="eastAsia" w:ascii="宋体" w:hAnsi="宋体" w:eastAsia="宋体"/>
        <w:sz w:val="50"/>
        <w:szCs w:val="40"/>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494"/>
        </w:tabs>
        <w:ind w:left="1474" w:hanging="340"/>
      </w:pPr>
      <w:rPr>
        <w:rFonts w:hint="eastAsia"/>
      </w:rPr>
    </w:lvl>
    <w:lvl w:ilvl="4" w:tentative="0">
      <w:start w:val="1"/>
      <w:numFmt w:val="decimal"/>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40"/>
    <w:multiLevelType w:val="multilevel"/>
    <w:tmpl w:val="00000040"/>
    <w:lvl w:ilvl="0" w:tentative="0">
      <w:start w:val="1"/>
      <w:numFmt w:val="chineseCountingThousand"/>
      <w:pStyle w:val="201"/>
      <w:lvlText w:val="%1、"/>
      <w:lvlJc w:val="left"/>
      <w:pPr>
        <w:tabs>
          <w:tab w:val="left" w:pos="1260"/>
        </w:tabs>
        <w:ind w:left="1260" w:hanging="360"/>
      </w:pPr>
      <w:rPr>
        <w:rFonts w:hint="default" w:ascii="宋体" w:hAnsi="宋体"/>
        <w:b/>
        <w:sz w:val="26"/>
        <w:szCs w:val="21"/>
      </w:rPr>
    </w:lvl>
    <w:lvl w:ilvl="1" w:tentative="0">
      <w:start w:val="1"/>
      <w:numFmt w:val="decimal"/>
      <w:lvlText w:val="%2"/>
      <w:lvlJc w:val="left"/>
      <w:pPr>
        <w:tabs>
          <w:tab w:val="left" w:pos="1440"/>
        </w:tabs>
        <w:ind w:left="1440" w:hanging="720"/>
      </w:pPr>
      <w:rPr>
        <w:rFonts w:hint="eastAsia"/>
        <w:b/>
        <w:sz w:val="26"/>
        <w:szCs w:val="26"/>
      </w:rPr>
    </w:lvl>
    <w:lvl w:ilvl="2" w:tentative="0">
      <w:start w:val="1"/>
      <w:numFmt w:val="lowerRoman"/>
      <w:lvlText w:val="%3."/>
      <w:lvlJc w:val="right"/>
      <w:pPr>
        <w:tabs>
          <w:tab w:val="left" w:pos="1685"/>
        </w:tabs>
        <w:ind w:left="1685" w:hanging="420"/>
      </w:pPr>
      <w:rPr>
        <w:rFonts w:hint="eastAsia"/>
      </w:rPr>
    </w:lvl>
    <w:lvl w:ilvl="3" w:tentative="0">
      <w:start w:val="1"/>
      <w:numFmt w:val="decimal"/>
      <w:lvlText w:val="%4."/>
      <w:lvlJc w:val="left"/>
      <w:pPr>
        <w:tabs>
          <w:tab w:val="left" w:pos="2105"/>
        </w:tabs>
        <w:ind w:left="2105" w:hanging="420"/>
      </w:pPr>
      <w:rPr>
        <w:rFonts w:hint="eastAsia"/>
      </w:rPr>
    </w:lvl>
    <w:lvl w:ilvl="4" w:tentative="0">
      <w:start w:val="1"/>
      <w:numFmt w:val="lowerLetter"/>
      <w:lvlText w:val="%5)"/>
      <w:lvlJc w:val="left"/>
      <w:pPr>
        <w:tabs>
          <w:tab w:val="left" w:pos="2525"/>
        </w:tabs>
        <w:ind w:left="2525" w:hanging="420"/>
      </w:pPr>
      <w:rPr>
        <w:rFonts w:hint="eastAsia"/>
      </w:rPr>
    </w:lvl>
    <w:lvl w:ilvl="5" w:tentative="0">
      <w:start w:val="1"/>
      <w:numFmt w:val="lowerRoman"/>
      <w:lvlText w:val="%6."/>
      <w:lvlJc w:val="right"/>
      <w:pPr>
        <w:tabs>
          <w:tab w:val="left" w:pos="2945"/>
        </w:tabs>
        <w:ind w:left="2945" w:hanging="420"/>
      </w:pPr>
      <w:rPr>
        <w:rFonts w:hint="eastAsia"/>
      </w:rPr>
    </w:lvl>
    <w:lvl w:ilvl="6" w:tentative="0">
      <w:start w:val="1"/>
      <w:numFmt w:val="decimal"/>
      <w:lvlText w:val="%7."/>
      <w:lvlJc w:val="left"/>
      <w:pPr>
        <w:tabs>
          <w:tab w:val="left" w:pos="3365"/>
        </w:tabs>
        <w:ind w:left="3365" w:hanging="420"/>
      </w:pPr>
      <w:rPr>
        <w:rFonts w:hint="eastAsia"/>
      </w:rPr>
    </w:lvl>
    <w:lvl w:ilvl="7" w:tentative="0">
      <w:start w:val="1"/>
      <w:numFmt w:val="lowerLetter"/>
      <w:lvlText w:val="%8)"/>
      <w:lvlJc w:val="left"/>
      <w:pPr>
        <w:tabs>
          <w:tab w:val="left" w:pos="3785"/>
        </w:tabs>
        <w:ind w:left="3785" w:hanging="420"/>
      </w:pPr>
      <w:rPr>
        <w:rFonts w:hint="eastAsia"/>
      </w:rPr>
    </w:lvl>
    <w:lvl w:ilvl="8" w:tentative="0">
      <w:start w:val="1"/>
      <w:numFmt w:val="lowerRoman"/>
      <w:lvlText w:val="%9."/>
      <w:lvlJc w:val="right"/>
      <w:pPr>
        <w:tabs>
          <w:tab w:val="left" w:pos="4205"/>
        </w:tabs>
        <w:ind w:left="4205" w:hanging="420"/>
      </w:pPr>
      <w:rPr>
        <w:rFonts w:hint="eastAsia"/>
      </w:rPr>
    </w:lvl>
  </w:abstractNum>
  <w:abstractNum w:abstractNumId="9">
    <w:nsid w:val="00000042"/>
    <w:multiLevelType w:val="multilevel"/>
    <w:tmpl w:val="00000042"/>
    <w:lvl w:ilvl="0" w:tentative="0">
      <w:start w:val="1"/>
      <w:numFmt w:val="chineseCountingThousand"/>
      <w:pStyle w:val="145"/>
      <w:lvlText w:val="%1、"/>
      <w:lvlJc w:val="left"/>
      <w:pPr>
        <w:tabs>
          <w:tab w:val="left" w:pos="420"/>
        </w:tabs>
        <w:ind w:left="420" w:hanging="420"/>
      </w:pPr>
      <w:rPr>
        <w:rFonts w:hint="eastAsia"/>
        <w:b/>
        <w:color w:val="000000"/>
        <w:sz w:val="24"/>
        <w:szCs w:val="24"/>
      </w:rPr>
    </w:lvl>
    <w:lvl w:ilvl="1" w:tentative="0">
      <w:start w:val="1"/>
      <w:numFmt w:val="decimal"/>
      <w:lvlText w:val="2.%2"/>
      <w:lvlJc w:val="left"/>
      <w:pPr>
        <w:tabs>
          <w:tab w:val="left" w:pos="567"/>
        </w:tabs>
        <w:ind w:left="567" w:hanging="567"/>
      </w:pPr>
      <w:rPr>
        <w:rFonts w:hint="eastAsia" w:ascii="宋体" w:hAnsi="宋体" w:eastAsia="宋体"/>
        <w:b/>
        <w:sz w:val="21"/>
        <w:szCs w:val="21"/>
      </w:rPr>
    </w:lvl>
    <w:lvl w:ilvl="2" w:tentative="0">
      <w:start w:val="1"/>
      <w:numFmt w:val="decimal"/>
      <w:lvlText w:val="3.%2.%3"/>
      <w:lvlJc w:val="left"/>
      <w:pPr>
        <w:tabs>
          <w:tab w:val="left" w:pos="1418"/>
        </w:tabs>
        <w:ind w:left="1418" w:hanging="567"/>
      </w:pPr>
      <w:rPr>
        <w:rFonts w:hint="eastAsia" w:ascii="宋体" w:hAnsi="宋体" w:eastAsia="宋体"/>
        <w:b/>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1DC36A76"/>
    <w:multiLevelType w:val="multilevel"/>
    <w:tmpl w:val="1DC36A76"/>
    <w:lvl w:ilvl="0" w:tentative="0">
      <w:start w:val="1"/>
      <w:numFmt w:val="decimal"/>
      <w:lvlText w:val="%1)"/>
      <w:lvlJc w:val="left"/>
      <w:pPr>
        <w:ind w:left="735" w:hanging="420"/>
      </w:pPr>
      <w:rPr>
        <w:color w:val="auto"/>
      </w:rPr>
    </w:lvl>
    <w:lvl w:ilvl="1" w:tentative="0">
      <w:start w:val="2"/>
      <w:numFmt w:val="decimal"/>
      <w:lvlText w:val="%2、"/>
      <w:lvlJc w:val="left"/>
      <w:pPr>
        <w:ind w:left="1095" w:hanging="360"/>
      </w:pPr>
      <w:rPr>
        <w:rFonts w:hint="default"/>
        <w:color w:val="0000FF"/>
      </w:r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11">
    <w:nsid w:val="23B46FC0"/>
    <w:multiLevelType w:val="multilevel"/>
    <w:tmpl w:val="23B46FC0"/>
    <w:lvl w:ilvl="0" w:tentative="0">
      <w:start w:val="1"/>
      <w:numFmt w:val="decimal"/>
      <w:lvlText w:val="%1．"/>
      <w:lvlJc w:val="left"/>
      <w:pPr>
        <w:tabs>
          <w:tab w:val="left" w:pos="360"/>
        </w:tabs>
        <w:ind w:left="360" w:hanging="360"/>
      </w:pPr>
      <w:rPr>
        <w:rFonts w:hint="default" w:ascii="宋体" w:hAnsi="宋体" w:eastAsia="宋体"/>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0"/>
        </w:tabs>
        <w:ind w:left="0" w:hanging="420"/>
      </w:pPr>
    </w:lvl>
    <w:lvl w:ilvl="3" w:tentative="0">
      <w:start w:val="1"/>
      <w:numFmt w:val="decimal"/>
      <w:lvlText w:val="%4."/>
      <w:lvlJc w:val="left"/>
      <w:pPr>
        <w:tabs>
          <w:tab w:val="left" w:pos="420"/>
        </w:tabs>
        <w:ind w:left="420" w:hanging="420"/>
      </w:pPr>
    </w:lvl>
    <w:lvl w:ilvl="4" w:tentative="0">
      <w:start w:val="1"/>
      <w:numFmt w:val="lowerLetter"/>
      <w:lvlText w:val="%5)"/>
      <w:lvlJc w:val="left"/>
      <w:pPr>
        <w:tabs>
          <w:tab w:val="left" w:pos="840"/>
        </w:tabs>
        <w:ind w:left="840" w:hanging="420"/>
      </w:pPr>
    </w:lvl>
    <w:lvl w:ilvl="5" w:tentative="0">
      <w:start w:val="1"/>
      <w:numFmt w:val="lowerRoman"/>
      <w:lvlText w:val="%6."/>
      <w:lvlJc w:val="right"/>
      <w:pPr>
        <w:tabs>
          <w:tab w:val="left" w:pos="1260"/>
        </w:tabs>
        <w:ind w:left="1260" w:hanging="420"/>
      </w:pPr>
    </w:lvl>
    <w:lvl w:ilvl="6" w:tentative="0">
      <w:start w:val="1"/>
      <w:numFmt w:val="decimal"/>
      <w:lvlText w:val="%7."/>
      <w:lvlJc w:val="left"/>
      <w:pPr>
        <w:tabs>
          <w:tab w:val="left" w:pos="1680"/>
        </w:tabs>
        <w:ind w:left="1680" w:hanging="420"/>
      </w:pPr>
    </w:lvl>
    <w:lvl w:ilvl="7" w:tentative="0">
      <w:start w:val="1"/>
      <w:numFmt w:val="lowerLetter"/>
      <w:lvlText w:val="%8)"/>
      <w:lvlJc w:val="left"/>
      <w:pPr>
        <w:tabs>
          <w:tab w:val="left" w:pos="2100"/>
        </w:tabs>
        <w:ind w:left="2100" w:hanging="420"/>
      </w:pPr>
    </w:lvl>
    <w:lvl w:ilvl="8" w:tentative="0">
      <w:start w:val="1"/>
      <w:numFmt w:val="lowerRoman"/>
      <w:lvlText w:val="%9."/>
      <w:lvlJc w:val="right"/>
      <w:pPr>
        <w:tabs>
          <w:tab w:val="left" w:pos="2520"/>
        </w:tabs>
        <w:ind w:left="2520" w:hanging="420"/>
      </w:pPr>
    </w:lvl>
  </w:abstractNum>
  <w:abstractNum w:abstractNumId="12">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4A61ACD"/>
    <w:multiLevelType w:val="multilevel"/>
    <w:tmpl w:val="24A61ACD"/>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32AB1206"/>
    <w:multiLevelType w:val="multilevel"/>
    <w:tmpl w:val="32AB1206"/>
    <w:lvl w:ilvl="0" w:tentative="0">
      <w:start w:val="9"/>
      <w:numFmt w:val="decimal"/>
      <w:lvlText w:val="%1."/>
      <w:lvlJc w:val="left"/>
      <w:pPr>
        <w:tabs>
          <w:tab w:val="left" w:pos="425"/>
        </w:tabs>
        <w:ind w:left="425" w:hanging="425"/>
      </w:pPr>
      <w:rPr>
        <w:rFonts w:hint="eastAsia" w:ascii="宋体" w:hAnsi="宋体" w:eastAsia="宋体"/>
        <w:b/>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rPr>
    </w:lvl>
    <w:lvl w:ilvl="3" w:tentative="0">
      <w:start w:val="1"/>
      <w:numFmt w:val="decimal"/>
      <w:lvlText w:val="(%4)"/>
      <w:lvlJc w:val="left"/>
      <w:pPr>
        <w:tabs>
          <w:tab w:val="left" w:pos="851"/>
        </w:tabs>
        <w:ind w:left="851" w:hanging="851"/>
      </w:pPr>
      <w:rPr>
        <w:rFonts w:hint="default" w:ascii="宋体" w:hAnsi="宋体" w:eastAsia="宋体"/>
        <w:color w:val="auto"/>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351526DF"/>
    <w:multiLevelType w:val="multilevel"/>
    <w:tmpl w:val="351526DF"/>
    <w:lvl w:ilvl="0" w:tentative="0">
      <w:start w:val="1"/>
      <w:numFmt w:val="decimal"/>
      <w:lvlText w:val="%1）"/>
      <w:lvlJc w:val="left"/>
      <w:pPr>
        <w:ind w:left="1050" w:hanging="420"/>
      </w:pPr>
      <w:rPr>
        <w:rFonts w:hint="eastAsia"/>
        <w:color w:val="auto"/>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6">
    <w:nsid w:val="39287919"/>
    <w:multiLevelType w:val="multilevel"/>
    <w:tmpl w:val="392879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E76BA12"/>
    <w:multiLevelType w:val="singleLevel"/>
    <w:tmpl w:val="3E76BA12"/>
    <w:lvl w:ilvl="0" w:tentative="0">
      <w:start w:val="1"/>
      <w:numFmt w:val="chineseCounting"/>
      <w:suff w:val="nothing"/>
      <w:lvlText w:val="（%1）"/>
      <w:lvlJc w:val="left"/>
      <w:rPr>
        <w:rFonts w:hint="eastAsia"/>
      </w:rPr>
    </w:lvl>
  </w:abstractNum>
  <w:abstractNum w:abstractNumId="18">
    <w:nsid w:val="49B0187A"/>
    <w:multiLevelType w:val="multilevel"/>
    <w:tmpl w:val="49B0187A"/>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20">
    <w:nsid w:val="50675357"/>
    <w:multiLevelType w:val="multilevel"/>
    <w:tmpl w:val="50675357"/>
    <w:lvl w:ilvl="0" w:tentative="0">
      <w:start w:val="1"/>
      <w:numFmt w:val="decimal"/>
      <w:lvlText w:val="%1."/>
      <w:lvlJc w:val="left"/>
      <w:pPr>
        <w:tabs>
          <w:tab w:val="left" w:pos="425"/>
        </w:tabs>
        <w:ind w:left="425" w:hanging="425"/>
      </w:pPr>
      <w:rPr>
        <w:rFonts w:hint="eastAsia" w:ascii="宋体" w:hAnsi="宋体" w:eastAsia="宋体"/>
        <w:b w:val="0"/>
      </w:rPr>
    </w:lvl>
    <w:lvl w:ilvl="1" w:tentative="0">
      <w:start w:val="1"/>
      <w:numFmt w:val="decimal"/>
      <w:lvlText w:val="%1.%2."/>
      <w:lvlJc w:val="left"/>
      <w:pPr>
        <w:tabs>
          <w:tab w:val="left" w:pos="567"/>
        </w:tabs>
        <w:ind w:left="567" w:hanging="567"/>
      </w:pPr>
      <w:rPr>
        <w:rFonts w:ascii="宋体" w:hAnsi="宋体" w:eastAsia="宋体"/>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1">
    <w:nsid w:val="52F42418"/>
    <w:multiLevelType w:val="multilevel"/>
    <w:tmpl w:val="52F42418"/>
    <w:lvl w:ilvl="0" w:tentative="0">
      <w:start w:val="1"/>
      <w:numFmt w:val="decimal"/>
      <w:lvlText w:val="%1."/>
      <w:lvlJc w:val="left"/>
      <w:pPr>
        <w:tabs>
          <w:tab w:val="left" w:pos="425"/>
        </w:tabs>
        <w:ind w:left="425" w:hanging="425"/>
      </w:pPr>
      <w:rPr>
        <w:rFonts w:hint="eastAsia" w:ascii="宋体" w:hAnsi="宋体" w:eastAsia="宋体"/>
        <w:b/>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2"/>
      <w:numFmt w:val="decimal"/>
      <w:lvlText w:val="(%4)"/>
      <w:lvlJc w:val="left"/>
      <w:pPr>
        <w:tabs>
          <w:tab w:val="left" w:pos="851"/>
        </w:tabs>
        <w:ind w:left="851" w:hanging="851"/>
      </w:pPr>
      <w:rPr>
        <w:rFonts w:hint="default"/>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54DB1279"/>
    <w:multiLevelType w:val="multilevel"/>
    <w:tmpl w:val="54DB1279"/>
    <w:lvl w:ilvl="0" w:tentative="0">
      <w:start w:val="1"/>
      <w:numFmt w:val="decimal"/>
      <w:pStyle w:val="2"/>
      <w:suff w:val="nothing"/>
      <w:lvlText w:val="3.%1 "/>
      <w:lvlJc w:val="left"/>
      <w:pPr>
        <w:tabs>
          <w:tab w:val="left" w:pos="0"/>
        </w:tabs>
        <w:ind w:left="0" w:firstLine="0"/>
      </w:pPr>
      <w:rPr>
        <w:rFonts w:hint="eastAsia" w:ascii="宋体" w:hAnsi="宋体" w:eastAsia="宋体" w:cs="宋体"/>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rFonts w:hint="eastAsia"/>
      </w:rPr>
    </w:lvl>
    <w:lvl w:ilvl="5" w:tentative="0">
      <w:start w:val="1"/>
      <w:numFmt w:val="decimal"/>
      <w:pStyle w:val="10"/>
      <w:suff w:val="nothing"/>
      <w:lvlText w:val="%6）"/>
      <w:lvlJc w:val="left"/>
      <w:pPr>
        <w:ind w:left="0" w:firstLine="402"/>
      </w:pPr>
      <w:rPr>
        <w:rFonts w:hint="eastAsia"/>
      </w:rPr>
    </w:lvl>
    <w:lvl w:ilvl="6" w:tentative="0">
      <w:start w:val="1"/>
      <w:numFmt w:val="lowerLetter"/>
      <w:pStyle w:val="11"/>
      <w:suff w:val="nothing"/>
      <w:lvlText w:val="%7．"/>
      <w:lvlJc w:val="left"/>
      <w:pPr>
        <w:ind w:left="0" w:firstLine="402"/>
      </w:pPr>
      <w:rPr>
        <w:rFonts w:hint="eastAsia"/>
      </w:rPr>
    </w:lvl>
    <w:lvl w:ilvl="7" w:tentative="0">
      <w:start w:val="1"/>
      <w:numFmt w:val="lowerLetter"/>
      <w:pStyle w:val="12"/>
      <w:suff w:val="nothing"/>
      <w:lvlText w:val="%8）"/>
      <w:lvlJc w:val="left"/>
      <w:pPr>
        <w:ind w:left="0" w:firstLine="402"/>
      </w:pPr>
      <w:rPr>
        <w:rFonts w:hint="eastAsia"/>
      </w:rPr>
    </w:lvl>
    <w:lvl w:ilvl="8" w:tentative="0">
      <w:start w:val="1"/>
      <w:numFmt w:val="lowerRoman"/>
      <w:pStyle w:val="13"/>
      <w:suff w:val="nothing"/>
      <w:lvlText w:val="%9 "/>
      <w:lvlJc w:val="left"/>
      <w:pPr>
        <w:ind w:left="0" w:firstLine="402"/>
      </w:pPr>
      <w:rPr>
        <w:rFonts w:hint="eastAsia"/>
      </w:rPr>
    </w:lvl>
  </w:abstractNum>
  <w:abstractNum w:abstractNumId="23">
    <w:nsid w:val="54E06E68"/>
    <w:multiLevelType w:val="multilevel"/>
    <w:tmpl w:val="54E06E68"/>
    <w:lvl w:ilvl="0" w:tentative="0">
      <w:start w:val="1"/>
      <w:numFmt w:val="decimal"/>
      <w:lvlText w:val="%1."/>
      <w:lvlJc w:val="left"/>
      <w:pPr>
        <w:tabs>
          <w:tab w:val="left" w:pos="420"/>
        </w:tabs>
        <w:ind w:left="420" w:hanging="420"/>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rPr>
        <w:rFonts w:hint="default" w:ascii="宋体" w:hAnsi="宋体" w:eastAsia="宋体"/>
        <w:b w:val="0"/>
        <w:sz w:val="25"/>
        <w:szCs w:val="21"/>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9031762"/>
    <w:multiLevelType w:val="multilevel"/>
    <w:tmpl w:val="59031762"/>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b w:val="0"/>
        <w:dstrike w:val="0"/>
        <w:color w:val="auto"/>
        <w:sz w:val="21"/>
        <w:szCs w:val="21"/>
      </w:rPr>
    </w:lvl>
    <w:lvl w:ilvl="2" w:tentative="0">
      <w:start w:val="1"/>
      <w:numFmt w:val="decimal"/>
      <w:lvlText w:val="%1.%2.%3."/>
      <w:lvlJc w:val="left"/>
      <w:pPr>
        <w:tabs>
          <w:tab w:val="left" w:pos="709"/>
        </w:tabs>
        <w:ind w:left="709" w:hanging="709"/>
      </w:pPr>
      <w:rPr>
        <w:rFonts w:hint="eastAsia" w:ascii="宋体" w:hAnsi="宋体" w:eastAsia="宋体"/>
        <w:color w:val="auto"/>
        <w:sz w:val="21"/>
        <w:szCs w:val="21"/>
      </w:rPr>
    </w:lvl>
    <w:lvl w:ilvl="3" w:tentative="0">
      <w:start w:val="1"/>
      <w:numFmt w:val="decimal"/>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5">
    <w:nsid w:val="5ED30DC5"/>
    <w:multiLevelType w:val="multilevel"/>
    <w:tmpl w:val="5ED30DC5"/>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3711F44"/>
    <w:multiLevelType w:val="multilevel"/>
    <w:tmpl w:val="63711F44"/>
    <w:lvl w:ilvl="0" w:tentative="0">
      <w:start w:val="1"/>
      <w:numFmt w:val="chineseCountingThousand"/>
      <w:lvlText w:val="第%1章"/>
      <w:lvlJc w:val="left"/>
      <w:pPr>
        <w:ind w:left="420" w:hanging="420"/>
      </w:pPr>
      <w:rPr>
        <w:rFonts w:hint="eastAsia"/>
        <w:sz w:val="50"/>
        <w:szCs w:val="5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7BC6897"/>
    <w:multiLevelType w:val="multilevel"/>
    <w:tmpl w:val="67BC6897"/>
    <w:lvl w:ilvl="0" w:tentative="0">
      <w:start w:val="1"/>
      <w:numFmt w:val="chineseCountingThousand"/>
      <w:lvlText w:val="%1、"/>
      <w:lvlJc w:val="left"/>
      <w:pPr>
        <w:tabs>
          <w:tab w:val="left" w:pos="420"/>
        </w:tabs>
        <w:ind w:left="420" w:hanging="4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28">
    <w:nsid w:val="6ECE3516"/>
    <w:multiLevelType w:val="multilevel"/>
    <w:tmpl w:val="6ECE3516"/>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73C238C9"/>
    <w:multiLevelType w:val="multilevel"/>
    <w:tmpl w:val="73C238C9"/>
    <w:lvl w:ilvl="0" w:tentative="0">
      <w:start w:val="1"/>
      <w:numFmt w:val="chineseCountingThousand"/>
      <w:pStyle w:val="185"/>
      <w:suff w:val="space"/>
      <w:lvlText w:val="第%1部分、"/>
      <w:lvlJc w:val="left"/>
      <w:pPr>
        <w:ind w:left="0" w:firstLine="0"/>
      </w:pPr>
      <w:rPr>
        <w:rFonts w:hint="eastAsia"/>
      </w:rPr>
    </w:lvl>
    <w:lvl w:ilvl="1" w:tentative="0">
      <w:start w:val="1"/>
      <w:numFmt w:val="decimal"/>
      <w:pStyle w:val="154"/>
      <w:suff w:val="space"/>
      <w:lvlText w:val="%2."/>
      <w:lvlJc w:val="left"/>
      <w:pPr>
        <w:ind w:left="0" w:firstLine="0"/>
      </w:pPr>
      <w:rPr>
        <w:rFonts w:hint="eastAsia"/>
      </w:rPr>
    </w:lvl>
    <w:lvl w:ilvl="2" w:tentative="0">
      <w:start w:val="1"/>
      <w:numFmt w:val="decimal"/>
      <w:pStyle w:val="208"/>
      <w:suff w:val="space"/>
      <w:lvlText w:val="%2.%3"/>
      <w:lvlJc w:val="left"/>
      <w:pPr>
        <w:ind w:left="0" w:firstLine="79"/>
      </w:pPr>
      <w:rPr>
        <w:rFonts w:hint="eastAsia"/>
        <w:b w:val="0"/>
      </w:rPr>
    </w:lvl>
    <w:lvl w:ilvl="3" w:tentative="0">
      <w:start w:val="1"/>
      <w:numFmt w:val="decimal"/>
      <w:pStyle w:val="131"/>
      <w:suff w:val="space"/>
      <w:lvlText w:val="%2.%3.%4"/>
      <w:lvlJc w:val="left"/>
      <w:pPr>
        <w:ind w:left="0" w:firstLine="79"/>
      </w:pPr>
      <w:rPr>
        <w:rFonts w:hint="eastAsia"/>
      </w:rPr>
    </w:lvl>
    <w:lvl w:ilvl="4" w:tentative="0">
      <w:start w:val="1"/>
      <w:numFmt w:val="decimal"/>
      <w:pStyle w:val="194"/>
      <w:suff w:val="space"/>
      <w:lvlText w:val="(%5)"/>
      <w:lvlJc w:val="left"/>
      <w:pPr>
        <w:ind w:left="0" w:firstLine="113"/>
      </w:pPr>
      <w:rPr>
        <w:rFonts w:hint="eastAsia"/>
      </w:rPr>
    </w:lvl>
    <w:lvl w:ilvl="5" w:tentative="0">
      <w:start w:val="1"/>
      <w:numFmt w:val="lowerLetter"/>
      <w:pStyle w:val="209"/>
      <w:suff w:val="space"/>
      <w:lvlText w:val="%6."/>
      <w:lvlJc w:val="left"/>
      <w:pPr>
        <w:ind w:left="0" w:firstLine="113"/>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6009"/>
        </w:tabs>
        <w:ind w:left="3685" w:hanging="1276"/>
      </w:pPr>
      <w:rPr>
        <w:rFonts w:hint="eastAsia"/>
      </w:rPr>
    </w:lvl>
    <w:lvl w:ilvl="7" w:tentative="0">
      <w:start w:val="1"/>
      <w:numFmt w:val="decimal"/>
      <w:lvlText w:val="%1.%2.%3.%4.%5.%6.%7.%8"/>
      <w:lvlJc w:val="left"/>
      <w:pPr>
        <w:tabs>
          <w:tab w:val="left" w:pos="7154"/>
        </w:tabs>
        <w:ind w:left="4252" w:hanging="1418"/>
      </w:pPr>
      <w:rPr>
        <w:rFonts w:hint="eastAsia"/>
      </w:rPr>
    </w:lvl>
    <w:lvl w:ilvl="8" w:tentative="0">
      <w:start w:val="1"/>
      <w:numFmt w:val="decimal"/>
      <w:lvlText w:val="%1.%2.%3.%4.%5.%6.%7.%8.%9"/>
      <w:lvlJc w:val="left"/>
      <w:pPr>
        <w:tabs>
          <w:tab w:val="left" w:pos="7940"/>
        </w:tabs>
        <w:ind w:left="4960" w:hanging="1700"/>
      </w:pPr>
      <w:rPr>
        <w:rFonts w:hint="eastAsia"/>
      </w:rPr>
    </w:lvl>
  </w:abstractNum>
  <w:abstractNum w:abstractNumId="30">
    <w:nsid w:val="763E7D68"/>
    <w:multiLevelType w:val="multilevel"/>
    <w:tmpl w:val="763E7D68"/>
    <w:lvl w:ilvl="0" w:tentative="0">
      <w:start w:val="1"/>
      <w:numFmt w:val="japaneseCounting"/>
      <w:lvlText w:val="%1、"/>
      <w:lvlJc w:val="left"/>
      <w:pPr>
        <w:ind w:left="600" w:hanging="600"/>
      </w:pPr>
      <w:rPr>
        <w:rFonts w:hint="default" w:cs="Times New Roman"/>
        <w:b/>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7D755875"/>
    <w:multiLevelType w:val="multilevel"/>
    <w:tmpl w:val="7D755875"/>
    <w:lvl w:ilvl="0" w:tentative="0">
      <w:start w:val="1"/>
      <w:numFmt w:val="decimal"/>
      <w:lvlText w:val="格式%1"/>
      <w:lvlJc w:val="left"/>
      <w:pPr>
        <w:ind w:left="420" w:hanging="420"/>
      </w:pPr>
      <w:rPr>
        <w:rFonts w:hint="eastAsia" w:ascii="宋体" w:hAnsi="宋体" w:eastAsia="宋体"/>
        <w:b/>
        <w:color w:val="auto"/>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2"/>
  </w:num>
  <w:num w:numId="2">
    <w:abstractNumId w:val="2"/>
  </w:num>
  <w:num w:numId="3">
    <w:abstractNumId w:val="6"/>
  </w:num>
  <w:num w:numId="4">
    <w:abstractNumId w:val="4"/>
  </w:num>
  <w:num w:numId="5">
    <w:abstractNumId w:val="7"/>
  </w:num>
  <w:num w:numId="6">
    <w:abstractNumId w:val="29"/>
  </w:num>
  <w:num w:numId="7">
    <w:abstractNumId w:val="9"/>
  </w:num>
  <w:num w:numId="8">
    <w:abstractNumId w:val="1"/>
  </w:num>
  <w:num w:numId="9">
    <w:abstractNumId w:val="5"/>
  </w:num>
  <w:num w:numId="10">
    <w:abstractNumId w:val="8"/>
  </w:num>
  <w:num w:numId="11">
    <w:abstractNumId w:val="3"/>
  </w:num>
  <w:num w:numId="12">
    <w:abstractNumId w:val="26"/>
  </w:num>
  <w:num w:numId="13">
    <w:abstractNumId w:val="21"/>
  </w:num>
  <w:num w:numId="14">
    <w:abstractNumId w:val="1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4"/>
  </w:num>
  <w:num w:numId="19">
    <w:abstractNumId w:val="30"/>
  </w:num>
  <w:num w:numId="20">
    <w:abstractNumId w:val="27"/>
  </w:num>
  <w:num w:numId="21">
    <w:abstractNumId w:val="16"/>
  </w:num>
  <w:num w:numId="22">
    <w:abstractNumId w:val="13"/>
  </w:num>
  <w:num w:numId="23">
    <w:abstractNumId w:val="20"/>
  </w:num>
  <w:num w:numId="24">
    <w:abstractNumId w:val="18"/>
  </w:num>
  <w:num w:numId="25">
    <w:abstractNumId w:val="25"/>
  </w:num>
  <w:num w:numId="26">
    <w:abstractNumId w:val="28"/>
  </w:num>
  <w:num w:numId="27">
    <w:abstractNumId w:val="32"/>
  </w:num>
  <w:num w:numId="28">
    <w:abstractNumId w:val="31"/>
  </w:num>
  <w:num w:numId="29">
    <w:abstractNumId w:val="19"/>
  </w:num>
  <w:num w:numId="30">
    <w:abstractNumId w:val="11"/>
  </w:num>
  <w:num w:numId="31">
    <w:abstractNumId w:val="23"/>
  </w:num>
  <w:num w:numId="32">
    <w:abstractNumId w:val="12"/>
  </w:num>
  <w:num w:numId="33">
    <w:abstractNumId w:val="1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FCB"/>
    <w:rsid w:val="00004D89"/>
    <w:rsid w:val="000636FF"/>
    <w:rsid w:val="00066EF3"/>
    <w:rsid w:val="00073D08"/>
    <w:rsid w:val="000B45A6"/>
    <w:rsid w:val="000C522C"/>
    <w:rsid w:val="000D60B8"/>
    <w:rsid w:val="000F7EA9"/>
    <w:rsid w:val="00105720"/>
    <w:rsid w:val="00127151"/>
    <w:rsid w:val="00160642"/>
    <w:rsid w:val="001732C8"/>
    <w:rsid w:val="001C317F"/>
    <w:rsid w:val="0020481B"/>
    <w:rsid w:val="002700DF"/>
    <w:rsid w:val="002A2B83"/>
    <w:rsid w:val="002B376B"/>
    <w:rsid w:val="00303BA5"/>
    <w:rsid w:val="00341150"/>
    <w:rsid w:val="00356579"/>
    <w:rsid w:val="003A24EC"/>
    <w:rsid w:val="00432A39"/>
    <w:rsid w:val="00446442"/>
    <w:rsid w:val="004C2155"/>
    <w:rsid w:val="004D779E"/>
    <w:rsid w:val="004E2FCB"/>
    <w:rsid w:val="005E360B"/>
    <w:rsid w:val="005F31E4"/>
    <w:rsid w:val="00620707"/>
    <w:rsid w:val="006679D8"/>
    <w:rsid w:val="006B3174"/>
    <w:rsid w:val="00714758"/>
    <w:rsid w:val="007864F8"/>
    <w:rsid w:val="007D547A"/>
    <w:rsid w:val="007D65AF"/>
    <w:rsid w:val="008760B5"/>
    <w:rsid w:val="00886394"/>
    <w:rsid w:val="008C5369"/>
    <w:rsid w:val="00940898"/>
    <w:rsid w:val="00960E88"/>
    <w:rsid w:val="00997F3E"/>
    <w:rsid w:val="00A0777F"/>
    <w:rsid w:val="00A444FF"/>
    <w:rsid w:val="00AB75C5"/>
    <w:rsid w:val="00B55F20"/>
    <w:rsid w:val="00B60018"/>
    <w:rsid w:val="00B75C6C"/>
    <w:rsid w:val="00B97A51"/>
    <w:rsid w:val="00BD716B"/>
    <w:rsid w:val="00BE72B5"/>
    <w:rsid w:val="00BF4FE6"/>
    <w:rsid w:val="00C21784"/>
    <w:rsid w:val="00C266BB"/>
    <w:rsid w:val="00C40847"/>
    <w:rsid w:val="00C945E4"/>
    <w:rsid w:val="00D21DDF"/>
    <w:rsid w:val="00D61509"/>
    <w:rsid w:val="00D865C5"/>
    <w:rsid w:val="00D957DD"/>
    <w:rsid w:val="00D975CF"/>
    <w:rsid w:val="00D97BC4"/>
    <w:rsid w:val="00DA1C12"/>
    <w:rsid w:val="00DA2FD0"/>
    <w:rsid w:val="00DB227E"/>
    <w:rsid w:val="00DE661C"/>
    <w:rsid w:val="00DF3A31"/>
    <w:rsid w:val="00E24374"/>
    <w:rsid w:val="00E401E5"/>
    <w:rsid w:val="00E63407"/>
    <w:rsid w:val="00E87AC4"/>
    <w:rsid w:val="00F21850"/>
    <w:rsid w:val="00F25D74"/>
    <w:rsid w:val="00F82572"/>
    <w:rsid w:val="00FC7784"/>
    <w:rsid w:val="00FF1DCE"/>
    <w:rsid w:val="02A766A6"/>
    <w:rsid w:val="072820B7"/>
    <w:rsid w:val="0C05158B"/>
    <w:rsid w:val="20F666A6"/>
    <w:rsid w:val="24760174"/>
    <w:rsid w:val="2568303B"/>
    <w:rsid w:val="31986CD1"/>
    <w:rsid w:val="375920C1"/>
    <w:rsid w:val="3FD80405"/>
    <w:rsid w:val="60CA10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3"/>
    <w:next w:val="1"/>
    <w:link w:val="60"/>
    <w:qFormat/>
    <w:uiPriority w:val="0"/>
    <w:pPr>
      <w:keepNext/>
      <w:keepLines/>
      <w:widowControl/>
      <w:numPr>
        <w:ilvl w:val="0"/>
        <w:numId w:val="1"/>
      </w:numPr>
      <w:tabs>
        <w:tab w:val="left" w:pos="1440"/>
        <w:tab w:val="clear" w:pos="0"/>
      </w:tabs>
      <w:spacing w:before="0" w:after="120" w:line="360" w:lineRule="auto"/>
      <w:jc w:val="left"/>
    </w:pPr>
    <w:rPr>
      <w:kern w:val="44"/>
      <w:sz w:val="28"/>
    </w:rPr>
  </w:style>
  <w:style w:type="paragraph" w:styleId="4">
    <w:name w:val="heading 2"/>
    <w:basedOn w:val="1"/>
    <w:next w:val="1"/>
    <w:link w:val="61"/>
    <w:qFormat/>
    <w:uiPriority w:val="0"/>
    <w:pPr>
      <w:keepNext/>
      <w:keepLines/>
      <w:widowControl/>
      <w:numPr>
        <w:ilvl w:val="1"/>
        <w:numId w:val="1"/>
      </w:numPr>
      <w:tabs>
        <w:tab w:val="left" w:pos="1145"/>
      </w:tabs>
      <w:spacing w:before="260" w:after="260"/>
      <w:jc w:val="center"/>
      <w:outlineLvl w:val="1"/>
    </w:pPr>
    <w:rPr>
      <w:rFonts w:ascii="黑体" w:hAnsi="宋体" w:eastAsia="黑体"/>
      <w:color w:val="000000"/>
      <w:sz w:val="44"/>
    </w:rPr>
  </w:style>
  <w:style w:type="paragraph" w:styleId="5">
    <w:name w:val="heading 3"/>
    <w:basedOn w:val="1"/>
    <w:next w:val="1"/>
    <w:link w:val="62"/>
    <w:qFormat/>
    <w:uiPriority w:val="0"/>
    <w:pPr>
      <w:keepNext/>
      <w:keepLines/>
      <w:numPr>
        <w:ilvl w:val="2"/>
        <w:numId w:val="1"/>
      </w:numPr>
      <w:spacing w:before="260" w:after="260" w:line="413" w:lineRule="auto"/>
      <w:outlineLvl w:val="2"/>
    </w:pPr>
    <w:rPr>
      <w:b/>
      <w:sz w:val="32"/>
      <w:szCs w:val="20"/>
    </w:rPr>
  </w:style>
  <w:style w:type="paragraph" w:styleId="6">
    <w:name w:val="heading 4"/>
    <w:basedOn w:val="7"/>
    <w:next w:val="7"/>
    <w:link w:val="63"/>
    <w:qFormat/>
    <w:uiPriority w:val="0"/>
    <w:pPr>
      <w:keepNext/>
      <w:keepLines/>
      <w:numPr>
        <w:ilvl w:val="3"/>
        <w:numId w:val="1"/>
      </w:numPr>
      <w:spacing w:before="280" w:after="290" w:line="372" w:lineRule="auto"/>
      <w:outlineLvl w:val="3"/>
    </w:pPr>
    <w:rPr>
      <w:rFonts w:ascii="Arial" w:hAnsi="Arial" w:eastAsia="黑体" w:cs="Times New Roman"/>
      <w:b/>
      <w:bCs/>
      <w:color w:val="auto"/>
      <w:kern w:val="2"/>
      <w:sz w:val="28"/>
      <w:szCs w:val="28"/>
    </w:rPr>
  </w:style>
  <w:style w:type="paragraph" w:styleId="8">
    <w:name w:val="heading 5"/>
    <w:basedOn w:val="1"/>
    <w:next w:val="9"/>
    <w:link w:val="64"/>
    <w:qFormat/>
    <w:uiPriority w:val="0"/>
    <w:pPr>
      <w:keepNext/>
      <w:keepLines/>
      <w:numPr>
        <w:ilvl w:val="4"/>
        <w:numId w:val="1"/>
      </w:numPr>
      <w:spacing w:before="280" w:after="290" w:line="372" w:lineRule="auto"/>
      <w:outlineLvl w:val="4"/>
    </w:pPr>
    <w:rPr>
      <w:b/>
      <w:bCs/>
      <w:sz w:val="28"/>
      <w:szCs w:val="28"/>
    </w:rPr>
  </w:style>
  <w:style w:type="paragraph" w:styleId="10">
    <w:name w:val="heading 6"/>
    <w:basedOn w:val="1"/>
    <w:next w:val="9"/>
    <w:link w:val="66"/>
    <w:qFormat/>
    <w:uiPriority w:val="0"/>
    <w:pPr>
      <w:keepNext/>
      <w:keepLines/>
      <w:numPr>
        <w:ilvl w:val="5"/>
        <w:numId w:val="1"/>
      </w:numPr>
      <w:spacing w:before="240" w:after="64" w:line="317" w:lineRule="auto"/>
      <w:outlineLvl w:val="5"/>
    </w:pPr>
    <w:rPr>
      <w:rFonts w:ascii="Arial" w:hAnsi="Arial" w:eastAsia="黑体"/>
      <w:b/>
      <w:bCs/>
      <w:sz w:val="24"/>
      <w:szCs w:val="24"/>
    </w:rPr>
  </w:style>
  <w:style w:type="paragraph" w:styleId="11">
    <w:name w:val="heading 7"/>
    <w:basedOn w:val="1"/>
    <w:next w:val="9"/>
    <w:link w:val="67"/>
    <w:qFormat/>
    <w:uiPriority w:val="0"/>
    <w:pPr>
      <w:keepNext/>
      <w:keepLines/>
      <w:numPr>
        <w:ilvl w:val="6"/>
        <w:numId w:val="1"/>
      </w:numPr>
      <w:spacing w:before="240" w:after="64" w:line="317" w:lineRule="auto"/>
      <w:outlineLvl w:val="6"/>
    </w:pPr>
    <w:rPr>
      <w:b/>
      <w:bCs/>
      <w:sz w:val="24"/>
      <w:szCs w:val="24"/>
    </w:rPr>
  </w:style>
  <w:style w:type="paragraph" w:styleId="12">
    <w:name w:val="heading 8"/>
    <w:basedOn w:val="1"/>
    <w:next w:val="9"/>
    <w:link w:val="68"/>
    <w:qFormat/>
    <w:uiPriority w:val="0"/>
    <w:pPr>
      <w:keepNext/>
      <w:keepLines/>
      <w:numPr>
        <w:ilvl w:val="7"/>
        <w:numId w:val="1"/>
      </w:numPr>
      <w:spacing w:before="240" w:after="64" w:line="317" w:lineRule="auto"/>
      <w:outlineLvl w:val="7"/>
    </w:pPr>
    <w:rPr>
      <w:rFonts w:ascii="Arial" w:hAnsi="Arial" w:eastAsia="黑体"/>
      <w:sz w:val="24"/>
      <w:szCs w:val="24"/>
    </w:rPr>
  </w:style>
  <w:style w:type="paragraph" w:styleId="13">
    <w:name w:val="heading 9"/>
    <w:basedOn w:val="1"/>
    <w:next w:val="9"/>
    <w:link w:val="69"/>
    <w:qFormat/>
    <w:uiPriority w:val="0"/>
    <w:pPr>
      <w:keepNext/>
      <w:keepLines/>
      <w:numPr>
        <w:ilvl w:val="8"/>
        <w:numId w:val="1"/>
      </w:numPr>
      <w:spacing w:before="240" w:after="64" w:line="317" w:lineRule="auto"/>
      <w:outlineLvl w:val="8"/>
    </w:pPr>
    <w:rPr>
      <w:rFonts w:ascii="Arial" w:hAnsi="Arial" w:eastAsia="黑体"/>
      <w:szCs w:val="21"/>
    </w:rPr>
  </w:style>
  <w:style w:type="character" w:default="1" w:styleId="52">
    <w:name w:val="Default Paragraph Font"/>
    <w:semiHidden/>
    <w:unhideWhenUsed/>
    <w:uiPriority w:val="1"/>
  </w:style>
  <w:style w:type="table" w:default="1" w:styleId="50">
    <w:name w:val="Normal Table"/>
    <w:semiHidden/>
    <w:unhideWhenUsed/>
    <w:uiPriority w:val="99"/>
    <w:tblPr>
      <w:tblCellMar>
        <w:top w:w="0" w:type="dxa"/>
        <w:left w:w="108" w:type="dxa"/>
        <w:bottom w:w="0" w:type="dxa"/>
        <w:right w:w="108" w:type="dxa"/>
      </w:tblCellMar>
    </w:tblPr>
  </w:style>
  <w:style w:type="paragraph" w:styleId="3">
    <w:name w:val="Title"/>
    <w:basedOn w:val="1"/>
    <w:link w:val="59"/>
    <w:qFormat/>
    <w:uiPriority w:val="0"/>
    <w:pPr>
      <w:spacing w:before="240" w:after="60"/>
      <w:jc w:val="center"/>
      <w:outlineLvl w:val="0"/>
    </w:pPr>
    <w:rPr>
      <w:rFonts w:ascii="Arial" w:hAnsi="Arial"/>
      <w:b/>
      <w:sz w:val="32"/>
      <w:szCs w:val="20"/>
    </w:rPr>
  </w:style>
  <w:style w:type="paragraph" w:customStyle="1" w:styleId="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9">
    <w:name w:val="Normal Indent"/>
    <w:basedOn w:val="7"/>
    <w:next w:val="7"/>
    <w:link w:val="65"/>
    <w:qFormat/>
    <w:uiPriority w:val="0"/>
    <w:pPr>
      <w:ind w:firstLine="420" w:firstLineChars="200"/>
    </w:pPr>
    <w:rPr>
      <w:rFonts w:ascii="Times New Roman" w:eastAsia="宋体" w:cs="Times New Roman"/>
      <w:color w:val="auto"/>
      <w:kern w:val="2"/>
      <w:sz w:val="21"/>
      <w:szCs w:val="20"/>
    </w:rPr>
  </w:style>
  <w:style w:type="paragraph" w:styleId="14">
    <w:name w:val="List 3"/>
    <w:basedOn w:val="1"/>
    <w:uiPriority w:val="0"/>
    <w:pPr>
      <w:ind w:left="100" w:leftChars="400" w:hanging="200" w:hangingChars="200"/>
    </w:pPr>
    <w:rPr>
      <w:szCs w:val="24"/>
    </w:rPr>
  </w:style>
  <w:style w:type="paragraph" w:styleId="15">
    <w:name w:val="caption"/>
    <w:basedOn w:val="1"/>
    <w:next w:val="1"/>
    <w:qFormat/>
    <w:uiPriority w:val="0"/>
    <w:rPr>
      <w:rFonts w:ascii="Arial" w:hAnsi="Arial" w:eastAsia="黑体" w:cs="Arial"/>
      <w:sz w:val="20"/>
      <w:szCs w:val="20"/>
    </w:rPr>
  </w:style>
  <w:style w:type="paragraph" w:styleId="16">
    <w:name w:val="List Bullet"/>
    <w:basedOn w:val="9"/>
    <w:qFormat/>
    <w:uiPriority w:val="0"/>
    <w:pPr>
      <w:widowControl/>
      <w:numPr>
        <w:ilvl w:val="1"/>
        <w:numId w:val="2"/>
      </w:numPr>
      <w:spacing w:after="120"/>
      <w:ind w:firstLine="0" w:firstLineChars="0"/>
    </w:pPr>
    <w:rPr>
      <w:rFonts w:ascii="宋体" w:hAnsi="宋体"/>
      <w:bCs/>
      <w:sz w:val="24"/>
      <w:szCs w:val="24"/>
    </w:rPr>
  </w:style>
  <w:style w:type="paragraph" w:styleId="17">
    <w:name w:val="Document Map"/>
    <w:basedOn w:val="1"/>
    <w:link w:val="70"/>
    <w:qFormat/>
    <w:uiPriority w:val="0"/>
    <w:rPr>
      <w:rFonts w:ascii="宋体"/>
      <w:sz w:val="18"/>
      <w:szCs w:val="18"/>
    </w:rPr>
  </w:style>
  <w:style w:type="paragraph" w:styleId="18">
    <w:name w:val="annotation text"/>
    <w:basedOn w:val="1"/>
    <w:link w:val="71"/>
    <w:qFormat/>
    <w:uiPriority w:val="99"/>
    <w:pPr>
      <w:adjustRightInd w:val="0"/>
      <w:spacing w:line="360" w:lineRule="atLeast"/>
      <w:jc w:val="left"/>
      <w:textAlignment w:val="baseline"/>
    </w:pPr>
    <w:rPr>
      <w:kern w:val="0"/>
      <w:sz w:val="24"/>
      <w:szCs w:val="20"/>
    </w:rPr>
  </w:style>
  <w:style w:type="paragraph" w:styleId="19">
    <w:name w:val="Salutation"/>
    <w:basedOn w:val="1"/>
    <w:next w:val="1"/>
    <w:link w:val="72"/>
    <w:qFormat/>
    <w:uiPriority w:val="0"/>
    <w:rPr>
      <w:sz w:val="24"/>
      <w:szCs w:val="24"/>
    </w:rPr>
  </w:style>
  <w:style w:type="paragraph" w:styleId="20">
    <w:name w:val="Body Text 3"/>
    <w:basedOn w:val="1"/>
    <w:link w:val="73"/>
    <w:uiPriority w:val="0"/>
    <w:pPr>
      <w:widowControl/>
      <w:spacing w:before="100" w:beforeAutospacing="1" w:after="100" w:afterAutospacing="1"/>
      <w:jc w:val="left"/>
    </w:pPr>
    <w:rPr>
      <w:rFonts w:ascii="Arial" w:hAnsi="Arial"/>
      <w:kern w:val="0"/>
      <w:szCs w:val="20"/>
    </w:rPr>
  </w:style>
  <w:style w:type="paragraph" w:styleId="21">
    <w:name w:val="Body Text"/>
    <w:basedOn w:val="1"/>
    <w:link w:val="74"/>
    <w:qFormat/>
    <w:uiPriority w:val="0"/>
    <w:pPr>
      <w:spacing w:after="120"/>
    </w:pPr>
    <w:rPr>
      <w:szCs w:val="20"/>
    </w:rPr>
  </w:style>
  <w:style w:type="paragraph" w:styleId="22">
    <w:name w:val="Body Text Indent"/>
    <w:basedOn w:val="1"/>
    <w:link w:val="75"/>
    <w:qFormat/>
    <w:uiPriority w:val="0"/>
    <w:pPr>
      <w:spacing w:before="100" w:beforeAutospacing="1" w:after="100" w:afterAutospacing="1"/>
      <w:ind w:firstLine="437"/>
    </w:pPr>
    <w:rPr>
      <w:szCs w:val="20"/>
    </w:rPr>
  </w:style>
  <w:style w:type="paragraph" w:styleId="23">
    <w:name w:val="List 2"/>
    <w:basedOn w:val="1"/>
    <w:qFormat/>
    <w:uiPriority w:val="0"/>
    <w:pPr>
      <w:ind w:left="100" w:leftChars="200" w:hanging="200" w:hangingChars="200"/>
    </w:pPr>
    <w:rPr>
      <w:szCs w:val="24"/>
    </w:rPr>
  </w:style>
  <w:style w:type="paragraph" w:styleId="24">
    <w:name w:val="List Continue"/>
    <w:basedOn w:val="1"/>
    <w:qFormat/>
    <w:uiPriority w:val="0"/>
    <w:pPr>
      <w:spacing w:after="120"/>
      <w:ind w:left="420" w:leftChars="200"/>
    </w:pPr>
    <w:rPr>
      <w:szCs w:val="24"/>
    </w:rPr>
  </w:style>
  <w:style w:type="paragraph" w:styleId="25">
    <w:name w:val="Block Text"/>
    <w:basedOn w:val="1"/>
    <w:qFormat/>
    <w:uiPriority w:val="0"/>
    <w:pPr>
      <w:adjustRightInd w:val="0"/>
      <w:snapToGrid w:val="0"/>
      <w:spacing w:line="353" w:lineRule="auto"/>
      <w:ind w:left="718" w:leftChars="342" w:right="-39" w:rightChars="-39" w:firstLine="480" w:firstLineChars="200"/>
    </w:pPr>
    <w:rPr>
      <w:rFonts w:ascii="宋体" w:hAnsi="宋体"/>
      <w:sz w:val="24"/>
      <w:szCs w:val="20"/>
    </w:rPr>
  </w:style>
  <w:style w:type="paragraph" w:styleId="26">
    <w:name w:val="toc 3"/>
    <w:basedOn w:val="1"/>
    <w:next w:val="1"/>
    <w:qFormat/>
    <w:uiPriority w:val="39"/>
    <w:pPr>
      <w:tabs>
        <w:tab w:val="left" w:pos="1260"/>
        <w:tab w:val="right" w:leader="dot" w:pos="8296"/>
      </w:tabs>
      <w:ind w:left="840" w:leftChars="400"/>
    </w:pPr>
    <w:rPr>
      <w:szCs w:val="20"/>
    </w:rPr>
  </w:style>
  <w:style w:type="paragraph" w:styleId="27">
    <w:name w:val="Plain Text"/>
    <w:basedOn w:val="7"/>
    <w:next w:val="7"/>
    <w:link w:val="76"/>
    <w:uiPriority w:val="0"/>
    <w:rPr>
      <w:rFonts w:ascii="宋体" w:hAnsi="Courier New" w:eastAsia="宋体" w:cs="Times New Roman"/>
      <w:color w:val="auto"/>
      <w:kern w:val="2"/>
      <w:sz w:val="21"/>
      <w:szCs w:val="20"/>
    </w:rPr>
  </w:style>
  <w:style w:type="paragraph" w:styleId="28">
    <w:name w:val="Date"/>
    <w:basedOn w:val="1"/>
    <w:next w:val="1"/>
    <w:link w:val="77"/>
    <w:qFormat/>
    <w:uiPriority w:val="0"/>
    <w:pPr>
      <w:ind w:left="100" w:leftChars="2500"/>
    </w:pPr>
    <w:rPr>
      <w:szCs w:val="20"/>
    </w:rPr>
  </w:style>
  <w:style w:type="paragraph" w:styleId="29">
    <w:name w:val="Body Text Indent 2"/>
    <w:basedOn w:val="1"/>
    <w:link w:val="78"/>
    <w:qFormat/>
    <w:uiPriority w:val="0"/>
    <w:pPr>
      <w:spacing w:line="360" w:lineRule="auto"/>
      <w:ind w:firstLine="480" w:firstLineChars="200"/>
    </w:pPr>
    <w:rPr>
      <w:rFonts w:ascii="宋体" w:hAnsi="宋体"/>
      <w:sz w:val="24"/>
      <w:szCs w:val="24"/>
    </w:rPr>
  </w:style>
  <w:style w:type="paragraph" w:styleId="30">
    <w:name w:val="endnote text"/>
    <w:basedOn w:val="1"/>
    <w:link w:val="79"/>
    <w:qFormat/>
    <w:uiPriority w:val="0"/>
    <w:pPr>
      <w:snapToGrid w:val="0"/>
      <w:jc w:val="left"/>
    </w:pPr>
    <w:rPr>
      <w:szCs w:val="20"/>
    </w:rPr>
  </w:style>
  <w:style w:type="paragraph" w:styleId="31">
    <w:name w:val="Balloon Text"/>
    <w:basedOn w:val="1"/>
    <w:link w:val="80"/>
    <w:qFormat/>
    <w:uiPriority w:val="0"/>
    <w:rPr>
      <w:sz w:val="18"/>
      <w:szCs w:val="20"/>
    </w:rPr>
  </w:style>
  <w:style w:type="paragraph" w:styleId="32">
    <w:name w:val="footer"/>
    <w:basedOn w:val="1"/>
    <w:link w:val="81"/>
    <w:qFormat/>
    <w:uiPriority w:val="0"/>
    <w:pPr>
      <w:tabs>
        <w:tab w:val="center" w:pos="4153"/>
        <w:tab w:val="right" w:pos="8306"/>
      </w:tabs>
      <w:snapToGrid w:val="0"/>
      <w:jc w:val="left"/>
    </w:pPr>
    <w:rPr>
      <w:kern w:val="0"/>
      <w:sz w:val="18"/>
      <w:szCs w:val="18"/>
    </w:rPr>
  </w:style>
  <w:style w:type="paragraph" w:styleId="33">
    <w:name w:val="header"/>
    <w:basedOn w:val="1"/>
    <w:link w:val="82"/>
    <w:qFormat/>
    <w:uiPriority w:val="0"/>
    <w:pPr>
      <w:pBdr>
        <w:bottom w:val="single" w:color="auto" w:sz="6" w:space="1"/>
      </w:pBdr>
      <w:tabs>
        <w:tab w:val="center" w:pos="4153"/>
        <w:tab w:val="right" w:pos="8306"/>
      </w:tabs>
      <w:snapToGrid w:val="0"/>
      <w:jc w:val="center"/>
    </w:pPr>
    <w:rPr>
      <w:kern w:val="0"/>
      <w:sz w:val="18"/>
      <w:szCs w:val="18"/>
    </w:rPr>
  </w:style>
  <w:style w:type="paragraph" w:styleId="34">
    <w:name w:val="Signature"/>
    <w:basedOn w:val="1"/>
    <w:link w:val="83"/>
    <w:qFormat/>
    <w:uiPriority w:val="0"/>
    <w:pPr>
      <w:ind w:left="100" w:leftChars="2100"/>
    </w:pPr>
    <w:rPr>
      <w:szCs w:val="24"/>
    </w:rPr>
  </w:style>
  <w:style w:type="paragraph" w:styleId="35">
    <w:name w:val="toc 1"/>
    <w:basedOn w:val="1"/>
    <w:next w:val="1"/>
    <w:qFormat/>
    <w:uiPriority w:val="39"/>
    <w:pPr>
      <w:tabs>
        <w:tab w:val="right" w:leader="dot" w:pos="8296"/>
      </w:tabs>
      <w:spacing w:line="360" w:lineRule="auto"/>
    </w:pPr>
    <w:rPr>
      <w:sz w:val="20"/>
      <w:szCs w:val="20"/>
    </w:rPr>
  </w:style>
  <w:style w:type="paragraph" w:styleId="36">
    <w:name w:val="index heading"/>
    <w:basedOn w:val="1"/>
    <w:next w:val="37"/>
    <w:qFormat/>
    <w:uiPriority w:val="0"/>
    <w:rPr>
      <w:szCs w:val="20"/>
    </w:rPr>
  </w:style>
  <w:style w:type="paragraph" w:styleId="37">
    <w:name w:val="index 1"/>
    <w:basedOn w:val="1"/>
    <w:next w:val="1"/>
    <w:qFormat/>
    <w:uiPriority w:val="0"/>
    <w:pPr>
      <w:numPr>
        <w:ilvl w:val="0"/>
        <w:numId w:val="3"/>
      </w:numPr>
      <w:spacing w:before="50" w:after="50" w:line="420" w:lineRule="exact"/>
      <w:ind w:left="0" w:firstLine="0"/>
    </w:pPr>
    <w:rPr>
      <w:rFonts w:ascii="宋体" w:hAnsi="宋体"/>
      <w:sz w:val="24"/>
      <w:szCs w:val="18"/>
    </w:rPr>
  </w:style>
  <w:style w:type="paragraph" w:styleId="38">
    <w:name w:val="List"/>
    <w:basedOn w:val="1"/>
    <w:qFormat/>
    <w:uiPriority w:val="0"/>
    <w:pPr>
      <w:ind w:left="200" w:hanging="200" w:hangingChars="200"/>
    </w:pPr>
    <w:rPr>
      <w:szCs w:val="24"/>
    </w:rPr>
  </w:style>
  <w:style w:type="paragraph" w:styleId="39">
    <w:name w:val="footnote text"/>
    <w:basedOn w:val="1"/>
    <w:link w:val="84"/>
    <w:qFormat/>
    <w:uiPriority w:val="0"/>
    <w:pPr>
      <w:snapToGrid w:val="0"/>
      <w:jc w:val="left"/>
    </w:pPr>
    <w:rPr>
      <w:sz w:val="18"/>
      <w:szCs w:val="20"/>
    </w:rPr>
  </w:style>
  <w:style w:type="paragraph" w:styleId="40">
    <w:name w:val="Body Text Indent 3"/>
    <w:basedOn w:val="1"/>
    <w:link w:val="85"/>
    <w:qFormat/>
    <w:uiPriority w:val="0"/>
    <w:pPr>
      <w:spacing w:line="360" w:lineRule="auto"/>
      <w:ind w:firstLine="482" w:firstLineChars="200"/>
    </w:pPr>
    <w:rPr>
      <w:b/>
      <w:bCs/>
      <w:sz w:val="24"/>
      <w:szCs w:val="24"/>
    </w:rPr>
  </w:style>
  <w:style w:type="paragraph" w:styleId="41">
    <w:name w:val="toc 2"/>
    <w:basedOn w:val="1"/>
    <w:next w:val="1"/>
    <w:qFormat/>
    <w:uiPriority w:val="39"/>
    <w:pPr>
      <w:tabs>
        <w:tab w:val="left" w:pos="1260"/>
        <w:tab w:val="right" w:leader="dot" w:pos="8296"/>
      </w:tabs>
      <w:spacing w:line="320" w:lineRule="exact"/>
      <w:ind w:left="200" w:leftChars="200"/>
    </w:pPr>
    <w:rPr>
      <w:sz w:val="20"/>
      <w:szCs w:val="20"/>
    </w:rPr>
  </w:style>
  <w:style w:type="paragraph" w:styleId="42">
    <w:name w:val="Body Text 2"/>
    <w:basedOn w:val="1"/>
    <w:link w:val="86"/>
    <w:qFormat/>
    <w:uiPriority w:val="0"/>
    <w:pPr>
      <w:snapToGrid w:val="0"/>
    </w:pPr>
    <w:rPr>
      <w:rFonts w:ascii="宋体" w:hAnsi="宋体"/>
      <w:sz w:val="24"/>
      <w:szCs w:val="20"/>
    </w:rPr>
  </w:style>
  <w:style w:type="paragraph" w:styleId="43">
    <w:name w:val="List 4"/>
    <w:basedOn w:val="1"/>
    <w:uiPriority w:val="0"/>
    <w:pPr>
      <w:ind w:left="100" w:leftChars="600" w:hanging="200" w:hangingChars="200"/>
    </w:pPr>
    <w:rPr>
      <w:szCs w:val="24"/>
    </w:rPr>
  </w:style>
  <w:style w:type="paragraph" w:styleId="44">
    <w:name w:val="List Continue 2"/>
    <w:basedOn w:val="1"/>
    <w:qFormat/>
    <w:uiPriority w:val="0"/>
    <w:pPr>
      <w:spacing w:after="120"/>
      <w:ind w:left="840" w:leftChars="400"/>
    </w:pPr>
    <w:rPr>
      <w:szCs w:val="24"/>
    </w:rPr>
  </w:style>
  <w:style w:type="paragraph" w:styleId="45">
    <w:name w:val="Normal (Web)"/>
    <w:basedOn w:val="1"/>
    <w:qFormat/>
    <w:uiPriority w:val="0"/>
    <w:pPr>
      <w:widowControl/>
      <w:spacing w:before="100" w:beforeAutospacing="1" w:after="100" w:afterAutospacing="1"/>
      <w:jc w:val="left"/>
    </w:pPr>
    <w:rPr>
      <w:rFonts w:ascii="宋体" w:hAnsi="宋体"/>
      <w:kern w:val="0"/>
      <w:sz w:val="15"/>
      <w:szCs w:val="20"/>
    </w:rPr>
  </w:style>
  <w:style w:type="paragraph" w:styleId="46">
    <w:name w:val="List Continue 3"/>
    <w:basedOn w:val="1"/>
    <w:qFormat/>
    <w:uiPriority w:val="0"/>
    <w:pPr>
      <w:spacing w:after="120"/>
      <w:ind w:left="1260" w:leftChars="600"/>
    </w:pPr>
    <w:rPr>
      <w:szCs w:val="24"/>
    </w:rPr>
  </w:style>
  <w:style w:type="paragraph" w:styleId="47">
    <w:name w:val="annotation subject"/>
    <w:basedOn w:val="18"/>
    <w:next w:val="18"/>
    <w:link w:val="87"/>
    <w:qFormat/>
    <w:uiPriority w:val="0"/>
    <w:pPr>
      <w:adjustRightInd/>
      <w:spacing w:line="240" w:lineRule="auto"/>
      <w:textAlignment w:val="auto"/>
    </w:pPr>
    <w:rPr>
      <w:b/>
      <w:bCs/>
      <w:kern w:val="2"/>
      <w:sz w:val="21"/>
      <w:szCs w:val="22"/>
    </w:rPr>
  </w:style>
  <w:style w:type="paragraph" w:styleId="48">
    <w:name w:val="Body Text First Indent"/>
    <w:basedOn w:val="21"/>
    <w:link w:val="88"/>
    <w:qFormat/>
    <w:uiPriority w:val="0"/>
    <w:pPr>
      <w:ind w:firstLine="420" w:firstLineChars="100"/>
    </w:pPr>
    <w:rPr>
      <w:szCs w:val="24"/>
    </w:rPr>
  </w:style>
  <w:style w:type="paragraph" w:styleId="49">
    <w:name w:val="Body Text First Indent 2"/>
    <w:basedOn w:val="22"/>
    <w:link w:val="89"/>
    <w:qFormat/>
    <w:uiPriority w:val="0"/>
    <w:pPr>
      <w:spacing w:before="0" w:beforeAutospacing="0" w:after="120" w:afterAutospacing="0"/>
      <w:ind w:left="420" w:leftChars="200" w:firstLine="420" w:firstLineChars="200"/>
    </w:pPr>
    <w:rPr>
      <w:b/>
      <w:bCs/>
      <w:sz w:val="32"/>
      <w:szCs w:val="32"/>
    </w:rPr>
  </w:style>
  <w:style w:type="table" w:styleId="51">
    <w:name w:val="Table Grid"/>
    <w:basedOn w:val="5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00"/>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标题 字符"/>
    <w:link w:val="3"/>
    <w:qFormat/>
    <w:uiPriority w:val="0"/>
    <w:rPr>
      <w:rFonts w:ascii="Arial" w:hAnsi="Arial"/>
      <w:b/>
      <w:kern w:val="2"/>
      <w:sz w:val="32"/>
    </w:rPr>
  </w:style>
  <w:style w:type="character" w:customStyle="1" w:styleId="60">
    <w:name w:val="标题 1 字符"/>
    <w:link w:val="2"/>
    <w:uiPriority w:val="0"/>
    <w:rPr>
      <w:rFonts w:ascii="Arial" w:hAnsi="Arial"/>
      <w:b/>
      <w:kern w:val="44"/>
      <w:sz w:val="28"/>
    </w:rPr>
  </w:style>
  <w:style w:type="character" w:customStyle="1" w:styleId="61">
    <w:name w:val="标题 2 字符"/>
    <w:link w:val="4"/>
    <w:uiPriority w:val="0"/>
    <w:rPr>
      <w:rFonts w:ascii="黑体" w:hAnsi="宋体" w:eastAsia="黑体"/>
      <w:color w:val="000000"/>
      <w:kern w:val="2"/>
      <w:sz w:val="44"/>
      <w:szCs w:val="22"/>
    </w:rPr>
  </w:style>
  <w:style w:type="character" w:customStyle="1" w:styleId="62">
    <w:name w:val="标题 3 字符"/>
    <w:link w:val="5"/>
    <w:qFormat/>
    <w:uiPriority w:val="0"/>
    <w:rPr>
      <w:b/>
      <w:kern w:val="2"/>
      <w:sz w:val="32"/>
    </w:rPr>
  </w:style>
  <w:style w:type="character" w:customStyle="1" w:styleId="63">
    <w:name w:val="标题 4 字符"/>
    <w:link w:val="6"/>
    <w:qFormat/>
    <w:uiPriority w:val="0"/>
    <w:rPr>
      <w:rFonts w:ascii="Arial" w:hAnsi="Arial" w:eastAsia="黑体"/>
      <w:b/>
      <w:bCs/>
      <w:kern w:val="2"/>
      <w:sz w:val="28"/>
      <w:szCs w:val="28"/>
    </w:rPr>
  </w:style>
  <w:style w:type="character" w:customStyle="1" w:styleId="64">
    <w:name w:val="标题 5 字符"/>
    <w:link w:val="8"/>
    <w:uiPriority w:val="0"/>
    <w:rPr>
      <w:b/>
      <w:bCs/>
      <w:kern w:val="2"/>
      <w:sz w:val="28"/>
      <w:szCs w:val="28"/>
    </w:rPr>
  </w:style>
  <w:style w:type="character" w:customStyle="1" w:styleId="65">
    <w:name w:val="正文缩进 字符"/>
    <w:link w:val="9"/>
    <w:qFormat/>
    <w:uiPriority w:val="0"/>
    <w:rPr>
      <w:kern w:val="2"/>
      <w:sz w:val="21"/>
    </w:rPr>
  </w:style>
  <w:style w:type="character" w:customStyle="1" w:styleId="66">
    <w:name w:val="标题 6 字符"/>
    <w:link w:val="10"/>
    <w:qFormat/>
    <w:uiPriority w:val="0"/>
    <w:rPr>
      <w:rFonts w:ascii="Arial" w:hAnsi="Arial" w:eastAsia="黑体"/>
      <w:b/>
      <w:bCs/>
      <w:kern w:val="2"/>
      <w:sz w:val="24"/>
      <w:szCs w:val="24"/>
    </w:rPr>
  </w:style>
  <w:style w:type="character" w:customStyle="1" w:styleId="67">
    <w:name w:val="标题 7 字符"/>
    <w:link w:val="11"/>
    <w:qFormat/>
    <w:uiPriority w:val="0"/>
    <w:rPr>
      <w:b/>
      <w:bCs/>
      <w:kern w:val="2"/>
      <w:sz w:val="24"/>
      <w:szCs w:val="24"/>
    </w:rPr>
  </w:style>
  <w:style w:type="character" w:customStyle="1" w:styleId="68">
    <w:name w:val="标题 8 字符"/>
    <w:link w:val="12"/>
    <w:qFormat/>
    <w:uiPriority w:val="0"/>
    <w:rPr>
      <w:rFonts w:ascii="Arial" w:hAnsi="Arial" w:eastAsia="黑体"/>
      <w:kern w:val="2"/>
      <w:sz w:val="24"/>
      <w:szCs w:val="24"/>
    </w:rPr>
  </w:style>
  <w:style w:type="character" w:customStyle="1" w:styleId="69">
    <w:name w:val="标题 9 字符"/>
    <w:link w:val="13"/>
    <w:qFormat/>
    <w:uiPriority w:val="0"/>
    <w:rPr>
      <w:rFonts w:ascii="Arial" w:hAnsi="Arial" w:eastAsia="黑体"/>
      <w:kern w:val="2"/>
      <w:sz w:val="21"/>
      <w:szCs w:val="21"/>
    </w:rPr>
  </w:style>
  <w:style w:type="character" w:customStyle="1" w:styleId="70">
    <w:name w:val="文档结构图 字符"/>
    <w:link w:val="17"/>
    <w:qFormat/>
    <w:uiPriority w:val="0"/>
    <w:rPr>
      <w:rFonts w:ascii="宋体"/>
      <w:kern w:val="2"/>
      <w:sz w:val="18"/>
      <w:szCs w:val="18"/>
    </w:rPr>
  </w:style>
  <w:style w:type="character" w:customStyle="1" w:styleId="71">
    <w:name w:val="批注文字 字符"/>
    <w:link w:val="18"/>
    <w:qFormat/>
    <w:uiPriority w:val="99"/>
    <w:rPr>
      <w:rFonts w:ascii="Times New Roman" w:hAnsi="Times New Roman"/>
      <w:sz w:val="24"/>
    </w:rPr>
  </w:style>
  <w:style w:type="character" w:customStyle="1" w:styleId="72">
    <w:name w:val="称呼 字符"/>
    <w:link w:val="19"/>
    <w:uiPriority w:val="0"/>
    <w:rPr>
      <w:rFonts w:ascii="Times New Roman" w:hAnsi="Times New Roman"/>
      <w:kern w:val="2"/>
      <w:sz w:val="24"/>
      <w:szCs w:val="24"/>
    </w:rPr>
  </w:style>
  <w:style w:type="character" w:customStyle="1" w:styleId="73">
    <w:name w:val="正文文本 3 字符"/>
    <w:link w:val="20"/>
    <w:uiPriority w:val="0"/>
    <w:rPr>
      <w:rFonts w:ascii="Arial" w:hAnsi="Arial"/>
      <w:sz w:val="21"/>
    </w:rPr>
  </w:style>
  <w:style w:type="character" w:customStyle="1" w:styleId="74">
    <w:name w:val="正文文本 字符"/>
    <w:link w:val="21"/>
    <w:uiPriority w:val="0"/>
    <w:rPr>
      <w:rFonts w:ascii="Times New Roman" w:hAnsi="Times New Roman"/>
      <w:kern w:val="2"/>
      <w:sz w:val="21"/>
    </w:rPr>
  </w:style>
  <w:style w:type="character" w:customStyle="1" w:styleId="75">
    <w:name w:val="正文文本缩进 字符"/>
    <w:link w:val="22"/>
    <w:qFormat/>
    <w:uiPriority w:val="0"/>
    <w:rPr>
      <w:rFonts w:ascii="Times New Roman" w:hAnsi="Times New Roman"/>
      <w:kern w:val="2"/>
      <w:sz w:val="21"/>
    </w:rPr>
  </w:style>
  <w:style w:type="character" w:customStyle="1" w:styleId="76">
    <w:name w:val="纯文本 字符"/>
    <w:link w:val="27"/>
    <w:uiPriority w:val="0"/>
    <w:rPr>
      <w:rFonts w:ascii="宋体" w:hAnsi="Courier New"/>
      <w:kern w:val="2"/>
      <w:sz w:val="21"/>
    </w:rPr>
  </w:style>
  <w:style w:type="character" w:customStyle="1" w:styleId="77">
    <w:name w:val="日期 字符"/>
    <w:link w:val="28"/>
    <w:uiPriority w:val="0"/>
    <w:rPr>
      <w:rFonts w:ascii="Times New Roman" w:hAnsi="Times New Roman"/>
      <w:kern w:val="2"/>
      <w:sz w:val="21"/>
    </w:rPr>
  </w:style>
  <w:style w:type="character" w:customStyle="1" w:styleId="78">
    <w:name w:val="正文文本缩进 2 字符"/>
    <w:link w:val="29"/>
    <w:uiPriority w:val="0"/>
    <w:rPr>
      <w:rFonts w:ascii="宋体" w:hAnsi="宋体"/>
      <w:kern w:val="2"/>
      <w:sz w:val="24"/>
      <w:szCs w:val="24"/>
    </w:rPr>
  </w:style>
  <w:style w:type="character" w:customStyle="1" w:styleId="79">
    <w:name w:val="尾注文本 字符"/>
    <w:link w:val="30"/>
    <w:qFormat/>
    <w:uiPriority w:val="0"/>
    <w:rPr>
      <w:kern w:val="2"/>
      <w:sz w:val="21"/>
    </w:rPr>
  </w:style>
  <w:style w:type="character" w:customStyle="1" w:styleId="80">
    <w:name w:val="批注框文本 字符"/>
    <w:link w:val="31"/>
    <w:uiPriority w:val="0"/>
    <w:rPr>
      <w:rFonts w:ascii="Times New Roman" w:hAnsi="Times New Roman"/>
      <w:kern w:val="2"/>
      <w:sz w:val="18"/>
    </w:rPr>
  </w:style>
  <w:style w:type="character" w:customStyle="1" w:styleId="81">
    <w:name w:val="页脚 字符"/>
    <w:link w:val="32"/>
    <w:uiPriority w:val="0"/>
    <w:rPr>
      <w:sz w:val="18"/>
      <w:szCs w:val="18"/>
    </w:rPr>
  </w:style>
  <w:style w:type="character" w:customStyle="1" w:styleId="82">
    <w:name w:val="页眉 字符"/>
    <w:link w:val="33"/>
    <w:uiPriority w:val="0"/>
    <w:rPr>
      <w:sz w:val="18"/>
      <w:szCs w:val="18"/>
    </w:rPr>
  </w:style>
  <w:style w:type="character" w:customStyle="1" w:styleId="83">
    <w:name w:val="签名 字符"/>
    <w:link w:val="34"/>
    <w:uiPriority w:val="0"/>
    <w:rPr>
      <w:rFonts w:ascii="Times New Roman" w:hAnsi="Times New Roman"/>
      <w:kern w:val="2"/>
      <w:sz w:val="21"/>
      <w:szCs w:val="24"/>
    </w:rPr>
  </w:style>
  <w:style w:type="character" w:customStyle="1" w:styleId="84">
    <w:name w:val="脚注文本 字符"/>
    <w:link w:val="39"/>
    <w:uiPriority w:val="0"/>
    <w:rPr>
      <w:kern w:val="2"/>
      <w:sz w:val="18"/>
    </w:rPr>
  </w:style>
  <w:style w:type="character" w:customStyle="1" w:styleId="85">
    <w:name w:val="正文文本缩进 3 字符"/>
    <w:link w:val="40"/>
    <w:uiPriority w:val="0"/>
    <w:rPr>
      <w:rFonts w:ascii="Times New Roman" w:hAnsi="Times New Roman"/>
      <w:b/>
      <w:bCs/>
      <w:kern w:val="2"/>
      <w:sz w:val="24"/>
      <w:szCs w:val="24"/>
    </w:rPr>
  </w:style>
  <w:style w:type="character" w:customStyle="1" w:styleId="86">
    <w:name w:val="正文文本 2 字符"/>
    <w:link w:val="42"/>
    <w:uiPriority w:val="0"/>
    <w:rPr>
      <w:rFonts w:ascii="宋体" w:hAnsi="宋体"/>
      <w:kern w:val="2"/>
      <w:sz w:val="24"/>
    </w:rPr>
  </w:style>
  <w:style w:type="character" w:customStyle="1" w:styleId="87">
    <w:name w:val="批注主题 字符"/>
    <w:basedOn w:val="71"/>
    <w:link w:val="47"/>
    <w:qFormat/>
    <w:uiPriority w:val="0"/>
    <w:rPr>
      <w:rFonts w:ascii="Times New Roman" w:hAnsi="Times New Roman"/>
      <w:sz w:val="24"/>
    </w:rPr>
  </w:style>
  <w:style w:type="character" w:customStyle="1" w:styleId="88">
    <w:name w:val="正文文本首行缩进 字符"/>
    <w:link w:val="48"/>
    <w:uiPriority w:val="0"/>
    <w:rPr>
      <w:rFonts w:ascii="Times New Roman" w:hAnsi="Times New Roman"/>
      <w:kern w:val="2"/>
      <w:sz w:val="21"/>
      <w:szCs w:val="24"/>
    </w:rPr>
  </w:style>
  <w:style w:type="character" w:customStyle="1" w:styleId="89">
    <w:name w:val="正文文本首行缩进 2 字符"/>
    <w:link w:val="49"/>
    <w:uiPriority w:val="0"/>
    <w:rPr>
      <w:b/>
      <w:bCs/>
      <w:kern w:val="2"/>
      <w:sz w:val="32"/>
      <w:szCs w:val="32"/>
    </w:rPr>
  </w:style>
  <w:style w:type="character" w:customStyle="1" w:styleId="90">
    <w:name w:val="style5"/>
    <w:uiPriority w:val="0"/>
  </w:style>
  <w:style w:type="character" w:customStyle="1" w:styleId="91">
    <w:name w:val="question-title2"/>
    <w:basedOn w:val="52"/>
    <w:uiPriority w:val="0"/>
  </w:style>
  <w:style w:type="character" w:customStyle="1" w:styleId="92">
    <w:name w:val="paramname3"/>
    <w:uiPriority w:val="0"/>
    <w:rPr>
      <w:color w:val="999999"/>
    </w:rPr>
  </w:style>
  <w:style w:type="character" w:customStyle="1" w:styleId="93">
    <w:name w:val="正文（首行缩进两字） Char"/>
    <w:uiPriority w:val="0"/>
    <w:rPr>
      <w:rFonts w:eastAsia="宋体"/>
      <w:kern w:val="2"/>
      <w:sz w:val="21"/>
      <w:lang w:val="en-US" w:eastAsia="zh-CN" w:bidi="ar-SA"/>
    </w:rPr>
  </w:style>
  <w:style w:type="character" w:customStyle="1" w:styleId="94">
    <w:name w:val="章节1 Char Char"/>
    <w:link w:val="95"/>
    <w:uiPriority w:val="0"/>
    <w:rPr>
      <w:b/>
      <w:kern w:val="2"/>
      <w:sz w:val="24"/>
      <w:szCs w:val="22"/>
    </w:rPr>
  </w:style>
  <w:style w:type="paragraph" w:customStyle="1" w:styleId="95">
    <w:name w:val="章节1"/>
    <w:basedOn w:val="1"/>
    <w:link w:val="94"/>
    <w:uiPriority w:val="0"/>
    <w:pPr>
      <w:numPr>
        <w:ilvl w:val="0"/>
        <w:numId w:val="4"/>
      </w:numPr>
      <w:spacing w:before="156" w:beforeLines="50" w:after="156" w:afterLines="50" w:line="360" w:lineRule="auto"/>
      <w:outlineLvl w:val="3"/>
    </w:pPr>
    <w:rPr>
      <w:b/>
      <w:sz w:val="24"/>
    </w:rPr>
  </w:style>
  <w:style w:type="character" w:customStyle="1" w:styleId="96">
    <w:name w:val="Char Char2"/>
    <w:uiPriority w:val="0"/>
    <w:rPr>
      <w:rFonts w:ascii="宋体" w:hAnsi="Courier New"/>
      <w:kern w:val="2"/>
      <w:sz w:val="24"/>
    </w:rPr>
  </w:style>
  <w:style w:type="character" w:customStyle="1" w:styleId="97">
    <w:name w:val="表正文 Char"/>
    <w:uiPriority w:val="0"/>
    <w:rPr>
      <w:rFonts w:eastAsia="宋体"/>
      <w:kern w:val="2"/>
      <w:sz w:val="21"/>
      <w:lang w:val="en-US" w:eastAsia="zh-CN" w:bidi="ar-SA"/>
    </w:rPr>
  </w:style>
  <w:style w:type="character" w:customStyle="1" w:styleId="98">
    <w:name w:val="apple-style-span"/>
    <w:basedOn w:val="52"/>
    <w:uiPriority w:val="0"/>
  </w:style>
  <w:style w:type="character" w:customStyle="1" w:styleId="99">
    <w:name w:val="正文自设 Char"/>
    <w:uiPriority w:val="0"/>
    <w:rPr>
      <w:rFonts w:ascii="宋体" w:hAnsi="宋体" w:eastAsia="宋体"/>
      <w:b/>
      <w:bCs/>
      <w:kern w:val="2"/>
      <w:sz w:val="25"/>
      <w:szCs w:val="25"/>
    </w:rPr>
  </w:style>
  <w:style w:type="character" w:customStyle="1" w:styleId="100">
    <w:name w:val="样式 样式 标题 2 + 红色 + Char Char"/>
    <w:basedOn w:val="101"/>
    <w:link w:val="103"/>
    <w:uiPriority w:val="0"/>
    <w:rPr>
      <w:rFonts w:ascii="宋体" w:hAnsi="宋体"/>
      <w:sz w:val="32"/>
      <w:szCs w:val="32"/>
    </w:rPr>
  </w:style>
  <w:style w:type="character" w:customStyle="1" w:styleId="101">
    <w:name w:val="样式 标题 2 + 红色 Char Char"/>
    <w:link w:val="102"/>
    <w:uiPriority w:val="0"/>
    <w:rPr>
      <w:rFonts w:ascii="宋体" w:hAnsi="宋体"/>
      <w:b/>
      <w:bCs/>
      <w:sz w:val="32"/>
      <w:szCs w:val="32"/>
    </w:rPr>
  </w:style>
  <w:style w:type="paragraph" w:customStyle="1" w:styleId="102">
    <w:name w:val="样式 标题 2 + 红色"/>
    <w:basedOn w:val="4"/>
    <w:link w:val="101"/>
    <w:uiPriority w:val="0"/>
    <w:pPr>
      <w:keepLines w:val="0"/>
      <w:widowControl w:val="0"/>
      <w:numPr>
        <w:numId w:val="0"/>
      </w:numPr>
      <w:adjustRightInd w:val="0"/>
      <w:snapToGrid w:val="0"/>
      <w:spacing w:before="0" w:after="0" w:line="360" w:lineRule="auto"/>
      <w:jc w:val="both"/>
    </w:pPr>
    <w:rPr>
      <w:rFonts w:ascii="宋体" w:eastAsia="宋体"/>
      <w:b/>
      <w:bCs/>
      <w:color w:val="auto"/>
      <w:kern w:val="0"/>
      <w:sz w:val="32"/>
      <w:szCs w:val="32"/>
    </w:rPr>
  </w:style>
  <w:style w:type="paragraph" w:customStyle="1" w:styleId="103">
    <w:name w:val="样式 样式 标题 2 + 红色 +"/>
    <w:basedOn w:val="102"/>
    <w:link w:val="100"/>
    <w:uiPriority w:val="0"/>
    <w:pPr>
      <w:tabs>
        <w:tab w:val="clear" w:pos="1145"/>
      </w:tabs>
      <w:spacing w:line="360" w:lineRule="exact"/>
    </w:pPr>
  </w:style>
  <w:style w:type="character" w:customStyle="1" w:styleId="104">
    <w:name w:val="正文缩进2格 Char Char"/>
    <w:link w:val="105"/>
    <w:uiPriority w:val="0"/>
    <w:rPr>
      <w:rFonts w:ascii="仿宋_GB2312" w:hAnsi="宋体" w:eastAsia="仿宋_GB2312"/>
      <w:kern w:val="2"/>
      <w:sz w:val="31"/>
      <w:szCs w:val="28"/>
    </w:rPr>
  </w:style>
  <w:style w:type="paragraph" w:customStyle="1" w:styleId="105">
    <w:name w:val="正文缩进2格"/>
    <w:basedOn w:val="1"/>
    <w:link w:val="104"/>
    <w:uiPriority w:val="0"/>
    <w:pPr>
      <w:spacing w:line="600" w:lineRule="exact"/>
      <w:ind w:firstLine="639" w:firstLineChars="206"/>
    </w:pPr>
    <w:rPr>
      <w:rFonts w:ascii="仿宋_GB2312" w:hAnsi="宋体" w:eastAsia="仿宋_GB2312"/>
      <w:sz w:val="31"/>
      <w:szCs w:val="28"/>
    </w:rPr>
  </w:style>
  <w:style w:type="character" w:customStyle="1" w:styleId="106">
    <w:name w:val="纯文本 Char1"/>
    <w:uiPriority w:val="0"/>
    <w:rPr>
      <w:rFonts w:ascii="宋体" w:hAnsi="Courier New" w:cs="Courier New"/>
      <w:kern w:val="2"/>
      <w:sz w:val="21"/>
      <w:szCs w:val="21"/>
    </w:rPr>
  </w:style>
  <w:style w:type="character" w:customStyle="1" w:styleId="107">
    <w:name w:val="正文首行缩进 2 Char1"/>
    <w:uiPriority w:val="0"/>
    <w:rPr>
      <w:rFonts w:ascii="Times New Roman" w:hAnsi="Times New Roman"/>
      <w:kern w:val="2"/>
      <w:sz w:val="21"/>
      <w:szCs w:val="22"/>
    </w:rPr>
  </w:style>
  <w:style w:type="character" w:customStyle="1" w:styleId="108">
    <w:name w:val="Char Char4"/>
    <w:uiPriority w:val="0"/>
    <w:rPr>
      <w:rFonts w:ascii="宋体" w:hAnsi="Courier New" w:eastAsia="宋体"/>
      <w:kern w:val="2"/>
      <w:sz w:val="21"/>
      <w:lang w:val="en-US" w:eastAsia="zh-CN" w:bidi="ar-SA"/>
    </w:rPr>
  </w:style>
  <w:style w:type="character" w:customStyle="1" w:styleId="109">
    <w:name w:val="批注主题 Char1"/>
    <w:uiPriority w:val="0"/>
    <w:rPr>
      <w:rFonts w:ascii="Times New Roman" w:hAnsi="Times New Roman"/>
      <w:b/>
      <w:bCs/>
      <w:kern w:val="2"/>
      <w:sz w:val="21"/>
      <w:szCs w:val="22"/>
    </w:rPr>
  </w:style>
  <w:style w:type="character" w:customStyle="1" w:styleId="110">
    <w:name w:val="页眉 Char1"/>
    <w:uiPriority w:val="0"/>
    <w:rPr>
      <w:rFonts w:eastAsia="宋体"/>
      <w:kern w:val="2"/>
      <w:sz w:val="18"/>
      <w:szCs w:val="18"/>
      <w:lang w:val="en-US" w:eastAsia="zh-CN" w:bidi="ar-SA"/>
    </w:rPr>
  </w:style>
  <w:style w:type="character" w:customStyle="1" w:styleId="111">
    <w:name w:val="尾注文本 Char1"/>
    <w:uiPriority w:val="0"/>
    <w:rPr>
      <w:kern w:val="2"/>
      <w:sz w:val="21"/>
      <w:szCs w:val="22"/>
    </w:rPr>
  </w:style>
  <w:style w:type="character" w:customStyle="1" w:styleId="112">
    <w:name w:val="标题 2 Char1"/>
    <w:uiPriority w:val="0"/>
    <w:rPr>
      <w:rFonts w:ascii="Arial" w:hAnsi="Arial" w:eastAsia="黑体"/>
      <w:b/>
      <w:bCs/>
      <w:kern w:val="2"/>
      <w:sz w:val="32"/>
      <w:szCs w:val="32"/>
      <w:lang w:val="en-US" w:eastAsia="zh-CN" w:bidi="ar-SA"/>
    </w:rPr>
  </w:style>
  <w:style w:type="character" w:customStyle="1" w:styleId="113">
    <w:name w:val="普通文字1 Char"/>
    <w:uiPriority w:val="0"/>
    <w:rPr>
      <w:rFonts w:ascii="宋体" w:hAnsi="Courier New" w:eastAsia="宋体" w:cs="Courier New"/>
      <w:kern w:val="2"/>
      <w:sz w:val="21"/>
      <w:szCs w:val="21"/>
      <w:lang w:val="en-US" w:eastAsia="zh-CN" w:bidi="ar-SA"/>
    </w:rPr>
  </w:style>
  <w:style w:type="character" w:customStyle="1" w:styleId="114">
    <w:name w:val="Char Char Char Char Char Char Char Char Char"/>
    <w:uiPriority w:val="0"/>
    <w:rPr>
      <w:rFonts w:eastAsia="宋体"/>
      <w:b/>
      <w:bCs/>
      <w:kern w:val="2"/>
      <w:sz w:val="32"/>
      <w:szCs w:val="32"/>
      <w:lang w:val="en-US" w:eastAsia="zh-CN" w:bidi="ar-SA"/>
    </w:rPr>
  </w:style>
  <w:style w:type="character" w:customStyle="1" w:styleId="115">
    <w:name w:val="Char Char1"/>
    <w:uiPriority w:val="0"/>
    <w:rPr>
      <w:rFonts w:eastAsia="宋体"/>
      <w:kern w:val="2"/>
      <w:sz w:val="18"/>
      <w:lang w:val="en-US" w:eastAsia="zh-CN" w:bidi="ar-SA"/>
    </w:rPr>
  </w:style>
  <w:style w:type="character" w:customStyle="1" w:styleId="116">
    <w:name w:val="正文自设定 Char Char"/>
    <w:link w:val="117"/>
    <w:uiPriority w:val="0"/>
    <w:rPr>
      <w:rFonts w:ascii="宋体" w:hAnsi="宋体"/>
      <w:kern w:val="2"/>
      <w:sz w:val="25"/>
      <w:szCs w:val="25"/>
    </w:rPr>
  </w:style>
  <w:style w:type="paragraph" w:customStyle="1" w:styleId="117">
    <w:name w:val="正文自设定"/>
    <w:basedOn w:val="1"/>
    <w:link w:val="116"/>
    <w:uiPriority w:val="0"/>
    <w:pPr>
      <w:spacing w:line="360" w:lineRule="exact"/>
    </w:pPr>
    <w:rPr>
      <w:rFonts w:ascii="宋体" w:hAnsi="宋体"/>
      <w:sz w:val="25"/>
      <w:szCs w:val="25"/>
    </w:rPr>
  </w:style>
  <w:style w:type="character" w:customStyle="1" w:styleId="118">
    <w:name w:val="p141"/>
    <w:uiPriority w:val="0"/>
    <w:rPr>
      <w:sz w:val="21"/>
      <w:szCs w:val="21"/>
    </w:rPr>
  </w:style>
  <w:style w:type="character" w:customStyle="1" w:styleId="119">
    <w:name w:val="FtrF Char Char"/>
    <w:uiPriority w:val="0"/>
    <w:rPr>
      <w:rFonts w:eastAsia="宋体"/>
      <w:sz w:val="18"/>
      <w:lang w:val="en-US" w:eastAsia="zh-CN"/>
    </w:rPr>
  </w:style>
  <w:style w:type="character" w:customStyle="1" w:styleId="120">
    <w:name w:val="标题 31"/>
    <w:uiPriority w:val="0"/>
    <w:rPr>
      <w:rFonts w:eastAsia="宋体"/>
      <w:b/>
      <w:kern w:val="2"/>
      <w:sz w:val="32"/>
      <w:lang w:val="en-US" w:eastAsia="zh-CN"/>
    </w:rPr>
  </w:style>
  <w:style w:type="character" w:customStyle="1" w:styleId="121">
    <w:name w:val="正文自设 Char Char"/>
    <w:link w:val="122"/>
    <w:uiPriority w:val="0"/>
    <w:rPr>
      <w:rFonts w:ascii="宋体" w:hAnsi="宋体" w:eastAsia="宋体"/>
      <w:b/>
      <w:bCs/>
      <w:kern w:val="2"/>
      <w:sz w:val="25"/>
      <w:szCs w:val="25"/>
    </w:rPr>
  </w:style>
  <w:style w:type="paragraph" w:customStyle="1" w:styleId="122">
    <w:name w:val="正文自设"/>
    <w:basedOn w:val="9"/>
    <w:link w:val="121"/>
    <w:qFormat/>
    <w:uiPriority w:val="0"/>
    <w:pPr>
      <w:spacing w:line="350" w:lineRule="exact"/>
      <w:ind w:firstLine="502"/>
    </w:pPr>
    <w:rPr>
      <w:rFonts w:ascii="宋体" w:hAnsi="宋体"/>
      <w:b/>
      <w:bCs/>
      <w:sz w:val="25"/>
      <w:szCs w:val="25"/>
    </w:rPr>
  </w:style>
  <w:style w:type="character" w:customStyle="1" w:styleId="123">
    <w:name w:val="脚注文本 Char1"/>
    <w:uiPriority w:val="0"/>
    <w:rPr>
      <w:kern w:val="2"/>
      <w:sz w:val="18"/>
      <w:szCs w:val="18"/>
    </w:rPr>
  </w:style>
  <w:style w:type="paragraph" w:customStyle="1" w:styleId="124">
    <w:name w:val="普通 (Web)"/>
    <w:basedOn w:val="1"/>
    <w:uiPriority w:val="0"/>
    <w:pPr>
      <w:widowControl/>
      <w:spacing w:before="100" w:beforeAutospacing="1" w:after="100" w:afterAutospacing="1"/>
      <w:jc w:val="left"/>
    </w:pPr>
    <w:rPr>
      <w:rFonts w:ascii="宋体" w:hAnsi="宋体"/>
      <w:kern w:val="0"/>
      <w:sz w:val="24"/>
      <w:szCs w:val="20"/>
    </w:rPr>
  </w:style>
  <w:style w:type="paragraph" w:customStyle="1" w:styleId="125">
    <w:name w:val="D标2"/>
    <w:basedOn w:val="4"/>
    <w:uiPriority w:val="0"/>
    <w:pPr>
      <w:keepLines w:val="0"/>
      <w:numPr>
        <w:ilvl w:val="0"/>
        <w:numId w:val="5"/>
      </w:numPr>
      <w:tabs>
        <w:tab w:val="clear" w:pos="1145"/>
      </w:tabs>
      <w:autoSpaceDE w:val="0"/>
      <w:autoSpaceDN w:val="0"/>
      <w:adjustRightInd w:val="0"/>
      <w:spacing w:before="360" w:after="0" w:line="480" w:lineRule="exact"/>
      <w:jc w:val="left"/>
    </w:pPr>
    <w:rPr>
      <w:rFonts w:eastAsia="宋体"/>
      <w:b/>
      <w:color w:val="auto"/>
      <w:sz w:val="28"/>
      <w:szCs w:val="28"/>
    </w:rPr>
  </w:style>
  <w:style w:type="paragraph" w:customStyle="1" w:styleId="126">
    <w:name w:val="正文1"/>
    <w:basedOn w:val="7"/>
    <w:next w:val="7"/>
    <w:unhideWhenUsed/>
    <w:uiPriority w:val="99"/>
  </w:style>
  <w:style w:type="paragraph" w:customStyle="1" w:styleId="127">
    <w:name w:val="Char2"/>
    <w:basedOn w:val="1"/>
    <w:uiPriority w:val="0"/>
    <w:pPr>
      <w:widowControl/>
      <w:spacing w:after="160" w:line="240" w:lineRule="exact"/>
      <w:jc w:val="left"/>
    </w:pPr>
    <w:rPr>
      <w:rFonts w:ascii="Verdana" w:hAnsi="Verdana" w:eastAsia="MS Mincho" w:cs="Verdana"/>
      <w:kern w:val="0"/>
      <w:sz w:val="20"/>
      <w:szCs w:val="20"/>
      <w:lang w:eastAsia="en-US" w:bidi="kn-IN"/>
    </w:rPr>
  </w:style>
  <w:style w:type="paragraph" w:customStyle="1" w:styleId="128">
    <w:name w:val="表1"/>
    <w:basedOn w:val="1"/>
    <w:uiPriority w:val="0"/>
    <w:pPr>
      <w:spacing w:before="20" w:after="20" w:line="200" w:lineRule="exact"/>
      <w:jc w:val="left"/>
      <w:textAlignment w:val="center"/>
    </w:pPr>
    <w:rPr>
      <w:snapToGrid w:val="0"/>
      <w:spacing w:val="20"/>
      <w:kern w:val="0"/>
      <w:szCs w:val="20"/>
    </w:rPr>
  </w:style>
  <w:style w:type="paragraph" w:customStyle="1" w:styleId="129">
    <w:name w:val="ZHENWEN"/>
    <w:basedOn w:val="21"/>
    <w:uiPriority w:val="0"/>
    <w:pPr>
      <w:spacing w:before="120"/>
      <w:ind w:firstLine="480" w:firstLineChars="200"/>
      <w:jc w:val="left"/>
    </w:pPr>
    <w:rPr>
      <w:sz w:val="24"/>
      <w:szCs w:val="24"/>
    </w:rPr>
  </w:style>
  <w:style w:type="paragraph" w:customStyle="1" w:styleId="130">
    <w:name w:val="编号"/>
    <w:basedOn w:val="1"/>
    <w:uiPriority w:val="0"/>
    <w:pPr>
      <w:ind w:left="737" w:hanging="312"/>
      <w:jc w:val="center"/>
      <w:textAlignment w:val="center"/>
    </w:pPr>
    <w:rPr>
      <w:rFonts w:ascii="Arial" w:hAnsi="Arial" w:cs="Arial"/>
      <w:b/>
      <w:bCs/>
      <w:snapToGrid w:val="0"/>
      <w:kern w:val="0"/>
      <w:sz w:val="24"/>
      <w:szCs w:val="36"/>
    </w:rPr>
  </w:style>
  <w:style w:type="paragraph" w:customStyle="1" w:styleId="131">
    <w:name w:val="b-b4"/>
    <w:basedOn w:val="1"/>
    <w:next w:val="1"/>
    <w:uiPriority w:val="0"/>
    <w:pPr>
      <w:numPr>
        <w:ilvl w:val="3"/>
        <w:numId w:val="6"/>
      </w:numPr>
      <w:spacing w:before="60" w:after="60" w:line="400" w:lineRule="exact"/>
      <w:outlineLvl w:val="3"/>
    </w:pPr>
    <w:rPr>
      <w:rFonts w:eastAsia="黑体"/>
      <w:sz w:val="24"/>
      <w:szCs w:val="24"/>
    </w:rPr>
  </w:style>
  <w:style w:type="paragraph" w:customStyle="1" w:styleId="132">
    <w:name w:val="xl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b/>
      <w:bCs/>
      <w:kern w:val="0"/>
      <w:sz w:val="36"/>
      <w:szCs w:val="36"/>
    </w:rPr>
  </w:style>
  <w:style w:type="paragraph" w:customStyle="1" w:styleId="133">
    <w:name w:val="xl25"/>
    <w:basedOn w:val="1"/>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34">
    <w:name w:val="简单回函地址"/>
    <w:basedOn w:val="1"/>
    <w:uiPriority w:val="0"/>
    <w:rPr>
      <w:szCs w:val="24"/>
    </w:rPr>
  </w:style>
  <w:style w:type="paragraph" w:customStyle="1" w:styleId="135">
    <w:name w:val="正文 New New"/>
    <w:uiPriority w:val="0"/>
    <w:pPr>
      <w:widowControl w:val="0"/>
      <w:jc w:val="both"/>
    </w:pPr>
    <w:rPr>
      <w:rFonts w:ascii="新宋体" w:hAnsi="新宋体" w:eastAsia="新宋体" w:cs="Arial"/>
      <w:kern w:val="21"/>
      <w:sz w:val="21"/>
      <w:szCs w:val="21"/>
      <w:lang w:val="en-US" w:eastAsia="zh-CN" w:bidi="ar-SA"/>
    </w:rPr>
  </w:style>
  <w:style w:type="paragraph" w:customStyle="1" w:styleId="136">
    <w:name w:val="Char Char Char Char Char Char Char Char Char1 Char"/>
    <w:basedOn w:val="1"/>
    <w:uiPriority w:val="0"/>
    <w:rPr>
      <w:szCs w:val="20"/>
    </w:rPr>
  </w:style>
  <w:style w:type="paragraph" w:customStyle="1" w:styleId="137">
    <w:name w:val="Char"/>
    <w:basedOn w:val="1"/>
    <w:uiPriority w:val="0"/>
    <w:pPr>
      <w:widowControl/>
      <w:spacing w:after="160" w:line="240" w:lineRule="exact"/>
      <w:jc w:val="left"/>
    </w:pPr>
    <w:rPr>
      <w:rFonts w:ascii="Verdana" w:hAnsi="Verdana" w:eastAsia="MS Mincho"/>
      <w:kern w:val="0"/>
      <w:sz w:val="20"/>
      <w:szCs w:val="20"/>
      <w:lang w:eastAsia="en-US"/>
    </w:rPr>
  </w:style>
  <w:style w:type="paragraph" w:customStyle="1" w:styleId="138">
    <w:name w:val="font5"/>
    <w:basedOn w:val="1"/>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39">
    <w:name w:val="xl24"/>
    <w:basedOn w:val="1"/>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szCs w:val="24"/>
    </w:rPr>
  </w:style>
  <w:style w:type="paragraph" w:customStyle="1" w:styleId="140">
    <w:name w:val="标书正文一"/>
    <w:basedOn w:val="1"/>
    <w:uiPriority w:val="0"/>
    <w:pPr>
      <w:spacing w:line="360" w:lineRule="auto"/>
      <w:ind w:firstLine="200" w:firstLineChars="200"/>
      <w:jc w:val="left"/>
    </w:pPr>
    <w:rPr>
      <w:rFonts w:ascii="宋体" w:hAnsi="宋体"/>
      <w:color w:val="000000"/>
      <w:szCs w:val="21"/>
    </w:rPr>
  </w:style>
  <w:style w:type="paragraph" w:customStyle="1" w:styleId="141">
    <w:name w:val="保留正文"/>
    <w:basedOn w:val="21"/>
    <w:uiPriority w:val="0"/>
    <w:pPr>
      <w:keepNext/>
      <w:spacing w:after="160"/>
    </w:pPr>
    <w:rPr>
      <w:szCs w:val="24"/>
    </w:rPr>
  </w:style>
  <w:style w:type="paragraph" w:customStyle="1" w:styleId="142">
    <w:name w:val="xl29"/>
    <w:basedOn w:val="1"/>
    <w:uiPriority w:val="0"/>
    <w:pPr>
      <w:widowControl/>
      <w:spacing w:before="100" w:beforeAutospacing="1" w:after="100" w:afterAutospacing="1"/>
      <w:jc w:val="center"/>
    </w:pPr>
    <w:rPr>
      <w:rFonts w:ascii="宋体" w:hAnsi="宋体"/>
      <w:kern w:val="0"/>
      <w:sz w:val="28"/>
      <w:szCs w:val="20"/>
    </w:rPr>
  </w:style>
  <w:style w:type="paragraph" w:customStyle="1" w:styleId="143">
    <w:name w:val="Char Char Char"/>
    <w:basedOn w:val="1"/>
    <w:uiPriority w:val="0"/>
    <w:rPr>
      <w:rFonts w:ascii="Tahoma" w:hAnsi="Tahoma"/>
      <w:sz w:val="24"/>
      <w:szCs w:val="20"/>
    </w:rPr>
  </w:style>
  <w:style w:type="paragraph" w:customStyle="1" w:styleId="144">
    <w:name w:val="题注5"/>
    <w:basedOn w:val="1"/>
    <w:next w:val="15"/>
    <w:uiPriority w:val="0"/>
    <w:pPr>
      <w:jc w:val="center"/>
    </w:pPr>
    <w:rPr>
      <w:b/>
      <w:color w:val="000000"/>
      <w:sz w:val="24"/>
      <w:szCs w:val="21"/>
    </w:rPr>
  </w:style>
  <w:style w:type="paragraph" w:customStyle="1" w:styleId="145">
    <w:name w:val="D标3"/>
    <w:basedOn w:val="5"/>
    <w:uiPriority w:val="0"/>
    <w:pPr>
      <w:keepNext w:val="0"/>
      <w:keepLines w:val="0"/>
      <w:numPr>
        <w:ilvl w:val="0"/>
        <w:numId w:val="7"/>
      </w:numPr>
      <w:autoSpaceDE w:val="0"/>
      <w:autoSpaceDN w:val="0"/>
      <w:adjustRightInd w:val="0"/>
      <w:spacing w:before="120" w:after="0" w:line="480" w:lineRule="atLeast"/>
    </w:pPr>
    <w:rPr>
      <w:rFonts w:ascii="宋体" w:hAnsi="宋体" w:cs="Arial"/>
      <w:b w:val="0"/>
      <w:color w:val="000000"/>
      <w:kern w:val="0"/>
      <w:sz w:val="24"/>
    </w:rPr>
  </w:style>
  <w:style w:type="paragraph" w:customStyle="1" w:styleId="146">
    <w:name w:val="D文1"/>
    <w:basedOn w:val="1"/>
    <w:uiPriority w:val="0"/>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147">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styleId="148">
    <w:name w:val="List Paragraph"/>
    <w:basedOn w:val="1"/>
    <w:qFormat/>
    <w:uiPriority w:val="34"/>
    <w:pPr>
      <w:ind w:firstLine="420" w:firstLineChars="200"/>
    </w:pPr>
  </w:style>
  <w:style w:type="paragraph" w:customStyle="1" w:styleId="149">
    <w:name w:val="font7"/>
    <w:basedOn w:val="1"/>
    <w:uiPriority w:val="0"/>
    <w:pPr>
      <w:widowControl/>
      <w:spacing w:before="100" w:beforeAutospacing="1" w:after="100" w:afterAutospacing="1"/>
      <w:jc w:val="left"/>
    </w:pPr>
    <w:rPr>
      <w:rFonts w:eastAsia="Arial Unicode MS"/>
      <w:kern w:val="0"/>
      <w:sz w:val="36"/>
      <w:szCs w:val="36"/>
    </w:rPr>
  </w:style>
  <w:style w:type="paragraph" w:customStyle="1" w:styleId="150">
    <w:name w:val="xl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36"/>
      <w:szCs w:val="36"/>
    </w:rPr>
  </w:style>
  <w:style w:type="paragraph" w:customStyle="1" w:styleId="151">
    <w:name w:val="font"/>
    <w:basedOn w:val="1"/>
    <w:uiPriority w:val="0"/>
    <w:pPr>
      <w:widowControl/>
      <w:spacing w:before="100" w:beforeAutospacing="1" w:after="100" w:afterAutospacing="1" w:line="260" w:lineRule="atLeast"/>
      <w:jc w:val="left"/>
    </w:pPr>
    <w:rPr>
      <w:rFonts w:ascii="Arial Unicode MS" w:hAnsi="Arial Unicode MS" w:eastAsia="Arial Unicode MS"/>
      <w:kern w:val="0"/>
      <w:sz w:val="22"/>
      <w:szCs w:val="20"/>
    </w:rPr>
  </w:style>
  <w:style w:type="paragraph" w:customStyle="1" w:styleId="152">
    <w:name w:val="xl44"/>
    <w:basedOn w:val="1"/>
    <w:uiPriority w:val="0"/>
    <w:pPr>
      <w:widowControl/>
      <w:pBdr>
        <w:left w:val="single" w:color="auto" w:sz="4" w:space="0"/>
        <w:right w:val="single" w:color="auto" w:sz="4" w:space="0"/>
      </w:pBdr>
      <w:spacing w:before="100" w:beforeAutospacing="1" w:after="100" w:afterAutospacing="1"/>
      <w:jc w:val="center"/>
    </w:pPr>
    <w:rPr>
      <w:rFonts w:hint="eastAsia" w:ascii="宋体" w:hAnsi="宋体"/>
      <w:kern w:val="0"/>
      <w:sz w:val="24"/>
      <w:szCs w:val="20"/>
    </w:rPr>
  </w:style>
  <w:style w:type="paragraph" w:customStyle="1" w:styleId="153">
    <w:name w:val="默认段落字体 Para Char Char Char Char Char Char Char Char Char1 Char"/>
    <w:basedOn w:val="1"/>
    <w:uiPriority w:val="0"/>
    <w:rPr>
      <w:rFonts w:ascii="Tahoma" w:hAnsi="Tahoma"/>
      <w:sz w:val="24"/>
      <w:szCs w:val="20"/>
    </w:rPr>
  </w:style>
  <w:style w:type="paragraph" w:customStyle="1" w:styleId="154">
    <w:name w:val="b-b2"/>
    <w:basedOn w:val="1"/>
    <w:next w:val="1"/>
    <w:uiPriority w:val="0"/>
    <w:pPr>
      <w:numPr>
        <w:ilvl w:val="1"/>
        <w:numId w:val="6"/>
      </w:numPr>
      <w:spacing w:before="120" w:after="120" w:line="400" w:lineRule="exact"/>
      <w:outlineLvl w:val="1"/>
    </w:pPr>
    <w:rPr>
      <w:rFonts w:eastAsia="黑体"/>
      <w:sz w:val="30"/>
      <w:szCs w:val="30"/>
    </w:rPr>
  </w:style>
  <w:style w:type="paragraph" w:customStyle="1" w:styleId="155">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156">
    <w:name w:val="样式 小四 段前: 5 磅 段后: 5 磅 首行缩进:  2 字符"/>
    <w:basedOn w:val="1"/>
    <w:uiPriority w:val="0"/>
    <w:pPr>
      <w:spacing w:before="100" w:after="156" w:afterLines="50" w:line="360" w:lineRule="auto"/>
    </w:pPr>
    <w:rPr>
      <w:rFonts w:ascii="宋体" w:hAnsi="宋体"/>
      <w:kern w:val="0"/>
      <w:sz w:val="24"/>
      <w:szCs w:val="21"/>
    </w:rPr>
  </w:style>
  <w:style w:type="paragraph" w:customStyle="1" w:styleId="157">
    <w:name w:val="默认段落字体 Para Char Char Char Char Char Char Char"/>
    <w:basedOn w:val="1"/>
    <w:uiPriority w:val="0"/>
    <w:rPr>
      <w:rFonts w:ascii="Tahoma" w:hAnsi="Tahoma"/>
      <w:sz w:val="24"/>
      <w:szCs w:val="20"/>
    </w:rPr>
  </w:style>
  <w:style w:type="paragraph" w:customStyle="1" w:styleId="158">
    <w:name w:val="办公自动化专用标题"/>
    <w:basedOn w:val="3"/>
    <w:uiPriority w:val="0"/>
    <w:pPr>
      <w:spacing w:line="560" w:lineRule="atLeast"/>
    </w:pPr>
    <w:rPr>
      <w:rFonts w:ascii="宋体" w:eastAsia="仿宋_GB2312"/>
      <w:sz w:val="44"/>
    </w:rPr>
  </w:style>
  <w:style w:type="paragraph" w:customStyle="1" w:styleId="159">
    <w:name w:val="px142"/>
    <w:basedOn w:val="1"/>
    <w:uiPriority w:val="0"/>
    <w:pPr>
      <w:widowControl/>
      <w:spacing w:before="100" w:beforeAutospacing="1" w:after="100" w:afterAutospacing="1"/>
      <w:jc w:val="left"/>
    </w:pPr>
    <w:rPr>
      <w:rFonts w:ascii="宋体" w:hAnsi="宋体" w:cs="宋体"/>
      <w:kern w:val="0"/>
      <w:sz w:val="25"/>
      <w:szCs w:val="25"/>
    </w:rPr>
  </w:style>
  <w:style w:type="paragraph" w:customStyle="1" w:styleId="160">
    <w:name w:val="Char Char1 Char Char Char Char"/>
    <w:basedOn w:val="1"/>
    <w:uiPriority w:val="0"/>
    <w:pPr>
      <w:widowControl/>
      <w:spacing w:after="160" w:line="240" w:lineRule="exact"/>
      <w:jc w:val="left"/>
    </w:pPr>
    <w:rPr>
      <w:szCs w:val="24"/>
    </w:rPr>
  </w:style>
  <w:style w:type="paragraph" w:customStyle="1" w:styleId="161">
    <w:name w:val="D标1"/>
    <w:basedOn w:val="2"/>
    <w:next w:val="1"/>
    <w:uiPriority w:val="0"/>
    <w:pPr>
      <w:keepLines w:val="0"/>
      <w:pageBreakBefore/>
      <w:numPr>
        <w:numId w:val="8"/>
      </w:numPr>
      <w:tabs>
        <w:tab w:val="clear" w:pos="1440"/>
      </w:tabs>
      <w:autoSpaceDE w:val="0"/>
      <w:autoSpaceDN w:val="0"/>
      <w:adjustRightInd w:val="0"/>
      <w:spacing w:before="360" w:after="240" w:line="315" w:lineRule="atLeast"/>
      <w:jc w:val="center"/>
    </w:pPr>
    <w:rPr>
      <w:rFonts w:ascii="黑体" w:hAnsi="Times New Roman" w:eastAsia="黑体"/>
      <w:b w:val="0"/>
      <w:kern w:val="0"/>
      <w:sz w:val="36"/>
    </w:rPr>
  </w:style>
  <w:style w:type="paragraph" w:customStyle="1" w:styleId="162">
    <w:name w:val="样式2"/>
    <w:basedOn w:val="4"/>
    <w:uiPriority w:val="0"/>
    <w:pPr>
      <w:numPr>
        <w:numId w:val="8"/>
      </w:numPr>
      <w:tabs>
        <w:tab w:val="left" w:pos="785"/>
        <w:tab w:val="clear" w:pos="1145"/>
      </w:tabs>
    </w:pPr>
    <w:rPr>
      <w:b/>
      <w:kern w:val="0"/>
    </w:rPr>
  </w:style>
  <w:style w:type="paragraph" w:customStyle="1" w:styleId="163">
    <w:name w:val="Char2 Char Char Char Char Char Char"/>
    <w:basedOn w:val="1"/>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164">
    <w:name w:val="Char Char Char Char Char Char Char"/>
    <w:basedOn w:val="1"/>
    <w:uiPriority w:val="0"/>
    <w:pPr>
      <w:tabs>
        <w:tab w:val="left" w:pos="432"/>
      </w:tabs>
      <w:ind w:left="432" w:hanging="432"/>
    </w:pPr>
    <w:rPr>
      <w:szCs w:val="20"/>
    </w:rPr>
  </w:style>
  <w:style w:type="paragraph" w:customStyle="1" w:styleId="165">
    <w:name w:val="样式 标题 3h3H3sect1.2.3 + 五号 段前: 6 磅 段后: 6 磅 行距: 单倍行距"/>
    <w:basedOn w:val="5"/>
    <w:uiPriority w:val="0"/>
    <w:pPr>
      <w:numPr>
        <w:ilvl w:val="0"/>
        <w:numId w:val="0"/>
      </w:numPr>
      <w:tabs>
        <w:tab w:val="left" w:pos="1260"/>
      </w:tabs>
      <w:adjustRightInd w:val="0"/>
      <w:spacing w:before="120" w:after="120" w:line="240" w:lineRule="auto"/>
      <w:ind w:left="1260" w:hanging="420"/>
      <w:jc w:val="left"/>
      <w:textAlignment w:val="baseline"/>
    </w:pPr>
    <w:rPr>
      <w:kern w:val="0"/>
      <w:sz w:val="21"/>
    </w:rPr>
  </w:style>
  <w:style w:type="paragraph" w:customStyle="1" w:styleId="166">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b/>
      <w:bCs/>
      <w:kern w:val="0"/>
      <w:sz w:val="36"/>
      <w:szCs w:val="36"/>
    </w:rPr>
  </w:style>
  <w:style w:type="paragraph" w:customStyle="1" w:styleId="167">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68">
    <w:name w:val="6"/>
    <w:basedOn w:val="1"/>
    <w:uiPriority w:val="0"/>
    <w:pPr>
      <w:spacing w:line="300" w:lineRule="auto"/>
    </w:pPr>
    <w:rPr>
      <w:sz w:val="24"/>
      <w:szCs w:val="20"/>
    </w:rPr>
  </w:style>
  <w:style w:type="paragraph" w:customStyle="1" w:styleId="169">
    <w:name w:val="样式4"/>
    <w:basedOn w:val="1"/>
    <w:uiPriority w:val="0"/>
    <w:pPr>
      <w:spacing w:after="156" w:afterLines="50" w:line="360" w:lineRule="auto"/>
      <w:ind w:left="839" w:right="227"/>
      <w:textAlignment w:val="center"/>
    </w:pPr>
    <w:rPr>
      <w:rFonts w:ascii="黑体" w:eastAsia="黑体"/>
      <w:spacing w:val="20"/>
      <w:sz w:val="24"/>
      <w:szCs w:val="20"/>
    </w:rPr>
  </w:style>
  <w:style w:type="paragraph" w:customStyle="1" w:styleId="170">
    <w:name w:val="文字"/>
    <w:basedOn w:val="1"/>
    <w:uiPriority w:val="0"/>
    <w:pPr>
      <w:tabs>
        <w:tab w:val="left" w:pos="8520"/>
      </w:tabs>
      <w:spacing w:line="312" w:lineRule="auto"/>
      <w:ind w:right="-210" w:firstLine="556"/>
    </w:pPr>
    <w:rPr>
      <w:rFonts w:ascii="宋体"/>
      <w:sz w:val="28"/>
      <w:szCs w:val="20"/>
    </w:rPr>
  </w:style>
  <w:style w:type="paragraph" w:customStyle="1" w:styleId="171">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36"/>
      <w:szCs w:val="36"/>
    </w:rPr>
  </w:style>
  <w:style w:type="paragraph" w:customStyle="1" w:styleId="172">
    <w:name w:val="Char Char2 Char"/>
    <w:basedOn w:val="1"/>
    <w:uiPriority w:val="0"/>
    <w:rPr>
      <w:rFonts w:ascii="宋体" w:hAnsi="宋体"/>
      <w:b/>
      <w:sz w:val="28"/>
      <w:szCs w:val="28"/>
    </w:rPr>
  </w:style>
  <w:style w:type="paragraph" w:customStyle="1" w:styleId="173">
    <w:name w:val="修订1"/>
    <w:uiPriority w:val="0"/>
    <w:rPr>
      <w:rFonts w:ascii="Times New Roman" w:hAnsi="Times New Roman" w:eastAsia="宋体" w:cs="Times New Roman"/>
      <w:kern w:val="2"/>
      <w:sz w:val="21"/>
      <w:szCs w:val="22"/>
      <w:lang w:val="en-US" w:eastAsia="zh-CN" w:bidi="ar-SA"/>
    </w:rPr>
  </w:style>
  <w:style w:type="paragraph" w:customStyle="1" w:styleId="174">
    <w:name w:val="文字 Char Char Char"/>
    <w:basedOn w:val="1"/>
    <w:uiPriority w:val="0"/>
    <w:pPr>
      <w:tabs>
        <w:tab w:val="left" w:pos="8520"/>
      </w:tabs>
      <w:spacing w:line="312" w:lineRule="auto"/>
      <w:ind w:right="-210" w:firstLine="556"/>
    </w:pPr>
    <w:rPr>
      <w:rFonts w:ascii="宋体"/>
      <w:sz w:val="28"/>
      <w:szCs w:val="20"/>
    </w:rPr>
  </w:style>
  <w:style w:type="paragraph" w:customStyle="1" w:styleId="175">
    <w:name w:val="样式 标题 4 + 段前: 5 磅 段后: 5 磅 行距: 单倍行距"/>
    <w:basedOn w:val="6"/>
    <w:uiPriority w:val="0"/>
    <w:pPr>
      <w:numPr>
        <w:ilvl w:val="0"/>
        <w:numId w:val="0"/>
      </w:numPr>
      <w:tabs>
        <w:tab w:val="left" w:pos="1680"/>
      </w:tabs>
      <w:autoSpaceDE/>
      <w:autoSpaceDN/>
      <w:spacing w:before="100" w:after="100" w:line="240" w:lineRule="auto"/>
      <w:ind w:left="1680" w:hanging="420"/>
      <w:textAlignment w:val="baseline"/>
    </w:pPr>
    <w:rPr>
      <w:bCs w:val="0"/>
      <w:kern w:val="0"/>
      <w:szCs w:val="20"/>
    </w:rPr>
  </w:style>
  <w:style w:type="paragraph" w:customStyle="1" w:styleId="176">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36"/>
      <w:szCs w:val="36"/>
    </w:rPr>
  </w:style>
  <w:style w:type="paragraph" w:customStyle="1" w:styleId="177">
    <w:name w:val="表格文字"/>
    <w:basedOn w:val="1"/>
    <w:qFormat/>
    <w:uiPriority w:val="0"/>
    <w:pPr>
      <w:spacing w:before="25" w:after="25"/>
      <w:jc w:val="left"/>
    </w:pPr>
    <w:rPr>
      <w:bCs/>
      <w:spacing w:val="10"/>
      <w:kern w:val="0"/>
      <w:sz w:val="24"/>
      <w:szCs w:val="20"/>
    </w:rPr>
  </w:style>
  <w:style w:type="paragraph" w:customStyle="1" w:styleId="178">
    <w:name w:val="¤º¤å"/>
    <w:uiPriority w:val="0"/>
    <w:pPr>
      <w:widowControl w:val="0"/>
      <w:overflowPunct w:val="0"/>
      <w:autoSpaceDE w:val="0"/>
      <w:autoSpaceDN w:val="0"/>
      <w:adjustRightInd w:val="0"/>
      <w:spacing w:line="360" w:lineRule="atLeast"/>
      <w:textAlignment w:val="baseline"/>
    </w:pPr>
    <w:rPr>
      <w:rFonts w:ascii="Times New Roman" w:hAnsi="Times New Roman" w:eastAsia="PMingLiU" w:cs="Times New Roman"/>
      <w:sz w:val="24"/>
      <w:lang w:val="en-US" w:eastAsia="zh-TW" w:bidi="ar-SA"/>
    </w:rPr>
  </w:style>
  <w:style w:type="paragraph" w:customStyle="1" w:styleId="179">
    <w:name w:val="题注4"/>
    <w:basedOn w:val="1"/>
    <w:next w:val="15"/>
    <w:qFormat/>
    <w:uiPriority w:val="0"/>
    <w:pPr>
      <w:ind w:left="-132" w:leftChars="-64" w:right="-105" w:rightChars="-50" w:hanging="2"/>
      <w:jc w:val="center"/>
    </w:pPr>
    <w:rPr>
      <w:b/>
      <w:color w:val="FF0000"/>
      <w:szCs w:val="21"/>
      <w:lang w:val="en-GB"/>
    </w:rPr>
  </w:style>
  <w:style w:type="paragraph" w:customStyle="1" w:styleId="180">
    <w:name w:val="Char Char1 Char Char Char Char Char Char Char Char Char Char"/>
    <w:basedOn w:val="1"/>
    <w:uiPriority w:val="0"/>
    <w:rPr>
      <w:rFonts w:ascii="Tahoma" w:hAnsi="Tahoma"/>
      <w:sz w:val="24"/>
      <w:szCs w:val="20"/>
    </w:rPr>
  </w:style>
  <w:style w:type="paragraph" w:customStyle="1" w:styleId="181">
    <w:name w:val="xl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36"/>
      <w:szCs w:val="36"/>
    </w:rPr>
  </w:style>
  <w:style w:type="paragraph" w:customStyle="1" w:styleId="182">
    <w:name w:val="Char1"/>
    <w:basedOn w:val="1"/>
    <w:uiPriority w:val="0"/>
    <w:pPr>
      <w:widowControl/>
      <w:spacing w:after="160" w:line="240" w:lineRule="exact"/>
      <w:jc w:val="left"/>
    </w:pPr>
    <w:rPr>
      <w:rFonts w:ascii="Verdana" w:hAnsi="Verdana" w:eastAsia="楷体_GB2312"/>
      <w:b/>
      <w:i/>
      <w:color w:val="000000"/>
      <w:kern w:val="0"/>
      <w:sz w:val="20"/>
      <w:szCs w:val="20"/>
      <w:lang w:eastAsia="en-US"/>
    </w:rPr>
  </w:style>
  <w:style w:type="paragraph" w:customStyle="1" w:styleId="183">
    <w:name w:val="zw"/>
    <w:basedOn w:val="1"/>
    <w:uiPriority w:val="0"/>
    <w:pPr>
      <w:widowControl/>
      <w:spacing w:before="30"/>
      <w:ind w:left="100" w:right="100"/>
    </w:pPr>
    <w:rPr>
      <w:rFonts w:ascii="方正书宋简体" w:hAnsi="宋体" w:eastAsia="方正书宋简体"/>
      <w:color w:val="000000"/>
      <w:kern w:val="0"/>
      <w:szCs w:val="21"/>
    </w:rPr>
  </w:style>
  <w:style w:type="paragraph" w:customStyle="1" w:styleId="184">
    <w:name w:val="TOCI"/>
    <w:basedOn w:val="7"/>
    <w:next w:val="7"/>
    <w:uiPriority w:val="99"/>
    <w:rPr>
      <w:rFonts w:cs="Times New Roman"/>
      <w:color w:val="auto"/>
    </w:rPr>
  </w:style>
  <w:style w:type="paragraph" w:customStyle="1" w:styleId="185">
    <w:name w:val="b-b1"/>
    <w:basedOn w:val="1"/>
    <w:next w:val="1"/>
    <w:uiPriority w:val="0"/>
    <w:pPr>
      <w:numPr>
        <w:ilvl w:val="0"/>
        <w:numId w:val="6"/>
      </w:numPr>
      <w:spacing w:before="160" w:after="160" w:line="400" w:lineRule="exact"/>
      <w:outlineLvl w:val="0"/>
    </w:pPr>
    <w:rPr>
      <w:rFonts w:eastAsia="黑体"/>
      <w:sz w:val="36"/>
      <w:szCs w:val="36"/>
    </w:rPr>
  </w:style>
  <w:style w:type="paragraph" w:customStyle="1" w:styleId="186">
    <w:name w:val="产品名称"/>
    <w:basedOn w:val="1"/>
    <w:uiPriority w:val="0"/>
    <w:pPr>
      <w:autoSpaceDE w:val="0"/>
      <w:autoSpaceDN w:val="0"/>
      <w:adjustRightInd w:val="0"/>
      <w:spacing w:line="320" w:lineRule="atLeast"/>
    </w:pPr>
    <w:rPr>
      <w:rFonts w:ascii="汉仪大黑简" w:eastAsia="汉仪大黑简"/>
      <w:kern w:val="0"/>
      <w:sz w:val="20"/>
      <w:szCs w:val="24"/>
    </w:rPr>
  </w:style>
  <w:style w:type="paragraph" w:customStyle="1" w:styleId="187">
    <w:name w:val="font8"/>
    <w:basedOn w:val="1"/>
    <w:uiPriority w:val="0"/>
    <w:pPr>
      <w:widowControl/>
      <w:spacing w:before="100" w:beforeAutospacing="1" w:after="100" w:afterAutospacing="1"/>
      <w:jc w:val="left"/>
    </w:pPr>
    <w:rPr>
      <w:rFonts w:hint="eastAsia" w:ascii="宋体" w:hAnsi="宋体" w:cs="Arial Unicode MS"/>
      <w:kern w:val="0"/>
      <w:sz w:val="36"/>
      <w:szCs w:val="36"/>
    </w:rPr>
  </w:style>
  <w:style w:type="paragraph" w:customStyle="1" w:styleId="188">
    <w:name w:val="1 Char"/>
    <w:basedOn w:val="1"/>
    <w:uiPriority w:val="0"/>
    <w:rPr>
      <w:rFonts w:ascii="Tahoma" w:hAnsi="Tahoma"/>
      <w:sz w:val="24"/>
      <w:szCs w:val="20"/>
    </w:rPr>
  </w:style>
  <w:style w:type="paragraph" w:customStyle="1" w:styleId="189">
    <w:name w:val="P标3"/>
    <w:basedOn w:val="5"/>
    <w:uiPriority w:val="0"/>
    <w:pPr>
      <w:keepNext w:val="0"/>
      <w:keepLines w:val="0"/>
      <w:numPr>
        <w:ilvl w:val="0"/>
        <w:numId w:val="9"/>
      </w:numPr>
      <w:autoSpaceDE w:val="0"/>
      <w:autoSpaceDN w:val="0"/>
      <w:adjustRightInd w:val="0"/>
      <w:spacing w:before="120" w:after="120" w:line="480" w:lineRule="atLeast"/>
    </w:pPr>
    <w:rPr>
      <w:rFonts w:ascii="宋体" w:hAnsi="宋体" w:cs="Arial"/>
      <w:b w:val="0"/>
      <w:color w:val="000000"/>
      <w:kern w:val="0"/>
      <w:sz w:val="24"/>
    </w:rPr>
  </w:style>
  <w:style w:type="paragraph" w:customStyle="1" w:styleId="190">
    <w:name w:val="文档正文"/>
    <w:basedOn w:val="1"/>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91">
    <w:name w:val="表格正文"/>
    <w:basedOn w:val="1"/>
    <w:uiPriority w:val="0"/>
    <w:pPr>
      <w:ind w:right="45"/>
    </w:pPr>
    <w:rPr>
      <w:rFonts w:ascii="黑体"/>
      <w:sz w:val="24"/>
      <w:szCs w:val="20"/>
    </w:rPr>
  </w:style>
  <w:style w:type="paragraph" w:customStyle="1" w:styleId="192">
    <w:name w:val="样式 标题 5 + 宋体"/>
    <w:basedOn w:val="8"/>
    <w:uiPriority w:val="0"/>
    <w:rPr>
      <w:rFonts w:ascii="Arial" w:hAnsi="Arial" w:cs="Arial"/>
      <w:sz w:val="24"/>
      <w:szCs w:val="24"/>
    </w:rPr>
  </w:style>
  <w:style w:type="paragraph" w:customStyle="1" w:styleId="193">
    <w:name w:val="p0"/>
    <w:basedOn w:val="1"/>
    <w:uiPriority w:val="0"/>
    <w:rPr>
      <w:szCs w:val="21"/>
    </w:rPr>
  </w:style>
  <w:style w:type="paragraph" w:customStyle="1" w:styleId="194">
    <w:name w:val="b-b5"/>
    <w:basedOn w:val="1"/>
    <w:next w:val="1"/>
    <w:uiPriority w:val="0"/>
    <w:pPr>
      <w:numPr>
        <w:ilvl w:val="4"/>
        <w:numId w:val="6"/>
      </w:numPr>
      <w:spacing w:before="40" w:after="40" w:line="400" w:lineRule="exact"/>
      <w:outlineLvl w:val="4"/>
    </w:pPr>
    <w:rPr>
      <w:rFonts w:eastAsia="黑体"/>
      <w:sz w:val="24"/>
      <w:szCs w:val="24"/>
    </w:rPr>
  </w:style>
  <w:style w:type="paragraph" w:customStyle="1" w:styleId="195">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36"/>
      <w:szCs w:val="36"/>
    </w:rPr>
  </w:style>
  <w:style w:type="paragraph" w:customStyle="1" w:styleId="196">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97">
    <w:name w:val="head"/>
    <w:basedOn w:val="1"/>
    <w:next w:val="1"/>
    <w:uiPriority w:val="0"/>
    <w:pPr>
      <w:keepNext/>
      <w:keepLines/>
      <w:spacing w:before="260" w:after="260" w:line="413" w:lineRule="auto"/>
      <w:outlineLvl w:val="1"/>
    </w:pPr>
    <w:rPr>
      <w:rFonts w:ascii="Arial" w:hAnsi="Arial" w:eastAsia="黑体"/>
      <w:b/>
      <w:sz w:val="32"/>
      <w:szCs w:val="20"/>
    </w:rPr>
  </w:style>
  <w:style w:type="paragraph" w:customStyle="1" w:styleId="198">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199">
    <w:name w:val="图"/>
    <w:basedOn w:val="1"/>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00">
    <w:name w:val="font6"/>
    <w:basedOn w:val="1"/>
    <w:qFormat/>
    <w:uiPriority w:val="0"/>
    <w:pPr>
      <w:widowControl/>
      <w:spacing w:before="100" w:beforeAutospacing="1" w:after="100" w:afterAutospacing="1"/>
      <w:jc w:val="left"/>
    </w:pPr>
    <w:rPr>
      <w:rFonts w:eastAsia="Arial Unicode MS"/>
      <w:b/>
      <w:bCs/>
      <w:kern w:val="0"/>
      <w:sz w:val="36"/>
      <w:szCs w:val="36"/>
    </w:rPr>
  </w:style>
  <w:style w:type="paragraph" w:customStyle="1" w:styleId="201">
    <w:name w:val="D标4"/>
    <w:basedOn w:val="1"/>
    <w:next w:val="146"/>
    <w:uiPriority w:val="0"/>
    <w:pPr>
      <w:numPr>
        <w:ilvl w:val="0"/>
        <w:numId w:val="10"/>
      </w:numPr>
      <w:autoSpaceDE w:val="0"/>
      <w:autoSpaceDN w:val="0"/>
      <w:adjustRightInd w:val="0"/>
      <w:spacing w:before="120" w:line="480" w:lineRule="atLeast"/>
    </w:pPr>
    <w:rPr>
      <w:rFonts w:ascii="宋体"/>
      <w:kern w:val="0"/>
      <w:sz w:val="24"/>
      <w:szCs w:val="20"/>
    </w:rPr>
  </w:style>
  <w:style w:type="paragraph" w:customStyle="1" w:styleId="202">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36"/>
      <w:szCs w:val="36"/>
    </w:rPr>
  </w:style>
  <w:style w:type="paragraph" w:customStyle="1" w:styleId="203">
    <w:name w:val="Char Char Char Char Char Char Char Char Char Char Char Char Char"/>
    <w:basedOn w:val="1"/>
    <w:uiPriority w:val="0"/>
    <w:pPr>
      <w:widowControl/>
      <w:spacing w:after="160" w:line="240" w:lineRule="exact"/>
      <w:jc w:val="center"/>
    </w:pPr>
    <w:rPr>
      <w:rFonts w:ascii="宋体" w:hAnsi="宋体"/>
      <w:b/>
      <w:kern w:val="0"/>
      <w:sz w:val="30"/>
      <w:szCs w:val="30"/>
      <w:lang w:eastAsia="en-US"/>
    </w:rPr>
  </w:style>
  <w:style w:type="paragraph" w:customStyle="1" w:styleId="204">
    <w:name w:val="PP 行"/>
    <w:basedOn w:val="34"/>
    <w:uiPriority w:val="0"/>
  </w:style>
  <w:style w:type="paragraph" w:customStyle="1" w:styleId="205">
    <w:name w:val="font9"/>
    <w:basedOn w:val="1"/>
    <w:uiPriority w:val="0"/>
    <w:pPr>
      <w:widowControl/>
      <w:spacing w:before="100" w:beforeAutospacing="1" w:after="100" w:afterAutospacing="1"/>
      <w:jc w:val="left"/>
    </w:pPr>
    <w:rPr>
      <w:rFonts w:hint="eastAsia" w:ascii="宋体" w:hAnsi="宋体" w:cs="Arial Unicode MS"/>
      <w:b/>
      <w:bCs/>
      <w:kern w:val="0"/>
      <w:sz w:val="36"/>
      <w:szCs w:val="36"/>
    </w:rPr>
  </w:style>
  <w:style w:type="paragraph" w:customStyle="1" w:styleId="206">
    <w:name w:val="样式 标题 2 + 宋体 五号 非加粗 黑色"/>
    <w:basedOn w:val="4"/>
    <w:uiPriority w:val="0"/>
    <w:pPr>
      <w:widowControl w:val="0"/>
      <w:numPr>
        <w:ilvl w:val="0"/>
        <w:numId w:val="0"/>
      </w:numPr>
      <w:tabs>
        <w:tab w:val="left" w:pos="840"/>
        <w:tab w:val="clear" w:pos="1145"/>
      </w:tabs>
      <w:adjustRightInd w:val="0"/>
      <w:spacing w:line="416" w:lineRule="atLeast"/>
      <w:ind w:left="840" w:hanging="420"/>
      <w:jc w:val="left"/>
      <w:textAlignment w:val="baseline"/>
    </w:pPr>
    <w:rPr>
      <w:rFonts w:ascii="宋体" w:eastAsia="宋体"/>
      <w:kern w:val="0"/>
      <w:sz w:val="21"/>
      <w:szCs w:val="20"/>
    </w:rPr>
  </w:style>
  <w:style w:type="paragraph" w:customStyle="1" w:styleId="207">
    <w:name w:val="默认段落字体 Para Char"/>
    <w:basedOn w:val="1"/>
    <w:uiPriority w:val="0"/>
    <w:rPr>
      <w:rFonts w:ascii="宋体" w:hAnsi="宋体"/>
      <w:b/>
      <w:sz w:val="28"/>
      <w:szCs w:val="28"/>
    </w:rPr>
  </w:style>
  <w:style w:type="paragraph" w:customStyle="1" w:styleId="208">
    <w:name w:val="b-b3"/>
    <w:basedOn w:val="1"/>
    <w:next w:val="1"/>
    <w:uiPriority w:val="0"/>
    <w:pPr>
      <w:numPr>
        <w:ilvl w:val="2"/>
        <w:numId w:val="6"/>
      </w:numPr>
      <w:spacing w:before="80" w:after="80" w:line="400" w:lineRule="exact"/>
      <w:outlineLvl w:val="2"/>
    </w:pPr>
    <w:rPr>
      <w:rFonts w:eastAsia="黑体"/>
      <w:sz w:val="28"/>
      <w:szCs w:val="28"/>
    </w:rPr>
  </w:style>
  <w:style w:type="paragraph" w:customStyle="1" w:styleId="209">
    <w:name w:val="b-b6"/>
    <w:basedOn w:val="1"/>
    <w:next w:val="1"/>
    <w:qFormat/>
    <w:uiPriority w:val="0"/>
    <w:pPr>
      <w:numPr>
        <w:ilvl w:val="5"/>
        <w:numId w:val="6"/>
      </w:numPr>
      <w:spacing w:line="400" w:lineRule="exact"/>
      <w:outlineLvl w:val="5"/>
    </w:pPr>
    <w:rPr>
      <w:sz w:val="24"/>
      <w:szCs w:val="24"/>
    </w:rPr>
  </w:style>
  <w:style w:type="paragraph" w:customStyle="1" w:styleId="210">
    <w:name w:val="_Style 6"/>
    <w:basedOn w:val="1"/>
    <w:uiPriority w:val="0"/>
    <w:pPr>
      <w:widowControl/>
      <w:spacing w:after="160" w:line="240" w:lineRule="exact"/>
      <w:jc w:val="left"/>
    </w:pPr>
    <w:rPr>
      <w:szCs w:val="20"/>
    </w:rPr>
  </w:style>
  <w:style w:type="paragraph" w:customStyle="1" w:styleId="211">
    <w:name w:val="样式1"/>
    <w:basedOn w:val="1"/>
    <w:uiPriority w:val="0"/>
    <w:pPr>
      <w:numPr>
        <w:ilvl w:val="0"/>
        <w:numId w:val="11"/>
      </w:numPr>
      <w:adjustRightInd w:val="0"/>
      <w:snapToGrid w:val="0"/>
      <w:spacing w:before="40" w:after="40" w:line="300" w:lineRule="auto"/>
      <w:jc w:val="center"/>
      <w:textAlignment w:val="center"/>
    </w:pPr>
    <w:rPr>
      <w:snapToGrid w:val="0"/>
      <w:spacing w:val="20"/>
      <w:kern w:val="0"/>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4080</Words>
  <Characters>23256</Characters>
  <Lines>193</Lines>
  <Paragraphs>54</Paragraphs>
  <TotalTime>254</TotalTime>
  <ScaleCrop>false</ScaleCrop>
  <LinksUpToDate>false</LinksUpToDate>
  <CharactersWithSpaces>27282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2023-11-27T07:06:00Z</dcterms:created>
  <dc:creator>admin</dc:creator>
  <cp:lastModifiedBy>undefineddoc</cp:lastModifiedBy>
  <cp:lastPrinted>2024-02-19T08:09:00Z</cp:lastPrinted>
  <dcterms:modified xsi:type="dcterms:W3CDTF">2024-02-19T09:02:11Z</dcterms:modified>
  <dc:title>端州区2012-2013年度LED照明产品及配套服务协议供货资格项目采购文件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1D48DB09D3EB40EE8F7260F15D91BC08</vt:lpwstr>
  </property>
</Properties>
</file>