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color w:val="333333"/>
          <w:sz w:val="44"/>
          <w:szCs w:val="44"/>
        </w:rPr>
      </w:pP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b/>
          <w:bCs/>
          <w:color w:val="333333"/>
          <w:sz w:val="44"/>
          <w:szCs w:val="44"/>
        </w:rPr>
      </w:pPr>
      <w:r>
        <w:rPr>
          <w:rFonts w:hint="eastAsia"/>
          <w:b/>
          <w:bCs/>
          <w:color w:val="333333"/>
          <w:sz w:val="44"/>
          <w:szCs w:val="44"/>
        </w:rPr>
        <w:t>计量器具新产品管理办法</w:t>
      </w:r>
      <w:r>
        <w:rPr>
          <w:rFonts w:hint="eastAsia"/>
          <w:b/>
          <w:bCs/>
          <w:color w:val="333333"/>
          <w:sz w:val="28"/>
          <w:szCs w:val="28"/>
        </w:rPr>
        <w:t> </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28"/>
          <w:szCs w:val="28"/>
        </w:rPr>
      </w:pPr>
      <w:r>
        <w:rPr>
          <w:rFonts w:hint="eastAsia" w:ascii="仿宋" w:hAnsi="仿宋" w:eastAsia="仿宋"/>
          <w:color w:val="333333"/>
          <w:sz w:val="32"/>
          <w:szCs w:val="32"/>
        </w:rPr>
        <w:t>　　</w:t>
      </w:r>
      <w:r>
        <w:rPr>
          <w:rFonts w:hint="eastAsia" w:ascii="仿宋" w:hAnsi="仿宋" w:eastAsia="仿宋"/>
          <w:color w:val="333333"/>
          <w:sz w:val="28"/>
          <w:szCs w:val="28"/>
        </w:rPr>
        <w:t>（2023年3月16日国家市场监督管理总局令第68号公布</w:t>
      </w:r>
      <w:r>
        <w:rPr>
          <w:rFonts w:hint="eastAsia"/>
          <w:color w:val="333333"/>
          <w:sz w:val="28"/>
          <w:szCs w:val="28"/>
        </w:rPr>
        <w:t> </w:t>
      </w:r>
      <w:r>
        <w:rPr>
          <w:rFonts w:hint="eastAsia" w:ascii="仿宋" w:hAnsi="仿宋" w:eastAsia="仿宋"/>
          <w:color w:val="333333"/>
          <w:sz w:val="28"/>
          <w:szCs w:val="28"/>
        </w:rPr>
        <w:t>自2023年6月1日起施行）</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28"/>
          <w:szCs w:val="28"/>
        </w:rPr>
      </w:pPr>
      <w:r>
        <w:rPr>
          <w:rFonts w:hint="eastAsia"/>
          <w:color w:val="333333"/>
          <w:sz w:val="28"/>
          <w:szCs w:val="28"/>
        </w:rPr>
        <w:t> </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color w:val="333333"/>
          <w:sz w:val="32"/>
          <w:szCs w:val="32"/>
        </w:rPr>
      </w:pPr>
      <w:r>
        <w:rPr>
          <w:rFonts w:ascii="黑体" w:hAnsi="黑体" w:eastAsia="黑体"/>
          <w:color w:val="333333"/>
          <w:sz w:val="32"/>
          <w:szCs w:val="32"/>
        </w:rPr>
        <w:t>第一章 总 则</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color w:val="333333"/>
          <w:sz w:val="32"/>
          <w:szCs w:val="32"/>
        </w:rPr>
      </w:pPr>
      <w:r>
        <w:rPr>
          <w:color w:val="333333"/>
          <w:sz w:val="32"/>
          <w:szCs w:val="32"/>
        </w:rPr>
        <w:t> </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黑体" w:hAnsi="黑体" w:eastAsia="黑体"/>
          <w:color w:val="333333"/>
          <w:sz w:val="32"/>
          <w:szCs w:val="32"/>
        </w:rPr>
        <w:t xml:space="preserve">　　第一条 </w:t>
      </w:r>
      <w:r>
        <w:rPr>
          <w:rFonts w:hint="eastAsia" w:ascii="仿宋" w:hAnsi="仿宋" w:eastAsia="仿宋"/>
          <w:color w:val="333333"/>
          <w:sz w:val="32"/>
          <w:szCs w:val="32"/>
        </w:rPr>
        <w:t>为了规范计量器具新产品的型式批准管理，根据《中华人民共和国计量法》和《中华人民共和国计量法实施细则》的有关规定，制定本办法。</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黑体" w:hAnsi="黑体" w:eastAsia="黑体"/>
          <w:color w:val="333333"/>
          <w:sz w:val="32"/>
          <w:szCs w:val="32"/>
        </w:rPr>
        <w:t xml:space="preserve">　　第二条 </w:t>
      </w:r>
      <w:r>
        <w:rPr>
          <w:rFonts w:hint="eastAsia" w:ascii="仿宋" w:hAnsi="仿宋" w:eastAsia="仿宋"/>
          <w:color w:val="333333"/>
          <w:sz w:val="32"/>
          <w:szCs w:val="32"/>
        </w:rPr>
        <w:t>在中华人民共和国境内，制造以销售为目的的计量器具新产品，应当遵守本办法。</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仿宋" w:hAnsi="仿宋" w:eastAsia="仿宋"/>
          <w:color w:val="333333"/>
          <w:sz w:val="32"/>
          <w:szCs w:val="32"/>
        </w:rPr>
        <w:t>　　计量器具新产品是指生产者从未生产过的计量器具，包括对原有产品在结构、材质等方面做了重大改进导致性能、技术特征发生变更的计量器具。</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黑体" w:hAnsi="黑体" w:eastAsia="黑体"/>
          <w:color w:val="333333"/>
          <w:sz w:val="32"/>
          <w:szCs w:val="32"/>
        </w:rPr>
        <w:t xml:space="preserve">　　第三条 </w:t>
      </w:r>
      <w:r>
        <w:rPr>
          <w:rFonts w:hint="eastAsia" w:ascii="仿宋" w:hAnsi="仿宋" w:eastAsia="仿宋"/>
          <w:color w:val="333333"/>
          <w:sz w:val="32"/>
          <w:szCs w:val="32"/>
        </w:rPr>
        <w:t>生产者以销售为目的制造列入《实施强制管理的计量器具目录》，且监管方式为型式批准的计量器具新产品的，应当经省级市场监督管理部门型式批准后，方可投入生产。</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仿宋" w:hAnsi="仿宋" w:eastAsia="仿宋"/>
          <w:color w:val="333333"/>
          <w:sz w:val="32"/>
          <w:szCs w:val="32"/>
        </w:rPr>
        <w:t>　　制造除前款以外其他计量器具的，生产者可以根据需要自愿委托有能力的技术机构进行型式试验。</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仿宋" w:hAnsi="仿宋" w:eastAsia="仿宋"/>
          <w:color w:val="333333"/>
          <w:sz w:val="32"/>
          <w:szCs w:val="32"/>
        </w:rPr>
        <w:t>　　标准物质新产品按照标准物质管理相关规定执行。</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黑体" w:hAnsi="黑体" w:eastAsia="黑体"/>
          <w:color w:val="333333"/>
          <w:sz w:val="32"/>
          <w:szCs w:val="32"/>
        </w:rPr>
        <w:t xml:space="preserve">　　第四条 </w:t>
      </w:r>
      <w:r>
        <w:rPr>
          <w:rFonts w:hint="eastAsia" w:ascii="仿宋" w:hAnsi="仿宋" w:eastAsia="仿宋"/>
          <w:color w:val="333333"/>
          <w:sz w:val="32"/>
          <w:szCs w:val="32"/>
        </w:rPr>
        <w:t>本办法所称型式批准是指市场监督管理部门对计量器具的型式是否符合法定要求而进行的行政许可活动。</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仿宋" w:hAnsi="仿宋" w:eastAsia="仿宋"/>
          <w:color w:val="333333"/>
          <w:sz w:val="32"/>
          <w:szCs w:val="32"/>
        </w:rPr>
        <w:t>　　型式评价是指为确定计量器具型式是否符合计量要求、技术要求和法制管理要求对样机所进行的技术评价。</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仿宋" w:hAnsi="仿宋" w:eastAsia="仿宋"/>
          <w:color w:val="333333"/>
          <w:sz w:val="32"/>
          <w:szCs w:val="32"/>
        </w:rPr>
        <w:t>　　型式试验是指根据相关计量技术规范，对计量器具的样机进行的试验和检查。</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黑体" w:hAnsi="黑体" w:eastAsia="黑体"/>
          <w:color w:val="333333"/>
          <w:sz w:val="32"/>
          <w:szCs w:val="32"/>
        </w:rPr>
        <w:t xml:space="preserve">　　第五条 </w:t>
      </w:r>
      <w:r>
        <w:rPr>
          <w:rFonts w:hint="eastAsia" w:ascii="仿宋" w:hAnsi="仿宋" w:eastAsia="仿宋"/>
          <w:color w:val="333333"/>
          <w:sz w:val="32"/>
          <w:szCs w:val="32"/>
        </w:rPr>
        <w:t>国家市场监督管理总局统一负责全国计量器具新产品的监督管理工作。省级市场监督管理部门负责本地区计量器具新产品的监督管理工作。</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color w:val="333333"/>
          <w:sz w:val="32"/>
          <w:szCs w:val="32"/>
        </w:rPr>
        <w:t> </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color w:val="333333"/>
          <w:sz w:val="32"/>
          <w:szCs w:val="32"/>
        </w:rPr>
      </w:pPr>
      <w:r>
        <w:rPr>
          <w:rFonts w:ascii="黑体" w:hAnsi="黑体" w:eastAsia="黑体"/>
          <w:color w:val="333333"/>
          <w:sz w:val="32"/>
          <w:szCs w:val="32"/>
        </w:rPr>
        <w:t>第二章 型式批准的申请</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color w:val="333333"/>
          <w:sz w:val="32"/>
          <w:szCs w:val="32"/>
        </w:rPr>
      </w:pPr>
      <w:r>
        <w:rPr>
          <w:color w:val="333333"/>
          <w:sz w:val="32"/>
          <w:szCs w:val="32"/>
        </w:rPr>
        <w:t> </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黑体" w:hAnsi="黑体" w:eastAsia="黑体"/>
          <w:color w:val="333333"/>
          <w:sz w:val="32"/>
          <w:szCs w:val="32"/>
        </w:rPr>
        <w:t xml:space="preserve">　　第六条 </w:t>
      </w:r>
      <w:r>
        <w:rPr>
          <w:rFonts w:hint="eastAsia" w:ascii="仿宋" w:hAnsi="仿宋" w:eastAsia="仿宋"/>
          <w:color w:val="333333"/>
          <w:sz w:val="32"/>
          <w:szCs w:val="32"/>
        </w:rPr>
        <w:t>生产者制造本办法第三条第一款规定的计量器具的，应当向生产所在地省级市场监督管理部门申请型式批准。</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仿宋" w:hAnsi="仿宋" w:eastAsia="仿宋"/>
          <w:color w:val="333333"/>
          <w:sz w:val="32"/>
          <w:szCs w:val="32"/>
        </w:rPr>
        <w:t>　　申请型式批准应当按照市场监督管理部门相关要求递交申请资料。</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黑体" w:hAnsi="黑体" w:eastAsia="黑体"/>
          <w:color w:val="333333"/>
          <w:sz w:val="32"/>
          <w:szCs w:val="32"/>
        </w:rPr>
        <w:t xml:space="preserve">　　第七条 </w:t>
      </w:r>
      <w:r>
        <w:rPr>
          <w:rFonts w:hint="eastAsia" w:ascii="仿宋" w:hAnsi="仿宋" w:eastAsia="仿宋"/>
          <w:color w:val="333333"/>
          <w:sz w:val="32"/>
          <w:szCs w:val="32"/>
        </w:rPr>
        <w:t>收到申请的省级市场监督管理部门，对申请资料进行审查，需要补充资料或者不符合法定形式的，应当自收到申请资料之日起五个工作日内一次告知申请人需要补正的全部内容和补正期限。</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仿宋" w:hAnsi="仿宋" w:eastAsia="仿宋"/>
          <w:color w:val="333333"/>
          <w:sz w:val="32"/>
          <w:szCs w:val="32"/>
        </w:rPr>
        <w:t>　　审查通过的，应当在五个工作</w:t>
      </w:r>
      <w:bookmarkStart w:id="0" w:name="_GoBack"/>
      <w:bookmarkEnd w:id="0"/>
      <w:r>
        <w:rPr>
          <w:rFonts w:hint="eastAsia" w:ascii="仿宋" w:hAnsi="仿宋" w:eastAsia="仿宋"/>
          <w:color w:val="333333"/>
          <w:sz w:val="32"/>
          <w:szCs w:val="32"/>
        </w:rPr>
        <w:t>日内委托技术机构进行型式评价，并通知申请人。</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黑体" w:hAnsi="黑体" w:eastAsia="黑体"/>
          <w:color w:val="333333"/>
          <w:sz w:val="32"/>
          <w:szCs w:val="32"/>
        </w:rPr>
        <w:t xml:space="preserve">　　第八条 </w:t>
      </w:r>
      <w:r>
        <w:rPr>
          <w:rFonts w:hint="eastAsia" w:ascii="仿宋" w:hAnsi="仿宋" w:eastAsia="仿宋"/>
          <w:color w:val="333333"/>
          <w:sz w:val="32"/>
          <w:szCs w:val="32"/>
        </w:rPr>
        <w:t>承担型式评价的技术机构应当自收到省级市场监督管理部门委托之日起五个工作日内通知申请人。</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仿宋" w:hAnsi="仿宋" w:eastAsia="仿宋"/>
          <w:color w:val="333333"/>
          <w:sz w:val="32"/>
          <w:szCs w:val="32"/>
        </w:rPr>
        <w:t>　　申请人应当自收到承担型式评价机构通知后五个工作日内向该机构递交以下技术资料，并对所提供的技术资料真实有效性负责：</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仿宋" w:hAnsi="仿宋" w:eastAsia="仿宋"/>
          <w:color w:val="333333"/>
          <w:sz w:val="32"/>
          <w:szCs w:val="32"/>
        </w:rPr>
        <w:t>　　（一）样机照片；</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仿宋" w:hAnsi="仿宋" w:eastAsia="仿宋"/>
          <w:color w:val="333333"/>
          <w:sz w:val="32"/>
          <w:szCs w:val="32"/>
        </w:rPr>
        <w:t>　　（二）产品标准（含检验方法）；</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仿宋" w:hAnsi="仿宋" w:eastAsia="仿宋"/>
          <w:color w:val="333333"/>
          <w:sz w:val="32"/>
          <w:szCs w:val="32"/>
        </w:rPr>
        <w:t>　　（三）总装图、电路图和关键零部件图（含关键零部件清单）；</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仿宋" w:hAnsi="仿宋" w:eastAsia="仿宋"/>
          <w:color w:val="333333"/>
          <w:sz w:val="32"/>
          <w:szCs w:val="32"/>
        </w:rPr>
        <w:t>　　（四）使用说明书；</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仿宋" w:hAnsi="仿宋" w:eastAsia="仿宋"/>
          <w:color w:val="333333"/>
          <w:sz w:val="32"/>
          <w:szCs w:val="32"/>
        </w:rPr>
        <w:t>　　（五）制造单位或者技术机构所做的试验报告。</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仿宋" w:hAnsi="仿宋" w:eastAsia="仿宋"/>
          <w:color w:val="333333"/>
          <w:sz w:val="32"/>
          <w:szCs w:val="32"/>
        </w:rPr>
        <w:t>　　逾期没有递交的，由承担型式评价的技术机构向省级市场监督管理部门退回本次委托，受理申请的省级市场监督管理部门终止实施行政许可。</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黑体" w:hAnsi="黑体" w:eastAsia="黑体"/>
          <w:color w:val="333333"/>
          <w:sz w:val="32"/>
          <w:szCs w:val="32"/>
        </w:rPr>
        <w:t xml:space="preserve">　　第九条 </w:t>
      </w:r>
      <w:r>
        <w:rPr>
          <w:rFonts w:hint="eastAsia" w:ascii="仿宋" w:hAnsi="仿宋" w:eastAsia="仿宋"/>
          <w:color w:val="333333"/>
          <w:sz w:val="32"/>
          <w:szCs w:val="32"/>
        </w:rPr>
        <w:t>承担型式评价的技术机构，应当自收到技术资料之日起十个工作日内对技术资料进行审查。审查未通过的，要求申请人限期补正；审查通过的，通知申请人提供试验样机。</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仿宋" w:hAnsi="仿宋" w:eastAsia="仿宋"/>
          <w:color w:val="333333"/>
          <w:sz w:val="32"/>
          <w:szCs w:val="32"/>
        </w:rPr>
        <w:t>　　申请人应当自收到通知之日起十个工作日内，向该机构提供试验样机。逾期没有提供的，由承担型式评价的技术机构向省级市场监督管理部门退回本次委托，受理申请的省级市场监督管理部门终止实施行政许可。</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color w:val="333333"/>
          <w:sz w:val="32"/>
          <w:szCs w:val="32"/>
        </w:rPr>
        <w:t> </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color w:val="333333"/>
          <w:sz w:val="32"/>
          <w:szCs w:val="32"/>
        </w:rPr>
      </w:pPr>
      <w:r>
        <w:rPr>
          <w:rFonts w:ascii="黑体" w:hAnsi="黑体" w:eastAsia="黑体"/>
          <w:color w:val="333333"/>
          <w:sz w:val="32"/>
          <w:szCs w:val="32"/>
        </w:rPr>
        <w:t>第三章 型式评价</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color w:val="333333"/>
          <w:sz w:val="32"/>
          <w:szCs w:val="32"/>
        </w:rPr>
      </w:pPr>
      <w:r>
        <w:rPr>
          <w:color w:val="333333"/>
          <w:sz w:val="32"/>
          <w:szCs w:val="32"/>
        </w:rPr>
        <w:t> </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黑体" w:hAnsi="黑体" w:eastAsia="黑体"/>
          <w:color w:val="333333"/>
          <w:sz w:val="32"/>
          <w:szCs w:val="32"/>
        </w:rPr>
        <w:t xml:space="preserve">　　第十条 </w:t>
      </w:r>
      <w:r>
        <w:rPr>
          <w:rFonts w:hint="eastAsia" w:ascii="仿宋" w:hAnsi="仿宋" w:eastAsia="仿宋"/>
          <w:color w:val="333333"/>
          <w:sz w:val="32"/>
          <w:szCs w:val="32"/>
        </w:rPr>
        <w:t>承担型式评价的技术机构应当能够独立承担法律责任，具备计量标准、检测装置、检测人员以及场地、工作环境等相关条件，取得省级以上市场监督管理部门的授权，方可开展相应的型式评价工作。</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黑体" w:hAnsi="黑体" w:eastAsia="黑体"/>
          <w:color w:val="333333"/>
          <w:sz w:val="32"/>
          <w:szCs w:val="32"/>
        </w:rPr>
        <w:t xml:space="preserve">　　第十一条 </w:t>
      </w:r>
      <w:r>
        <w:rPr>
          <w:rFonts w:hint="eastAsia" w:ascii="仿宋" w:hAnsi="仿宋" w:eastAsia="仿宋"/>
          <w:color w:val="333333"/>
          <w:sz w:val="32"/>
          <w:szCs w:val="32"/>
        </w:rPr>
        <w:t>承担型式评价的技术机构应当按照国家市场监督管理总局制定的国家型式评价技术规范进行型式评价。国家计量检定规程中已经规定了型式评价要求的，按照国家计量检定规程执行。</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仿宋" w:hAnsi="仿宋" w:eastAsia="仿宋"/>
          <w:color w:val="333333"/>
          <w:sz w:val="32"/>
          <w:szCs w:val="32"/>
        </w:rPr>
        <w:t>　　没有国家型式评价技术规范的，由承担型式评价的技术机构依据相关标准、规范或者国际建议拟定型式评价技术规范，经相关全国专业计量技术委员会审查通过后执行。</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黑体" w:hAnsi="黑体" w:eastAsia="黑体"/>
          <w:color w:val="333333"/>
          <w:sz w:val="32"/>
          <w:szCs w:val="32"/>
        </w:rPr>
        <w:t xml:space="preserve">　　第十二条 </w:t>
      </w:r>
      <w:r>
        <w:rPr>
          <w:rFonts w:hint="eastAsia" w:ascii="仿宋" w:hAnsi="仿宋" w:eastAsia="仿宋"/>
          <w:color w:val="333333"/>
          <w:sz w:val="32"/>
          <w:szCs w:val="32"/>
        </w:rPr>
        <w:t>型式评价应当自承担型式评价的技术机构收到试验样机之日起三个月内完成，经省级市场监督管理部门同意延期的除外。</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仿宋" w:hAnsi="仿宋" w:eastAsia="仿宋"/>
          <w:color w:val="333333"/>
          <w:sz w:val="32"/>
          <w:szCs w:val="32"/>
        </w:rPr>
        <w:t>　　型式评价结束后，承担型式评价的技术机构应当将型式评价报告报送省级市场监督管理部门，并通知申请人。</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黑体" w:hAnsi="黑体" w:eastAsia="黑体"/>
          <w:color w:val="333333"/>
          <w:sz w:val="32"/>
          <w:szCs w:val="32"/>
        </w:rPr>
        <w:t xml:space="preserve">　　第十三条 </w:t>
      </w:r>
      <w:r>
        <w:rPr>
          <w:rFonts w:hint="eastAsia" w:ascii="仿宋" w:hAnsi="仿宋" w:eastAsia="仿宋"/>
          <w:color w:val="333333"/>
          <w:sz w:val="32"/>
          <w:szCs w:val="32"/>
        </w:rPr>
        <w:t>承担型式评价的技术机构在型式评价后，应当保留有关资料和原始记录，保存期不少于五年。经封印和标记的全部样机、需要保密的技术资料应当退还申请人。</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仿宋" w:hAnsi="仿宋" w:eastAsia="仿宋"/>
          <w:color w:val="333333"/>
          <w:sz w:val="32"/>
          <w:szCs w:val="32"/>
        </w:rPr>
        <w:t>　　申请人应当对经封印和标记的样机、需要保密的技术资料进行保存。对于系列产品，应当至少保存一台代表性产品样机；对于单个规格产品，应当至少保存一台样机。保存期限应当自停止生产该型式计量器具之日起不少于五年。</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color w:val="333333"/>
          <w:sz w:val="32"/>
          <w:szCs w:val="32"/>
        </w:rPr>
        <w:t> </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color w:val="333333"/>
          <w:sz w:val="32"/>
          <w:szCs w:val="32"/>
        </w:rPr>
      </w:pPr>
      <w:r>
        <w:rPr>
          <w:rFonts w:ascii="黑体" w:hAnsi="黑体" w:eastAsia="黑体"/>
          <w:color w:val="333333"/>
          <w:sz w:val="32"/>
          <w:szCs w:val="32"/>
        </w:rPr>
        <w:t>第四章 型式批准</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color w:val="333333"/>
          <w:sz w:val="32"/>
          <w:szCs w:val="32"/>
        </w:rPr>
      </w:pPr>
      <w:r>
        <w:rPr>
          <w:color w:val="333333"/>
          <w:sz w:val="32"/>
          <w:szCs w:val="32"/>
        </w:rPr>
        <w:t> </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黑体" w:hAnsi="黑体" w:eastAsia="黑体"/>
          <w:color w:val="333333"/>
          <w:sz w:val="32"/>
          <w:szCs w:val="32"/>
        </w:rPr>
        <w:t xml:space="preserve">　　第十四条 </w:t>
      </w:r>
      <w:r>
        <w:rPr>
          <w:rFonts w:hint="eastAsia" w:ascii="仿宋" w:hAnsi="仿宋" w:eastAsia="仿宋"/>
          <w:color w:val="333333"/>
          <w:sz w:val="32"/>
          <w:szCs w:val="32"/>
        </w:rPr>
        <w:t>省级市场监督管理部门应当自收到型式评价报告之日起十个工作日内，根据型式评价报告和计量法制管理的要求，对计量器具新产品的型式进行审查。审查合格的，向申请人颁发型式批准证书；审查不合格的，作出不予行政许可决定。</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黑体" w:hAnsi="黑体" w:eastAsia="黑体"/>
          <w:color w:val="333333"/>
          <w:sz w:val="32"/>
          <w:szCs w:val="32"/>
        </w:rPr>
        <w:t xml:space="preserve">　　第十五条 </w:t>
      </w:r>
      <w:r>
        <w:rPr>
          <w:rFonts w:hint="eastAsia" w:ascii="仿宋" w:hAnsi="仿宋" w:eastAsia="仿宋"/>
          <w:color w:val="333333"/>
          <w:sz w:val="32"/>
          <w:szCs w:val="32"/>
        </w:rPr>
        <w:t>制造已取得型式批准的计量器具的，应当在其使用说明书中标注国家统一规定的型式批准标志和编号。</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黑体" w:hAnsi="黑体" w:eastAsia="黑体"/>
          <w:color w:val="333333"/>
          <w:sz w:val="32"/>
          <w:szCs w:val="32"/>
        </w:rPr>
        <w:t xml:space="preserve">　　第十六条 </w:t>
      </w:r>
      <w:r>
        <w:rPr>
          <w:rFonts w:hint="eastAsia" w:ascii="仿宋" w:hAnsi="仿宋" w:eastAsia="仿宋"/>
          <w:color w:val="333333"/>
          <w:sz w:val="32"/>
          <w:szCs w:val="32"/>
        </w:rPr>
        <w:t>采用委托加工方式制造计量器具的，被委托方应当取得与委托加工计量器具相应的型式批准，并与委托方签订书面委托合同。委托加工的计量器具，应当标注委托方、被委托方的单位名称、地址、被委托方的型式批准标志和编号。</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黑体" w:hAnsi="黑体" w:eastAsia="黑体"/>
          <w:color w:val="333333"/>
          <w:sz w:val="32"/>
          <w:szCs w:val="32"/>
        </w:rPr>
        <w:t xml:space="preserve">　　第十七条 </w:t>
      </w:r>
      <w:r>
        <w:rPr>
          <w:rFonts w:hint="eastAsia" w:ascii="仿宋" w:hAnsi="仿宋" w:eastAsia="仿宋"/>
          <w:color w:val="333333"/>
          <w:sz w:val="32"/>
          <w:szCs w:val="32"/>
        </w:rPr>
        <w:t>制造已取得型式批准的计量器具，不得擅自改变原批准的型式。对原有产品在结构、材质、关键零部件等方面做了重大改进导致性能、技术特征发生变更的，应当重新申请型式批准。</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黑体" w:hAnsi="黑体" w:eastAsia="黑体"/>
          <w:color w:val="333333"/>
          <w:sz w:val="32"/>
          <w:szCs w:val="32"/>
        </w:rPr>
        <w:t xml:space="preserve">　　第十八条 </w:t>
      </w:r>
      <w:r>
        <w:rPr>
          <w:rFonts w:hint="eastAsia" w:ascii="仿宋" w:hAnsi="仿宋" w:eastAsia="仿宋"/>
          <w:color w:val="333333"/>
          <w:sz w:val="32"/>
          <w:szCs w:val="32"/>
        </w:rPr>
        <w:t>生产者制造计量器具应当具有与所制造的计量器具相适应的设施、人员和检定仪器设备等，并对其制造的计量器具负责，保证其计量性能符合相关要求。鼓励生产者建立完善的测量管理体系，自愿申请测量管理体系认证。</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黑体" w:hAnsi="黑体" w:eastAsia="黑体"/>
          <w:color w:val="333333"/>
          <w:sz w:val="32"/>
          <w:szCs w:val="32"/>
        </w:rPr>
        <w:t xml:space="preserve">　　第十九条 </w:t>
      </w:r>
      <w:r>
        <w:rPr>
          <w:rFonts w:hint="eastAsia" w:ascii="仿宋" w:hAnsi="仿宋" w:eastAsia="仿宋"/>
          <w:color w:val="333333"/>
          <w:sz w:val="32"/>
          <w:szCs w:val="32"/>
        </w:rPr>
        <w:t>县级以上地方市场监督管理部门应当按照国家有关规定，对制造计量器具的质量、实际制造产品与批准型式的一致性等进行监督检查。</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color w:val="333333"/>
          <w:sz w:val="32"/>
          <w:szCs w:val="32"/>
        </w:rPr>
        <w:t> </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color w:val="333333"/>
          <w:sz w:val="32"/>
          <w:szCs w:val="32"/>
        </w:rPr>
      </w:pPr>
      <w:r>
        <w:rPr>
          <w:rFonts w:ascii="黑体" w:hAnsi="黑体" w:eastAsia="黑体"/>
          <w:color w:val="333333"/>
          <w:sz w:val="32"/>
          <w:szCs w:val="32"/>
        </w:rPr>
        <w:t>第五章 法律责任</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color w:val="333333"/>
          <w:sz w:val="32"/>
          <w:szCs w:val="32"/>
        </w:rPr>
      </w:pPr>
      <w:r>
        <w:rPr>
          <w:color w:val="333333"/>
          <w:sz w:val="32"/>
          <w:szCs w:val="32"/>
        </w:rPr>
        <w:t> </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黑体" w:hAnsi="黑体" w:eastAsia="黑体"/>
          <w:color w:val="333333"/>
          <w:sz w:val="32"/>
          <w:szCs w:val="32"/>
        </w:rPr>
        <w:t xml:space="preserve">　　第二十条 </w:t>
      </w:r>
      <w:r>
        <w:rPr>
          <w:rFonts w:hint="eastAsia" w:ascii="仿宋" w:hAnsi="仿宋" w:eastAsia="仿宋"/>
          <w:color w:val="333333"/>
          <w:sz w:val="32"/>
          <w:szCs w:val="32"/>
        </w:rPr>
        <w:t>制造、销售未经型式批准的计量器具的，由县级以上地方市场监督管理部门按照《中华人民共和国计量法》《中华人民共和国计量法实施细则》的有关规定予以处罚。</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黑体" w:hAnsi="黑体" w:eastAsia="黑体"/>
          <w:color w:val="333333"/>
          <w:sz w:val="32"/>
          <w:szCs w:val="32"/>
        </w:rPr>
        <w:t xml:space="preserve">　　第二十一条 </w:t>
      </w:r>
      <w:r>
        <w:rPr>
          <w:rFonts w:hint="eastAsia" w:ascii="仿宋" w:hAnsi="仿宋" w:eastAsia="仿宋"/>
          <w:color w:val="333333"/>
          <w:sz w:val="32"/>
          <w:szCs w:val="32"/>
        </w:rPr>
        <w:t>未按规定标注型式批准标志和编号的，由县级以上市场监督管理部门责令改正，处三万元以下罚款。</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黑体" w:hAnsi="黑体" w:eastAsia="黑体"/>
          <w:color w:val="333333"/>
          <w:sz w:val="32"/>
          <w:szCs w:val="32"/>
        </w:rPr>
        <w:t xml:space="preserve">　　第二十二条 </w:t>
      </w:r>
      <w:r>
        <w:rPr>
          <w:rFonts w:hint="eastAsia" w:ascii="仿宋" w:hAnsi="仿宋" w:eastAsia="仿宋"/>
          <w:color w:val="333333"/>
          <w:sz w:val="32"/>
          <w:szCs w:val="32"/>
        </w:rPr>
        <w:t>制造、销售的计量器具与批准的型式不一致的，由县级以上市场监督管理部门责令改正，处五万元以下罚款。</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黑体" w:hAnsi="黑体" w:eastAsia="黑体"/>
          <w:color w:val="333333"/>
          <w:sz w:val="32"/>
          <w:szCs w:val="32"/>
        </w:rPr>
        <w:t xml:space="preserve">　　第二十三条 </w:t>
      </w:r>
      <w:r>
        <w:rPr>
          <w:rFonts w:hint="eastAsia" w:ascii="仿宋" w:hAnsi="仿宋" w:eastAsia="仿宋"/>
          <w:color w:val="333333"/>
          <w:sz w:val="32"/>
          <w:szCs w:val="32"/>
        </w:rPr>
        <w:t>未持续符合型式批准条件，不再具有与所制造的计量器具相适应的设施、人员和检定仪器设备的，由县级以上市场监督管理部门责令改正；逾期未改正的，处三万元以下罚款。</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黑体" w:hAnsi="黑体" w:eastAsia="黑体"/>
          <w:color w:val="333333"/>
          <w:sz w:val="32"/>
          <w:szCs w:val="32"/>
        </w:rPr>
        <w:t xml:space="preserve">　　第二十四条 </w:t>
      </w:r>
      <w:r>
        <w:rPr>
          <w:rFonts w:hint="eastAsia" w:ascii="仿宋" w:hAnsi="仿宋" w:eastAsia="仿宋"/>
          <w:color w:val="333333"/>
          <w:sz w:val="32"/>
          <w:szCs w:val="32"/>
        </w:rPr>
        <w:t>计量器具产品质量监督抽查不合格的，按照产品质量监督抽查的有关规定处理。</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黑体" w:hAnsi="黑体" w:eastAsia="黑体"/>
          <w:color w:val="333333"/>
          <w:sz w:val="32"/>
          <w:szCs w:val="32"/>
        </w:rPr>
        <w:t xml:space="preserve">　　第二十五条 </w:t>
      </w:r>
      <w:r>
        <w:rPr>
          <w:rFonts w:hint="eastAsia" w:ascii="仿宋" w:hAnsi="仿宋" w:eastAsia="仿宋"/>
          <w:color w:val="333333"/>
          <w:sz w:val="32"/>
          <w:szCs w:val="32"/>
        </w:rPr>
        <w:t>承担型式评价的技术机构及工作人员，应当对申请人提供的样机和技术文件、资料予以保密。违反保密规定的，应当按照国家有关规定，赔偿申请人的损失。需要给予违法公职人员政务处分的，应当依照有关规定将相关案件线索移送监察机关处理；构成犯罪的，移送监察机关或者司法机关处理。</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color w:val="333333"/>
          <w:sz w:val="32"/>
          <w:szCs w:val="32"/>
        </w:rPr>
        <w:t> </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color w:val="333333"/>
          <w:sz w:val="32"/>
          <w:szCs w:val="32"/>
        </w:rPr>
      </w:pPr>
      <w:r>
        <w:rPr>
          <w:rFonts w:ascii="黑体" w:hAnsi="黑体" w:eastAsia="黑体"/>
          <w:color w:val="333333"/>
          <w:sz w:val="32"/>
          <w:szCs w:val="32"/>
        </w:rPr>
        <w:t>第六章 附 则</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color w:val="333333"/>
          <w:sz w:val="32"/>
          <w:szCs w:val="32"/>
        </w:rPr>
      </w:pPr>
      <w:r>
        <w:rPr>
          <w:color w:val="333333"/>
          <w:sz w:val="32"/>
          <w:szCs w:val="32"/>
        </w:rPr>
        <w:t> </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黑体" w:hAnsi="黑体" w:eastAsia="黑体"/>
          <w:color w:val="333333"/>
          <w:sz w:val="32"/>
          <w:szCs w:val="32"/>
        </w:rPr>
        <w:t xml:space="preserve">　　第二十六条 </w:t>
      </w:r>
      <w:r>
        <w:rPr>
          <w:rFonts w:hint="eastAsia" w:ascii="仿宋" w:hAnsi="仿宋" w:eastAsia="仿宋"/>
          <w:color w:val="333333"/>
          <w:sz w:val="32"/>
          <w:szCs w:val="32"/>
        </w:rPr>
        <w:t>进口计量器具型式批准，按照《中华人民共和国进口计量器具监督管理办法》执行。</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黑体" w:hAnsi="黑体" w:eastAsia="黑体"/>
          <w:color w:val="333333"/>
          <w:sz w:val="32"/>
          <w:szCs w:val="32"/>
        </w:rPr>
        <w:t xml:space="preserve">　　第二十七条 </w:t>
      </w:r>
      <w:r>
        <w:rPr>
          <w:rFonts w:hint="eastAsia" w:ascii="仿宋" w:hAnsi="仿宋" w:eastAsia="仿宋"/>
          <w:color w:val="333333"/>
          <w:sz w:val="32"/>
          <w:szCs w:val="32"/>
        </w:rPr>
        <w:t>与本办法有关的申请书、型式批准证书、型式批准标志和编号的式样等，由国家市场监督管理总局统一规定。</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黑体" w:hAnsi="黑体" w:eastAsia="黑体"/>
          <w:color w:val="333333"/>
          <w:sz w:val="32"/>
          <w:szCs w:val="32"/>
        </w:rPr>
        <w:t xml:space="preserve">　　第二十八条 </w:t>
      </w:r>
      <w:r>
        <w:rPr>
          <w:rFonts w:hint="eastAsia" w:ascii="仿宋" w:hAnsi="仿宋" w:eastAsia="仿宋"/>
          <w:color w:val="333333"/>
          <w:sz w:val="32"/>
          <w:szCs w:val="32"/>
        </w:rPr>
        <w:t>按照本办法实施型式批准，应当遵守国家法律、法规和国家市场监督管理总局关于行政许可办理程序的有关规定。</w:t>
      </w:r>
    </w:p>
    <w:p>
      <w:pPr>
        <w:pStyle w:val="9"/>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 w:hAnsi="仿宋" w:eastAsia="仿宋"/>
          <w:color w:val="333333"/>
          <w:sz w:val="32"/>
          <w:szCs w:val="32"/>
        </w:rPr>
      </w:pPr>
      <w:r>
        <w:rPr>
          <w:rFonts w:hint="eastAsia" w:ascii="黑体" w:hAnsi="黑体" w:eastAsia="黑体"/>
          <w:color w:val="333333"/>
          <w:sz w:val="32"/>
          <w:szCs w:val="32"/>
        </w:rPr>
        <w:t xml:space="preserve">　　第二十九条 </w:t>
      </w:r>
      <w:r>
        <w:rPr>
          <w:rFonts w:hint="eastAsia" w:ascii="仿宋" w:hAnsi="仿宋" w:eastAsia="仿宋"/>
          <w:color w:val="333333"/>
          <w:sz w:val="32"/>
          <w:szCs w:val="32"/>
        </w:rPr>
        <w:t>本办法自2023年6月1日起施行。2005年5月20日原国家质量监督检验检疫总局令第74号公布的《计量器具新产品管理办法》同时废止。</w:t>
      </w:r>
    </w:p>
    <w:p>
      <w:pPr>
        <w:keepNext w:val="0"/>
        <w:keepLines w:val="0"/>
        <w:pageBreakBefore w:val="0"/>
        <w:kinsoku/>
        <w:wordWrap/>
        <w:overflowPunct/>
        <w:topLinePunct w:val="0"/>
        <w:autoSpaceDE/>
        <w:autoSpaceDN/>
        <w:bidi w:val="0"/>
        <w:adjustRightInd/>
        <w:snapToGrid/>
        <w:spacing w:line="480" w:lineRule="exact"/>
        <w:textAlignment w:val="auto"/>
      </w:pPr>
    </w:p>
    <w:sectPr>
      <w:headerReference r:id="rId3" w:type="default"/>
      <w:footerReference r:id="rId4" w:type="default"/>
      <w:pgSz w:w="11906" w:h="16838"/>
      <w:pgMar w:top="1735" w:right="1474" w:bottom="1735" w:left="1474"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left w:val="none" w:color="auto" w:sz="0" w:space="0"/>
      </w:pBdr>
      <w:tabs>
        <w:tab w:val="left" w:pos="6522"/>
      </w:tabs>
      <w:ind w:left="1558" w:leftChars="742" w:firstLine="6400" w:firstLineChars="2000"/>
      <w:rPr>
        <w:rFonts w:eastAsia="仿宋"/>
        <w:sz w:val="32"/>
        <w:szCs w:val="48"/>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rPr>
      <w:tab/>
    </w:r>
    <w:r>
      <w:rPr>
        <w:rFonts w:hint="eastAsia" w:eastAsia="仿宋"/>
        <w:sz w:val="32"/>
        <w:szCs w:val="48"/>
      </w:rPr>
      <w:tab/>
    </w:r>
    <w:r>
      <w:rPr>
        <w:rFonts w:hint="eastAsia" w:eastAsia="仿宋"/>
        <w:sz w:val="32"/>
        <w:szCs w:val="48"/>
      </w:rPr>
      <w:tab/>
    </w:r>
    <w:r>
      <w:rPr>
        <w:rFonts w:hint="eastAsia" w:eastAsia="仿宋"/>
        <w:sz w:val="32"/>
        <w:szCs w:val="48"/>
      </w:rPr>
      <w:t xml:space="preserve">  </w:t>
    </w:r>
  </w:p>
  <w:p>
    <w:pPr>
      <w:pStyle w:val="7"/>
      <w:pBdr>
        <w:left w:val="none" w:color="auto" w:sz="0" w:space="0"/>
      </w:pBdr>
      <w:wordWrap w:val="0"/>
      <w:ind w:left="1558" w:leftChars="742" w:right="55" w:rightChars="26" w:firstLine="2"/>
      <w:jc w:val="right"/>
      <w:rPr>
        <w:rFonts w:eastAsia="仿宋"/>
        <w:color w:val="FAFAFA"/>
        <w:sz w:val="32"/>
        <w:szCs w:val="48"/>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hint="eastAsia" w:eastAsia="仿宋"/>
        <w:color w:val="FAFAFA"/>
        <w:sz w:val="32"/>
        <w:szCs w:val="48"/>
      </w:rPr>
      <w:t>X</w:t>
    </w:r>
  </w:p>
  <w:p>
    <w:pPr>
      <w:pStyle w:val="7"/>
      <w:pBdr>
        <w:left w:val="none" w:color="auto" w:sz="0" w:space="0"/>
      </w:pBdr>
      <w:tabs>
        <w:tab w:val="right" w:pos="1560"/>
        <w:tab w:val="clear" w:pos="8306"/>
      </w:tabs>
      <w:wordWrap w:val="0"/>
      <w:ind w:left="1558" w:leftChars="742" w:right="481" w:rightChars="229" w:firstLine="2"/>
      <w:jc w:val="right"/>
      <w:rPr>
        <w:rFonts w:ascii="宋体" w:hAnsi="宋体" w:eastAsia="宋体" w:cs="宋体"/>
        <w:b/>
        <w:bCs/>
        <w:color w:val="005192"/>
        <w:sz w:val="28"/>
        <w:szCs w:val="44"/>
      </w:rPr>
    </w:pPr>
    <w:r>
      <w:rPr>
        <w:rFonts w:hint="eastAsia" w:ascii="宋体" w:hAnsi="宋体" w:eastAsia="宋体" w:cs="宋体"/>
        <w:b/>
        <w:bCs/>
        <w:color w:val="005192"/>
        <w:sz w:val="28"/>
        <w:szCs w:val="44"/>
      </w:rPr>
      <w:t>国家市场监督管理总局发布</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extAlignment w:val="center"/>
      <w:rPr>
        <w:rFonts w:ascii="宋体" w:hAnsi="宋体" w:eastAsia="宋体" w:cs="宋体"/>
        <w:b/>
        <w:bCs/>
        <w:color w:val="005192"/>
        <w:sz w:val="32"/>
        <w:szCs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11430</wp:posOffset>
              </wp:positionH>
              <wp:positionV relativeFrom="paragraph">
                <wp:posOffset>393065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9pt;margin-top:30.95pt;height:0pt;width:442.55pt;z-index:251659264;mso-width-relative:page;mso-height-relative:page;" filled="f" stroked="t" coordsize="21600,21600" o:gfxdata="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Y&#10;ma5f0QAAAAcBAAAPAAAAAAAAAAEAIAAAACIAAABkcnMvZG93bnJldi54bWxQSwECFAAUAAAACACH&#10;TuJABe67HvIBAAC9AwAADgAAAAAAAAABACAAAAAgAQAAZHJzL2Uyb0RvYy54bWxQSwUGAAAAAAYA&#10;BgBZAQAAhAU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rPr>
      <w:t>国家市场监督管理总局</w:t>
    </w:r>
    <w:r>
      <w:rPr>
        <w:rFonts w:hint="eastAsia" w:ascii="宋体" w:hAnsi="宋体" w:eastAsia="宋体" w:cs="宋体"/>
        <w:b/>
        <w:bCs/>
        <w:color w:val="005192"/>
        <w:sz w:val="32"/>
        <w:szCs w:val="32"/>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OTg5NTIzNmUyNDRiNGQyMjZiYjA4NzdhOWIyNjYifQ=="/>
  </w:docVars>
  <w:rsids>
    <w:rsidRoot w:val="00172A27"/>
    <w:rsid w:val="000170AE"/>
    <w:rsid w:val="00090A43"/>
    <w:rsid w:val="000F7C3B"/>
    <w:rsid w:val="00172A27"/>
    <w:rsid w:val="00190F0F"/>
    <w:rsid w:val="001D6060"/>
    <w:rsid w:val="002F2B45"/>
    <w:rsid w:val="003D0EA2"/>
    <w:rsid w:val="005827FD"/>
    <w:rsid w:val="006120F8"/>
    <w:rsid w:val="0062465E"/>
    <w:rsid w:val="00637CAC"/>
    <w:rsid w:val="00750507"/>
    <w:rsid w:val="0085713D"/>
    <w:rsid w:val="00891FFC"/>
    <w:rsid w:val="00915729"/>
    <w:rsid w:val="00960532"/>
    <w:rsid w:val="00964DF5"/>
    <w:rsid w:val="009D125D"/>
    <w:rsid w:val="009D4514"/>
    <w:rsid w:val="00A83803"/>
    <w:rsid w:val="00AC5533"/>
    <w:rsid w:val="00B7088B"/>
    <w:rsid w:val="00B900B7"/>
    <w:rsid w:val="00BA7A05"/>
    <w:rsid w:val="00C26E20"/>
    <w:rsid w:val="00D7266E"/>
    <w:rsid w:val="00E01234"/>
    <w:rsid w:val="00E17290"/>
    <w:rsid w:val="00E43CFE"/>
    <w:rsid w:val="00F1250C"/>
    <w:rsid w:val="00F77982"/>
    <w:rsid w:val="00FB339E"/>
    <w:rsid w:val="00FB6C1D"/>
    <w:rsid w:val="019E71BD"/>
    <w:rsid w:val="04B679C3"/>
    <w:rsid w:val="080F63D8"/>
    <w:rsid w:val="09341458"/>
    <w:rsid w:val="0B0912D7"/>
    <w:rsid w:val="152D2DCA"/>
    <w:rsid w:val="18623A6E"/>
    <w:rsid w:val="1DEC284C"/>
    <w:rsid w:val="1E6523AC"/>
    <w:rsid w:val="1F361A96"/>
    <w:rsid w:val="22440422"/>
    <w:rsid w:val="25117842"/>
    <w:rsid w:val="2DAC20BD"/>
    <w:rsid w:val="31A15F24"/>
    <w:rsid w:val="395347B5"/>
    <w:rsid w:val="39A232A0"/>
    <w:rsid w:val="39E745AA"/>
    <w:rsid w:val="3B5A6BBB"/>
    <w:rsid w:val="3EDA13A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iPriority="99"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link w:val="30"/>
    <w:unhideWhenUsed/>
    <w:uiPriority w:val="99"/>
    <w:pPr>
      <w:widowControl/>
      <w:spacing w:before="100" w:beforeAutospacing="1" w:after="100" w:afterAutospacing="1"/>
      <w:jc w:val="left"/>
    </w:pPr>
    <w:rPr>
      <w:rFonts w:ascii="宋体" w:hAnsi="宋体" w:eastAsia="宋体" w:cs="宋体"/>
      <w:kern w:val="0"/>
      <w:sz w:val="24"/>
    </w:rPr>
  </w:style>
  <w:style w:type="paragraph" w:styleId="4">
    <w:name w:val="Plain Text"/>
    <w:basedOn w:val="1"/>
    <w:link w:val="28"/>
    <w:unhideWhenUsed/>
    <w:uiPriority w:val="99"/>
    <w:pPr>
      <w:widowControl/>
      <w:spacing w:before="100" w:beforeAutospacing="1" w:after="100" w:afterAutospacing="1"/>
      <w:jc w:val="left"/>
    </w:pPr>
    <w:rPr>
      <w:rFonts w:ascii="宋体" w:hAnsi="宋体" w:eastAsia="宋体" w:cs="宋体"/>
      <w:kern w:val="0"/>
      <w:sz w:val="24"/>
    </w:rPr>
  </w:style>
  <w:style w:type="paragraph" w:styleId="5">
    <w:name w:val="Balloon Text"/>
    <w:basedOn w:val="1"/>
    <w:link w:val="15"/>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2"/>
    <w:basedOn w:val="1"/>
    <w:next w:val="1"/>
    <w:unhideWhenUsed/>
    <w:uiPriority w:val="39"/>
    <w:pPr>
      <w:widowControl/>
      <w:spacing w:before="100" w:beforeAutospacing="1" w:after="100" w:afterAutospacing="1"/>
      <w:jc w:val="left"/>
    </w:pPr>
    <w:rPr>
      <w:rFonts w:ascii="宋体" w:hAnsi="宋体" w:eastAsia="宋体" w:cs="宋体"/>
      <w:kern w:val="0"/>
      <w:sz w:val="24"/>
    </w:rPr>
  </w:style>
  <w:style w:type="paragraph" w:styleId="9">
    <w:name w:val="Normal (Web)"/>
    <w:basedOn w:val="1"/>
    <w:unhideWhenUsed/>
    <w:uiPriority w:val="99"/>
    <w:pPr>
      <w:widowControl/>
      <w:spacing w:before="100" w:beforeAutospacing="1" w:after="100" w:afterAutospacing="1"/>
      <w:jc w:val="left"/>
    </w:pPr>
    <w:rPr>
      <w:rFonts w:ascii="宋体" w:hAnsi="宋体" w:eastAsia="宋体" w:cs="宋体"/>
      <w:kern w:val="0"/>
      <w:sz w:val="24"/>
    </w:rPr>
  </w:style>
  <w:style w:type="character" w:styleId="12">
    <w:name w:val="Strong"/>
    <w:basedOn w:val="11"/>
    <w:qFormat/>
    <w:uiPriority w:val="22"/>
    <w:rPr>
      <w:b/>
      <w:bCs/>
    </w:rPr>
  </w:style>
  <w:style w:type="character" w:styleId="13">
    <w:name w:val="FollowedHyperlink"/>
    <w:basedOn w:val="11"/>
    <w:uiPriority w:val="0"/>
    <w:rPr>
      <w:color w:val="2B84B5"/>
    </w:rPr>
  </w:style>
  <w:style w:type="character" w:styleId="14">
    <w:name w:val="Hyperlink"/>
    <w:basedOn w:val="11"/>
    <w:uiPriority w:val="0"/>
    <w:rPr>
      <w:rFonts w:hint="eastAsia" w:ascii="微软雅黑" w:hAnsi="微软雅黑" w:eastAsia="微软雅黑" w:cs="微软雅黑"/>
      <w:color w:val="0000FF"/>
      <w:u w:val="none"/>
    </w:rPr>
  </w:style>
  <w:style w:type="character" w:customStyle="1" w:styleId="15">
    <w:name w:val="批注框文本 Char"/>
    <w:basedOn w:val="11"/>
    <w:link w:val="5"/>
    <w:qFormat/>
    <w:uiPriority w:val="0"/>
    <w:rPr>
      <w:rFonts w:asciiTheme="minorHAnsi" w:hAnsiTheme="minorHAnsi" w:eastAsiaTheme="minorEastAsia" w:cstheme="minorBidi"/>
      <w:kern w:val="2"/>
      <w:sz w:val="18"/>
      <w:szCs w:val="18"/>
    </w:rPr>
  </w:style>
  <w:style w:type="paragraph" w:styleId="16">
    <w:name w:val="List Paragraph"/>
    <w:basedOn w:val="1"/>
    <w:unhideWhenUsed/>
    <w:uiPriority w:val="99"/>
    <w:pPr>
      <w:ind w:firstLine="420" w:firstLineChars="200"/>
    </w:pPr>
  </w:style>
  <w:style w:type="character" w:customStyle="1" w:styleId="17">
    <w:name w:val="noline"/>
    <w:basedOn w:val="11"/>
    <w:uiPriority w:val="0"/>
  </w:style>
  <w:style w:type="character" w:customStyle="1" w:styleId="18">
    <w:name w:val="hover54"/>
    <w:basedOn w:val="11"/>
    <w:uiPriority w:val="0"/>
    <w:rPr>
      <w:color w:val="025291"/>
    </w:rPr>
  </w:style>
  <w:style w:type="character" w:customStyle="1" w:styleId="19">
    <w:name w:val="hover55"/>
    <w:basedOn w:val="11"/>
    <w:uiPriority w:val="0"/>
    <w:rPr>
      <w:color w:val="2B84B5"/>
    </w:rPr>
  </w:style>
  <w:style w:type="character" w:customStyle="1" w:styleId="20">
    <w:name w:val="hover56"/>
    <w:basedOn w:val="11"/>
    <w:uiPriority w:val="0"/>
    <w:rPr>
      <w:color w:val="D52222"/>
    </w:rPr>
  </w:style>
  <w:style w:type="character" w:customStyle="1" w:styleId="21">
    <w:name w:val="place"/>
    <w:basedOn w:val="11"/>
    <w:uiPriority w:val="0"/>
  </w:style>
  <w:style w:type="character" w:customStyle="1" w:styleId="22">
    <w:name w:val="place1"/>
    <w:basedOn w:val="11"/>
    <w:uiPriority w:val="0"/>
    <w:rPr>
      <w:rFonts w:ascii="微软雅黑" w:hAnsi="微软雅黑" w:eastAsia="微软雅黑" w:cs="微软雅黑"/>
      <w:color w:val="888888"/>
      <w:sz w:val="25"/>
      <w:szCs w:val="25"/>
    </w:rPr>
  </w:style>
  <w:style w:type="character" w:customStyle="1" w:styleId="23">
    <w:name w:val="place2"/>
    <w:basedOn w:val="11"/>
    <w:uiPriority w:val="0"/>
  </w:style>
  <w:style w:type="character" w:customStyle="1" w:styleId="24">
    <w:name w:val="place3"/>
    <w:basedOn w:val="11"/>
    <w:uiPriority w:val="0"/>
  </w:style>
  <w:style w:type="character" w:customStyle="1" w:styleId="25">
    <w:name w:val="file"/>
    <w:basedOn w:val="11"/>
    <w:qFormat/>
    <w:uiPriority w:val="0"/>
    <w:rPr>
      <w:color w:val="4D4D4D"/>
      <w:sz w:val="21"/>
      <w:szCs w:val="21"/>
    </w:rPr>
  </w:style>
  <w:style w:type="character" w:customStyle="1" w:styleId="26">
    <w:name w:val="folder"/>
    <w:basedOn w:val="11"/>
    <w:qFormat/>
    <w:uiPriority w:val="0"/>
  </w:style>
  <w:style w:type="character" w:customStyle="1" w:styleId="27">
    <w:name w:val="folder1"/>
    <w:basedOn w:val="11"/>
    <w:qFormat/>
    <w:uiPriority w:val="0"/>
    <w:rPr>
      <w:color w:val="4D4D4D"/>
      <w:sz w:val="21"/>
      <w:szCs w:val="21"/>
    </w:rPr>
  </w:style>
  <w:style w:type="character" w:customStyle="1" w:styleId="28">
    <w:name w:val="纯文本 Char"/>
    <w:basedOn w:val="11"/>
    <w:link w:val="4"/>
    <w:qFormat/>
    <w:uiPriority w:val="99"/>
    <w:rPr>
      <w:rFonts w:ascii="宋体" w:hAnsi="宋体" w:cs="宋体"/>
      <w:sz w:val="24"/>
      <w:szCs w:val="24"/>
    </w:rPr>
  </w:style>
  <w:style w:type="paragraph" w:customStyle="1" w:styleId="29">
    <w:name w:val="16"/>
    <w:basedOn w:val="1"/>
    <w:qFormat/>
    <w:uiPriority w:val="0"/>
    <w:pPr>
      <w:widowControl/>
      <w:spacing w:before="100" w:beforeAutospacing="1" w:after="100" w:afterAutospacing="1"/>
      <w:jc w:val="left"/>
    </w:pPr>
    <w:rPr>
      <w:rFonts w:ascii="宋体" w:hAnsi="宋体" w:eastAsia="宋体" w:cs="宋体"/>
      <w:kern w:val="0"/>
      <w:sz w:val="24"/>
    </w:rPr>
  </w:style>
  <w:style w:type="character" w:customStyle="1" w:styleId="30">
    <w:name w:val="正文文本 Char"/>
    <w:basedOn w:val="11"/>
    <w:link w:val="3"/>
    <w:uiPriority w:val="99"/>
    <w:rPr>
      <w:rFonts w:ascii="宋体" w:hAnsi="宋体" w:cs="宋体"/>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10</Pages>
  <Words>2893</Words>
  <Characters>2909</Characters>
  <Lines>22</Lines>
  <Paragraphs>6</Paragraphs>
  <TotalTime>69</TotalTime>
  <ScaleCrop>false</ScaleCrop>
  <LinksUpToDate>false</LinksUpToDate>
  <CharactersWithSpaces>3056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2021-09-09T02:41:00Z</dcterms:created>
  <dc:creator>t</dc:creator>
  <cp:lastModifiedBy>胜WIN</cp:lastModifiedBy>
  <cp:lastPrinted>2021-10-26T03:30:00Z</cp:lastPrinted>
  <dcterms:modified xsi:type="dcterms:W3CDTF">2023-11-11T02:05:45Z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48C61CB29D3F4D9384F5922CF0F7FFB4</vt:lpwstr>
  </property>
</Properties>
</file>