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EA1" w:rsidRPr="00FD7CD2" w:rsidRDefault="00FD7CD2" w:rsidP="00CE3EA1">
      <w:pPr>
        <w:widowControl/>
        <w:shd w:val="clear" w:color="auto" w:fill="FFFFFF"/>
        <w:spacing w:line="560" w:lineRule="atLeast"/>
        <w:jc w:val="center"/>
        <w:rPr>
          <w:rFonts w:ascii="黑体" w:eastAsia="黑体" w:hAnsi="黑体" w:cs="宋体"/>
          <w:b/>
          <w:color w:val="333333"/>
          <w:kern w:val="0"/>
          <w:sz w:val="44"/>
          <w:szCs w:val="44"/>
        </w:rPr>
      </w:pPr>
      <w:r w:rsidRPr="00FD7CD2">
        <w:rPr>
          <w:rFonts w:ascii="黑体" w:eastAsia="黑体" w:hAnsi="黑体" w:cs="宋体" w:hint="eastAsia"/>
          <w:b/>
          <w:color w:val="333333"/>
          <w:kern w:val="0"/>
          <w:sz w:val="44"/>
          <w:szCs w:val="44"/>
        </w:rPr>
        <w:t>特种设备事故报告和调查处理规定</w:t>
      </w:r>
    </w:p>
    <w:p w:rsidR="00FD7CD2" w:rsidRDefault="00FD7CD2" w:rsidP="00CE3EA1">
      <w:pPr>
        <w:widowControl/>
        <w:shd w:val="clear" w:color="auto" w:fill="FFFFFF"/>
        <w:spacing w:line="560" w:lineRule="atLeast"/>
        <w:jc w:val="center"/>
        <w:rPr>
          <w:rFonts w:ascii="方正小标宋简体" w:eastAsia="方正小标宋简体" w:hAnsi="方正小标宋简体" w:cs="宋体" w:hint="eastAsia"/>
          <w:color w:val="333333"/>
          <w:kern w:val="0"/>
          <w:sz w:val="44"/>
          <w:szCs w:val="44"/>
        </w:rPr>
      </w:pPr>
    </w:p>
    <w:p w:rsidR="00CE3EA1" w:rsidRPr="00FD7CD2" w:rsidRDefault="00CE3EA1" w:rsidP="00FD7CD2">
      <w:pPr>
        <w:widowControl/>
        <w:shd w:val="clear" w:color="auto" w:fill="FFFFFF"/>
        <w:spacing w:line="560" w:lineRule="exact"/>
        <w:jc w:val="center"/>
        <w:rPr>
          <w:rFonts w:ascii="微软雅黑" w:eastAsia="微软雅黑" w:hAnsi="微软雅黑" w:cs="宋体"/>
          <w:color w:val="333333"/>
          <w:kern w:val="0"/>
          <w:sz w:val="32"/>
          <w:szCs w:val="32"/>
        </w:rPr>
      </w:pPr>
      <w:r w:rsidRPr="00FD7CD2">
        <w:rPr>
          <w:rFonts w:ascii="方正小标宋简体" w:eastAsia="方正小标宋简体" w:hAnsi="方正小标宋简体" w:cs="宋体" w:hint="eastAsia"/>
          <w:color w:val="333333"/>
          <w:kern w:val="0"/>
          <w:sz w:val="32"/>
          <w:szCs w:val="32"/>
        </w:rPr>
        <w:t>国家市场监督管理总局令</w:t>
      </w:r>
    </w:p>
    <w:p w:rsidR="00CE3EA1" w:rsidRPr="00FD7CD2" w:rsidRDefault="00CE3EA1" w:rsidP="00FD7CD2">
      <w:pPr>
        <w:widowControl/>
        <w:shd w:val="clear" w:color="auto" w:fill="FFFFFF"/>
        <w:spacing w:line="560" w:lineRule="exact"/>
        <w:jc w:val="center"/>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第</w:t>
      </w:r>
      <w:r w:rsidRPr="00FD7CD2">
        <w:rPr>
          <w:rFonts w:ascii="Times New Roman" w:eastAsia="微软雅黑" w:hAnsi="Times New Roman" w:cs="Times New Roman" w:hint="eastAsia"/>
          <w:color w:val="333333"/>
          <w:kern w:val="0"/>
          <w:sz w:val="32"/>
          <w:szCs w:val="32"/>
        </w:rPr>
        <w:t>50</w:t>
      </w:r>
      <w:r w:rsidRPr="00FD7CD2">
        <w:rPr>
          <w:rFonts w:ascii="仿宋_GB2312" w:eastAsia="仿宋_GB2312" w:hAnsi="微软雅黑" w:cs="宋体" w:hint="eastAsia"/>
          <w:color w:val="333333"/>
          <w:kern w:val="0"/>
          <w:sz w:val="32"/>
          <w:szCs w:val="32"/>
        </w:rPr>
        <w:t>号</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《特种设备事故报告和调查处理规定》已经2022年1月7日市场监管总局第1次局务会议通过，现予公布，自2022年3月1日起施行。</w:t>
      </w:r>
    </w:p>
    <w:p w:rsidR="00CE3EA1" w:rsidRPr="00FD7CD2" w:rsidRDefault="00CE3EA1" w:rsidP="00FD7CD2">
      <w:pPr>
        <w:widowControl/>
        <w:shd w:val="clear" w:color="auto" w:fill="FFFFFF"/>
        <w:spacing w:line="560" w:lineRule="exact"/>
        <w:jc w:val="right"/>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 xml:space="preserve"> </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 xml:space="preserve"> </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 xml:space="preserve"> </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 xml:space="preserve"> </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 xml:space="preserve"> </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 xml:space="preserve"> </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 xml:space="preserve"> </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 xml:space="preserve"> </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 xml:space="preserve"> </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 xml:space="preserve"> </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 xml:space="preserve"> </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 xml:space="preserve"> </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 xml:space="preserve"> </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 xml:space="preserve"> </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 xml:space="preserve"> </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局长</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 xml:space="preserve">张工 </w:t>
      </w:r>
      <w:r w:rsidRPr="00FD7CD2">
        <w:rPr>
          <w:rFonts w:ascii="仿宋_GB2312" w:eastAsia="仿宋_GB2312" w:hAnsi="微软雅黑" w:cs="宋体" w:hint="eastAsia"/>
          <w:color w:val="333333"/>
          <w:kern w:val="0"/>
          <w:sz w:val="32"/>
          <w:szCs w:val="32"/>
        </w:rPr>
        <w:t>          </w:t>
      </w:r>
    </w:p>
    <w:p w:rsidR="00CE3EA1" w:rsidRPr="00FD7CD2" w:rsidRDefault="00CE3EA1" w:rsidP="00FD7CD2">
      <w:pPr>
        <w:widowControl/>
        <w:shd w:val="clear" w:color="auto" w:fill="FFFFFF"/>
        <w:spacing w:line="560" w:lineRule="exact"/>
        <w:jc w:val="right"/>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 xml:space="preserve"> </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 xml:space="preserve"> </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 xml:space="preserve"> </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 xml:space="preserve"> </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 xml:space="preserve"> </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 xml:space="preserve"> </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 xml:space="preserve"> </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 xml:space="preserve"> </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 xml:space="preserve"> </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 xml:space="preserve">2022年1月20日 </w:t>
      </w:r>
      <w:r w:rsidRPr="00FD7CD2">
        <w:rPr>
          <w:rFonts w:ascii="仿宋_GB2312" w:eastAsia="仿宋_GB2312" w:hAnsi="微软雅黑" w:cs="宋体" w:hint="eastAsia"/>
          <w:color w:val="333333"/>
          <w:kern w:val="0"/>
          <w:sz w:val="32"/>
          <w:szCs w:val="32"/>
        </w:rPr>
        <w:t>       </w:t>
      </w:r>
    </w:p>
    <w:p w:rsidR="00CE3EA1" w:rsidRPr="00FD7CD2" w:rsidRDefault="00CE3EA1" w:rsidP="00FD7CD2">
      <w:pPr>
        <w:widowControl/>
        <w:shd w:val="clear" w:color="auto" w:fill="FFFFFF"/>
        <w:spacing w:line="560" w:lineRule="exact"/>
        <w:jc w:val="left"/>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br w:type="textWrapping" w:clear="all"/>
      </w:r>
    </w:p>
    <w:p w:rsidR="00CE3EA1" w:rsidRPr="00FD7CD2" w:rsidRDefault="00CE3EA1" w:rsidP="00FD7CD2">
      <w:pPr>
        <w:widowControl/>
        <w:shd w:val="clear" w:color="auto" w:fill="FFFFFF"/>
        <w:spacing w:line="560" w:lineRule="exact"/>
        <w:jc w:val="center"/>
        <w:rPr>
          <w:rFonts w:ascii="微软雅黑" w:eastAsia="微软雅黑" w:hAnsi="微软雅黑" w:cs="宋体"/>
          <w:color w:val="333333"/>
          <w:kern w:val="0"/>
          <w:sz w:val="32"/>
          <w:szCs w:val="32"/>
        </w:rPr>
      </w:pPr>
      <w:r w:rsidRPr="00FD7CD2">
        <w:rPr>
          <w:rFonts w:ascii="方正小标宋简体" w:eastAsia="方正小标宋简体" w:hAnsi="方正小标宋简体" w:cs="宋体" w:hint="eastAsia"/>
          <w:color w:val="333333"/>
          <w:spacing w:val="8"/>
          <w:kern w:val="0"/>
          <w:sz w:val="32"/>
          <w:szCs w:val="32"/>
        </w:rPr>
        <w:t>特种设备事故报告和调查处理规定</w:t>
      </w:r>
    </w:p>
    <w:p w:rsidR="00CE3EA1" w:rsidRPr="00FD7CD2" w:rsidRDefault="00CE3EA1" w:rsidP="00FD7CD2">
      <w:pPr>
        <w:widowControl/>
        <w:shd w:val="clear" w:color="auto" w:fill="FFFFFF"/>
        <w:spacing w:line="560" w:lineRule="exact"/>
        <w:jc w:val="left"/>
        <w:rPr>
          <w:rFonts w:ascii="楷体_GB2312" w:eastAsia="楷体_GB2312" w:hAnsi="微软雅黑" w:cs="宋体"/>
          <w:color w:val="333333"/>
          <w:kern w:val="0"/>
          <w:sz w:val="32"/>
          <w:szCs w:val="32"/>
        </w:rPr>
      </w:pPr>
      <w:r w:rsidRPr="00FD7CD2">
        <w:rPr>
          <w:rFonts w:ascii="楷体_GB2312" w:eastAsia="楷体_GB2312" w:hAnsi="宋体" w:cs="宋体" w:hint="eastAsia"/>
          <w:color w:val="333333"/>
          <w:spacing w:val="8"/>
          <w:kern w:val="0"/>
          <w:sz w:val="32"/>
          <w:szCs w:val="32"/>
        </w:rPr>
        <w:t> </w:t>
      </w:r>
      <w:r w:rsidRPr="00FD7CD2">
        <w:rPr>
          <w:rFonts w:ascii="楷体_GB2312" w:eastAsia="楷体_GB2312" w:hAnsi="仿宋" w:cs="宋体" w:hint="eastAsia"/>
          <w:color w:val="333333"/>
          <w:kern w:val="0"/>
          <w:sz w:val="32"/>
          <w:szCs w:val="32"/>
        </w:rPr>
        <w:t>（2022年1月20日国家市场监督管理总局令第50号公布 自2022年3月1日起施行）</w:t>
      </w:r>
      <w:bookmarkStart w:id="0" w:name="_GoBack"/>
      <w:bookmarkEnd w:id="0"/>
    </w:p>
    <w:p w:rsidR="00CE3EA1" w:rsidRPr="00FD7CD2" w:rsidRDefault="00CE3EA1" w:rsidP="00FD7CD2">
      <w:pPr>
        <w:widowControl/>
        <w:shd w:val="clear" w:color="auto" w:fill="FFFFFF"/>
        <w:spacing w:line="560" w:lineRule="exact"/>
        <w:jc w:val="center"/>
        <w:rPr>
          <w:rFonts w:ascii="微软雅黑" w:eastAsia="微软雅黑" w:hAnsi="微软雅黑" w:cs="宋体"/>
          <w:color w:val="333333"/>
          <w:kern w:val="0"/>
          <w:sz w:val="32"/>
          <w:szCs w:val="32"/>
        </w:rPr>
      </w:pPr>
    </w:p>
    <w:p w:rsidR="00CE3EA1" w:rsidRPr="00FD7CD2" w:rsidRDefault="00CE3EA1" w:rsidP="00FD7CD2">
      <w:pPr>
        <w:widowControl/>
        <w:shd w:val="clear" w:color="auto" w:fill="FFFFFF"/>
        <w:spacing w:line="560" w:lineRule="exact"/>
        <w:jc w:val="center"/>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第一章</w:t>
      </w:r>
      <w:r w:rsidRPr="00FD7CD2">
        <w:rPr>
          <w:rFonts w:ascii="宋体" w:eastAsia="宋体" w:hAnsi="宋体" w:cs="宋体" w:hint="eastAsia"/>
          <w:color w:val="333333"/>
          <w:kern w:val="0"/>
          <w:sz w:val="32"/>
          <w:szCs w:val="32"/>
        </w:rPr>
        <w:t> </w:t>
      </w:r>
      <w:r w:rsidRPr="00FD7CD2">
        <w:rPr>
          <w:rFonts w:ascii="黑体" w:eastAsia="黑体" w:hAnsi="黑体" w:cs="宋体" w:hint="eastAsia"/>
          <w:color w:val="333333"/>
          <w:kern w:val="0"/>
          <w:sz w:val="32"/>
          <w:szCs w:val="32"/>
        </w:rPr>
        <w:t>总则</w:t>
      </w:r>
    </w:p>
    <w:p w:rsidR="00CE3EA1" w:rsidRPr="00FD7CD2" w:rsidRDefault="00CE3EA1" w:rsidP="00FD7CD2">
      <w:pPr>
        <w:widowControl/>
        <w:shd w:val="clear" w:color="auto" w:fill="FFFFFF"/>
        <w:spacing w:line="560" w:lineRule="exact"/>
        <w:rPr>
          <w:rFonts w:ascii="微软雅黑" w:eastAsia="微软雅黑" w:hAnsi="微软雅黑" w:cs="宋体"/>
          <w:color w:val="333333"/>
          <w:kern w:val="0"/>
          <w:sz w:val="32"/>
          <w:szCs w:val="32"/>
        </w:rPr>
      </w:pPr>
      <w:r w:rsidRPr="00FD7CD2">
        <w:rPr>
          <w:rFonts w:ascii="宋体" w:eastAsia="宋体" w:hAnsi="宋体" w:cs="宋体" w:hint="eastAsia"/>
          <w:color w:val="333333"/>
          <w:kern w:val="0"/>
          <w:sz w:val="32"/>
          <w:szCs w:val="32"/>
        </w:rPr>
        <w:t> </w:t>
      </w:r>
      <w:r w:rsidRPr="00FD7CD2">
        <w:rPr>
          <w:rFonts w:ascii="黑体" w:eastAsia="黑体" w:hAnsi="黑体" w:cs="宋体" w:hint="eastAsia"/>
          <w:color w:val="333333"/>
          <w:kern w:val="0"/>
          <w:sz w:val="32"/>
          <w:szCs w:val="32"/>
        </w:rPr>
        <w:t>第一条</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为了规范特种设备事故报告和调查处理工作，及时准确查清事故原因，明确事故责任，预防和减少事故发生，根据《中华人民共和国特种设备安全法》《特种设备安全监察条例》等有关法律、行政法规的规定，制定本规定。</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第二条</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本规定所称特种设备事故，是指列入特种设备目录的特种设备因其本体原因及其安全装置或者附件损坏、失效，或</w:t>
      </w:r>
      <w:r w:rsidRPr="00FD7CD2">
        <w:rPr>
          <w:rFonts w:ascii="仿宋_GB2312" w:eastAsia="仿宋_GB2312" w:hAnsi="微软雅黑" w:cs="宋体" w:hint="eastAsia"/>
          <w:color w:val="333333"/>
          <w:kern w:val="0"/>
          <w:sz w:val="32"/>
          <w:szCs w:val="32"/>
        </w:rPr>
        <w:lastRenderedPageBreak/>
        <w:t>者特种设备相关人员违反特种设备法律法规规章、安全技术规范造成的事故。</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第三条</w:t>
      </w:r>
      <w:r w:rsidRPr="00FD7CD2">
        <w:rPr>
          <w:rFonts w:ascii="仿宋_GB2312" w:eastAsia="仿宋_GB2312" w:hAnsi="微软雅黑" w:cs="宋体" w:hint="eastAsia"/>
          <w:b/>
          <w:bCs/>
          <w:color w:val="333333"/>
          <w:kern w:val="0"/>
          <w:sz w:val="32"/>
          <w:szCs w:val="32"/>
        </w:rPr>
        <w:t> </w:t>
      </w:r>
      <w:r w:rsidRPr="00FD7CD2">
        <w:rPr>
          <w:rFonts w:ascii="仿宋_GB2312" w:eastAsia="仿宋_GB2312" w:hAnsi="微软雅黑" w:cs="宋体" w:hint="eastAsia"/>
          <w:color w:val="333333"/>
          <w:kern w:val="0"/>
          <w:sz w:val="32"/>
          <w:szCs w:val="32"/>
        </w:rPr>
        <w:t>以下情形不属于本规定所称特种设备事故：</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（一）《中华人民共和国特种设备安全法》第一百条规定的特种设备造成的事故；</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（二）自然灾害等不可抗力或者交通事故、火灾事故等外部因素引发的事故；</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（三）人为破坏或者利用特种设备实施违法犯罪导致的事故；</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（四）特种设备具备使用功能前或者在拆卸、报废、转移等非作业状态下发生的事故；</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（五）特种设备作业、检验、检测人员因劳动保护措施不当或者缺失而发生的事故；</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（六）场（厂）内专用机动车辆驶出规定的工厂厂区、旅游景区、游乐场所等特定区域发生的事故。</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第四条</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国家市场监督管理总局负责监督指导全国特种设备事故报告、调查和处理工作。</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各级市场监督管理部门在本级人民政府的领导和上级市场监督管理部门指导下，依法开展特种设备事故报告、调查和处理工作。</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第五条</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特种设备事故报告应当及时、准确、完整，任何单位和个人不得迟报、漏报、谎报或者瞒报。</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lastRenderedPageBreak/>
        <w:t>特种设备事故调查处理应当实事求是、客观公正、尊重科学，及时、准确地查清事故经过、事故原因和事故损失，查明事故性质，认定事故责任，提出处理建议和整改措施。</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第六条</w:t>
      </w:r>
      <w:r w:rsidRPr="00FD7CD2">
        <w:rPr>
          <w:rFonts w:ascii="宋体" w:eastAsia="宋体" w:hAnsi="宋体" w:cs="宋体" w:hint="eastAsia"/>
          <w:color w:val="333333"/>
          <w:kern w:val="0"/>
          <w:sz w:val="32"/>
          <w:szCs w:val="32"/>
        </w:rPr>
        <w:t> </w:t>
      </w:r>
      <w:r w:rsidRPr="00FD7CD2">
        <w:rPr>
          <w:rFonts w:ascii="仿宋_GB2312" w:eastAsia="仿宋_GB2312" w:hAnsi="微软雅黑" w:cs="宋体" w:hint="eastAsia"/>
          <w:color w:val="333333"/>
          <w:kern w:val="0"/>
          <w:sz w:val="32"/>
          <w:szCs w:val="32"/>
        </w:rPr>
        <w:t>任何单位和个人不得阻挠和干涉特种设备事故报告、调查和处理工作。</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对特种设备事故报告、调查和处理中的违法行为，任何单位和个人有权向市场监督管理部门和其他有关部门举报，接到举报的部门应当依法及时处理。</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 </w:t>
      </w:r>
    </w:p>
    <w:p w:rsidR="00CE3EA1" w:rsidRPr="00FD7CD2" w:rsidRDefault="00CE3EA1" w:rsidP="00FD7CD2">
      <w:pPr>
        <w:widowControl/>
        <w:shd w:val="clear" w:color="auto" w:fill="FFFFFF"/>
        <w:spacing w:line="560" w:lineRule="exact"/>
        <w:jc w:val="center"/>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第二章</w:t>
      </w:r>
      <w:r w:rsidRPr="00FD7CD2">
        <w:rPr>
          <w:rFonts w:ascii="宋体" w:eastAsia="宋体" w:hAnsi="宋体" w:cs="宋体" w:hint="eastAsia"/>
          <w:color w:val="333333"/>
          <w:kern w:val="0"/>
          <w:sz w:val="32"/>
          <w:szCs w:val="32"/>
        </w:rPr>
        <w:t> </w:t>
      </w:r>
      <w:r w:rsidRPr="00FD7CD2">
        <w:rPr>
          <w:rFonts w:ascii="黑体" w:eastAsia="黑体" w:hAnsi="黑体" w:cs="宋体" w:hint="eastAsia"/>
          <w:color w:val="333333"/>
          <w:kern w:val="0"/>
          <w:sz w:val="32"/>
          <w:szCs w:val="32"/>
        </w:rPr>
        <w:t>事故报告</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第七条</w:t>
      </w:r>
      <w:r w:rsidRPr="00FD7CD2">
        <w:rPr>
          <w:rFonts w:ascii="宋体" w:eastAsia="宋体" w:hAnsi="宋体" w:cs="宋体" w:hint="eastAsia"/>
          <w:color w:val="333333"/>
          <w:kern w:val="0"/>
          <w:sz w:val="32"/>
          <w:szCs w:val="32"/>
        </w:rPr>
        <w:t> </w:t>
      </w:r>
      <w:r w:rsidRPr="00FD7CD2">
        <w:rPr>
          <w:rFonts w:ascii="仿宋_GB2312" w:eastAsia="仿宋_GB2312" w:hAnsi="微软雅黑" w:cs="宋体" w:hint="eastAsia"/>
          <w:color w:val="333333"/>
          <w:kern w:val="0"/>
          <w:sz w:val="32"/>
          <w:szCs w:val="32"/>
        </w:rPr>
        <w:t>特种设备发生事故后，事故现场有关人员应当立即向事故发生单位负责人报告；事故发生单位的负责人接到报告后，应当于1小时内向事故发生地的县级以上市场监督管理部门和有关部门报告。</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情况紧急时，事故现场有关人员可以直接向事故发生地的县级以上市场监督管理部门报告。</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第八条</w:t>
      </w:r>
      <w:r w:rsidRPr="00FD7CD2">
        <w:rPr>
          <w:rFonts w:ascii="宋体" w:eastAsia="宋体" w:hAnsi="宋体" w:cs="宋体" w:hint="eastAsia"/>
          <w:color w:val="333333"/>
          <w:kern w:val="0"/>
          <w:sz w:val="32"/>
          <w:szCs w:val="32"/>
        </w:rPr>
        <w:t> </w:t>
      </w:r>
      <w:r w:rsidRPr="00FD7CD2">
        <w:rPr>
          <w:rFonts w:ascii="仿宋_GB2312" w:eastAsia="仿宋_GB2312" w:hAnsi="微软雅黑" w:cs="宋体" w:hint="eastAsia"/>
          <w:color w:val="333333"/>
          <w:kern w:val="0"/>
          <w:sz w:val="32"/>
          <w:szCs w:val="32"/>
        </w:rPr>
        <w:t>市场监督管理部门接到有关特种设备事故报告后，应当立即组织查证核实。属于特种设备事故的，应当向本级人民政府报告，并逐级报告上级市场监督管理部门直至国家市场监督管理总局。每级上报的时间不得超过2小时。必要时，可以越级上报事故情况。</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对于一般事故、较大事故，接到事故报告的市场监督管理部门应当及时通报同级有关部门。对于重大事故、特别重大事故，</w:t>
      </w:r>
      <w:r w:rsidRPr="00FD7CD2">
        <w:rPr>
          <w:rFonts w:ascii="仿宋_GB2312" w:eastAsia="仿宋_GB2312" w:hAnsi="微软雅黑" w:cs="宋体" w:hint="eastAsia"/>
          <w:color w:val="333333"/>
          <w:kern w:val="0"/>
          <w:sz w:val="32"/>
          <w:szCs w:val="32"/>
        </w:rPr>
        <w:lastRenderedPageBreak/>
        <w:t>国家市场监督管理总局应当立即报告国务院并及时通报国务院有关部门。</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事故发生地与事故发生单位所在地不在同一行政区域的，事故发生地市场监督管理部门应当及时通知事故发生单位所在地市场监督管理部门。事故发生单位所在地市场监督管理部门应当配合做好事故调查处理相关工作。</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第九条</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市场监督管理部门逐级上报事故信息，应当采用快捷便利的通讯方式进行上报，同时通过特种设备事故管理系统进行上报。现场无法通过特种设备事故管理系统上报的，应当在接到事故报告后24小时内通过系统进行补报。</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第十条</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事故报告应当包括以下内容：</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（一）事故发生的时间、地点、单位概况以及特种设备种类；</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（二）事故发生简要经过、现场破坏情况、已经造成或者可能造成的伤亡和涉险人数、初步估计的直接经济损失；</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（三）已经采取的措施；</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（四）报告人姓名、联系电话；</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（五）其他有必要报告的情况。</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第十一条</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事故报告后出现新情况的，以及对情况尚未报告清楚的，应当及时逐级续报。</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自事故发生之日起30日内，事故伤亡人数发生变化的，应当在发生变化的24小时内及时续报。</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第十二条</w:t>
      </w:r>
      <w:r w:rsidRPr="00FD7CD2">
        <w:rPr>
          <w:rFonts w:ascii="宋体" w:eastAsia="宋体" w:hAnsi="宋体" w:cs="宋体" w:hint="eastAsia"/>
          <w:color w:val="333333"/>
          <w:kern w:val="0"/>
          <w:sz w:val="32"/>
          <w:szCs w:val="32"/>
        </w:rPr>
        <w:t> </w:t>
      </w:r>
      <w:r w:rsidRPr="00FD7CD2">
        <w:rPr>
          <w:rFonts w:ascii="仿宋_GB2312" w:eastAsia="仿宋_GB2312" w:hAnsi="微软雅黑" w:cs="宋体" w:hint="eastAsia"/>
          <w:color w:val="333333"/>
          <w:kern w:val="0"/>
          <w:sz w:val="32"/>
          <w:szCs w:val="32"/>
        </w:rPr>
        <w:t>事故发生地县级市</w:t>
      </w:r>
      <w:proofErr w:type="gramStart"/>
      <w:r w:rsidRPr="00FD7CD2">
        <w:rPr>
          <w:rFonts w:ascii="仿宋_GB2312" w:eastAsia="仿宋_GB2312" w:hAnsi="微软雅黑" w:cs="宋体" w:hint="eastAsia"/>
          <w:color w:val="333333"/>
          <w:kern w:val="0"/>
          <w:sz w:val="32"/>
          <w:szCs w:val="32"/>
        </w:rPr>
        <w:t>场监督</w:t>
      </w:r>
      <w:proofErr w:type="gramEnd"/>
      <w:r w:rsidRPr="00FD7CD2">
        <w:rPr>
          <w:rFonts w:ascii="仿宋_GB2312" w:eastAsia="仿宋_GB2312" w:hAnsi="微软雅黑" w:cs="宋体" w:hint="eastAsia"/>
          <w:color w:val="333333"/>
          <w:kern w:val="0"/>
          <w:sz w:val="32"/>
          <w:szCs w:val="32"/>
        </w:rPr>
        <w:t>管理部门接到事故报告后，应当及时派员赶赴事故现场，并按照特种设备应急预案的</w:t>
      </w:r>
      <w:r w:rsidRPr="00FD7CD2">
        <w:rPr>
          <w:rFonts w:ascii="仿宋_GB2312" w:eastAsia="仿宋_GB2312" w:hAnsi="微软雅黑" w:cs="宋体" w:hint="eastAsia"/>
          <w:color w:val="333333"/>
          <w:kern w:val="0"/>
          <w:sz w:val="32"/>
          <w:szCs w:val="32"/>
        </w:rPr>
        <w:lastRenderedPageBreak/>
        <w:t>分工，在当地人民政府的领导下积极组织开展事故应急救援工作。</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上级市场监督管理部门认为有必要时，可以派员赶赴事故现场进行指导，事故发生地县级以上市场监督管理部门应当积极配合。</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第十三条</w:t>
      </w:r>
      <w:r w:rsidRPr="00FD7CD2">
        <w:rPr>
          <w:rFonts w:ascii="仿宋_GB2312" w:eastAsia="仿宋_GB2312" w:hAnsi="微软雅黑" w:cs="宋体" w:hint="eastAsia"/>
          <w:b/>
          <w:bCs/>
          <w:color w:val="333333"/>
          <w:kern w:val="0"/>
          <w:sz w:val="32"/>
          <w:szCs w:val="32"/>
        </w:rPr>
        <w:t> </w:t>
      </w:r>
      <w:r w:rsidRPr="00FD7CD2">
        <w:rPr>
          <w:rFonts w:ascii="仿宋_GB2312" w:eastAsia="仿宋_GB2312" w:hAnsi="微软雅黑" w:cs="宋体" w:hint="eastAsia"/>
          <w:color w:val="333333"/>
          <w:kern w:val="0"/>
          <w:sz w:val="32"/>
          <w:szCs w:val="32"/>
        </w:rPr>
        <w:t>各级市场监督管理部门应当依法组织制定特种设备事故应急预案，建立应急值班制度，并向社会公布值班电话，接收特种设备事故报告信息。</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 </w:t>
      </w:r>
    </w:p>
    <w:p w:rsidR="00CE3EA1" w:rsidRPr="00FD7CD2" w:rsidRDefault="00CE3EA1" w:rsidP="00FD7CD2">
      <w:pPr>
        <w:widowControl/>
        <w:shd w:val="clear" w:color="auto" w:fill="FFFFFF"/>
        <w:spacing w:line="560" w:lineRule="exact"/>
        <w:jc w:val="center"/>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第三章</w:t>
      </w:r>
      <w:r w:rsidRPr="00FD7CD2">
        <w:rPr>
          <w:rFonts w:ascii="宋体" w:eastAsia="宋体" w:hAnsi="宋体" w:cs="宋体" w:hint="eastAsia"/>
          <w:color w:val="333333"/>
          <w:kern w:val="0"/>
          <w:sz w:val="32"/>
          <w:szCs w:val="32"/>
        </w:rPr>
        <w:t> </w:t>
      </w:r>
      <w:r w:rsidRPr="00FD7CD2">
        <w:rPr>
          <w:rFonts w:ascii="黑体" w:eastAsia="黑体" w:hAnsi="黑体" w:cs="宋体" w:hint="eastAsia"/>
          <w:color w:val="333333"/>
          <w:kern w:val="0"/>
          <w:sz w:val="32"/>
          <w:szCs w:val="32"/>
        </w:rPr>
        <w:t>事故调查</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第十四条</w:t>
      </w:r>
      <w:r w:rsidRPr="00FD7CD2">
        <w:rPr>
          <w:rFonts w:ascii="宋体" w:eastAsia="宋体" w:hAnsi="宋体" w:cs="宋体" w:hint="eastAsia"/>
          <w:color w:val="333333"/>
          <w:kern w:val="0"/>
          <w:sz w:val="32"/>
          <w:szCs w:val="32"/>
        </w:rPr>
        <w:t> </w:t>
      </w:r>
      <w:r w:rsidRPr="00FD7CD2">
        <w:rPr>
          <w:rFonts w:ascii="仿宋_GB2312" w:eastAsia="仿宋_GB2312" w:hAnsi="微软雅黑" w:cs="宋体" w:hint="eastAsia"/>
          <w:color w:val="333333"/>
          <w:kern w:val="0"/>
          <w:sz w:val="32"/>
          <w:szCs w:val="32"/>
        </w:rPr>
        <w:t>发生特种设备事故后，事故发生单位及其人员应当妥善保护事故现场以及相关证据，及时收集、整理有关资料，为事故调查做好准备；必要时，应当对设备、场地、资料进行封存，由专人看管。</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第十五条</w:t>
      </w:r>
      <w:r w:rsidRPr="00FD7CD2">
        <w:rPr>
          <w:rFonts w:ascii="宋体" w:eastAsia="宋体" w:hAnsi="宋体" w:cs="宋体" w:hint="eastAsia"/>
          <w:color w:val="333333"/>
          <w:kern w:val="0"/>
          <w:sz w:val="32"/>
          <w:szCs w:val="32"/>
        </w:rPr>
        <w:t> </w:t>
      </w:r>
      <w:r w:rsidRPr="00FD7CD2">
        <w:rPr>
          <w:rFonts w:ascii="仿宋_GB2312" w:eastAsia="仿宋_GB2312" w:hAnsi="微软雅黑" w:cs="宋体" w:hint="eastAsia"/>
          <w:color w:val="333333"/>
          <w:kern w:val="0"/>
          <w:sz w:val="32"/>
          <w:szCs w:val="32"/>
        </w:rPr>
        <w:t>特种设备事故调查依据特种设备安全法律、行政法规的相关规定，实行分级负责。</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市场监督管理部门接到事故报告后，经过现场初步判断，因客观原因暂时无法确定是否为特种设备事故的，应当及时报告本级人民政府，并按照本级人民政府的意见开展相关工作。</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第十六条</w:t>
      </w:r>
      <w:r w:rsidRPr="00FD7CD2">
        <w:rPr>
          <w:rFonts w:ascii="宋体" w:eastAsia="宋体" w:hAnsi="宋体" w:cs="宋体" w:hint="eastAsia"/>
          <w:color w:val="333333"/>
          <w:kern w:val="0"/>
          <w:sz w:val="32"/>
          <w:szCs w:val="32"/>
        </w:rPr>
        <w:t> </w:t>
      </w:r>
      <w:r w:rsidRPr="00FD7CD2">
        <w:rPr>
          <w:rFonts w:ascii="仿宋_GB2312" w:eastAsia="仿宋_GB2312" w:hAnsi="微软雅黑" w:cs="宋体" w:hint="eastAsia"/>
          <w:color w:val="333333"/>
          <w:kern w:val="0"/>
          <w:sz w:val="32"/>
          <w:szCs w:val="32"/>
        </w:rPr>
        <w:t>对于跨区域发生、事故调查处理情形复杂、舆论关注和群众反响强烈的特种设备事故等情况，上级市场监督管理部门可以对事故调查进行督办，必要时可以直接进行调查。</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自事故发生之日起30日内事故等级发生变化，依法应当由上级市场监督管理部门组织事故调查的，上级市场监督管理部门</w:t>
      </w:r>
      <w:r w:rsidRPr="00FD7CD2">
        <w:rPr>
          <w:rFonts w:ascii="仿宋_GB2312" w:eastAsia="仿宋_GB2312" w:hAnsi="微软雅黑" w:cs="宋体" w:hint="eastAsia"/>
          <w:color w:val="333333"/>
          <w:kern w:val="0"/>
          <w:sz w:val="32"/>
          <w:szCs w:val="32"/>
        </w:rPr>
        <w:lastRenderedPageBreak/>
        <w:t>可以会同本级有关部门进行事故调查，也可以经本级人民政府批准，委托下级市场监督管理部门继续组织进行事故调查。</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自事故发生之日起超过30日，事故造成的伤亡人数或者直接经济损失发生变化的，按照原事故等级组织事故调查。</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第十七条</w:t>
      </w:r>
      <w:r w:rsidRPr="00FD7CD2">
        <w:rPr>
          <w:rFonts w:ascii="宋体" w:eastAsia="宋体" w:hAnsi="宋体" w:cs="宋体" w:hint="eastAsia"/>
          <w:color w:val="333333"/>
          <w:kern w:val="0"/>
          <w:sz w:val="32"/>
          <w:szCs w:val="32"/>
        </w:rPr>
        <w:t> </w:t>
      </w:r>
      <w:r w:rsidRPr="00FD7CD2">
        <w:rPr>
          <w:rFonts w:ascii="仿宋_GB2312" w:eastAsia="仿宋_GB2312" w:hAnsi="微软雅黑" w:cs="宋体" w:hint="eastAsia"/>
          <w:color w:val="333333"/>
          <w:kern w:val="0"/>
          <w:sz w:val="32"/>
          <w:szCs w:val="32"/>
        </w:rPr>
        <w:t>对无重大社会影响、无人员死亡且事故原因明晰的特种设备一般事故和较大事故，负责组织事故调查的市场监督管理部门，报本级人民政府批准后，可以由市场监督管理部门独立开展事故调查工作。必要时，经本级人民政府批准，可以委托下级市场监督管理部门组织事故调查。</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第十八条</w:t>
      </w:r>
      <w:r w:rsidRPr="00FD7CD2">
        <w:rPr>
          <w:rFonts w:ascii="宋体" w:eastAsia="宋体" w:hAnsi="宋体" w:cs="宋体" w:hint="eastAsia"/>
          <w:color w:val="333333"/>
          <w:kern w:val="0"/>
          <w:sz w:val="32"/>
          <w:szCs w:val="32"/>
        </w:rPr>
        <w:t> </w:t>
      </w:r>
      <w:r w:rsidRPr="00FD7CD2">
        <w:rPr>
          <w:rFonts w:ascii="仿宋_GB2312" w:eastAsia="仿宋_GB2312" w:hAnsi="微软雅黑" w:cs="宋体" w:hint="eastAsia"/>
          <w:color w:val="333333"/>
          <w:kern w:val="0"/>
          <w:sz w:val="32"/>
          <w:szCs w:val="32"/>
        </w:rPr>
        <w:t>负责组织事故调查的市场监督管理部门应当报请本级人民政府批准成立事故调查组。</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根据事故的具体情况，事故调查</w:t>
      </w:r>
      <w:proofErr w:type="gramStart"/>
      <w:r w:rsidRPr="00FD7CD2">
        <w:rPr>
          <w:rFonts w:ascii="仿宋_GB2312" w:eastAsia="仿宋_GB2312" w:hAnsi="微软雅黑" w:cs="宋体" w:hint="eastAsia"/>
          <w:color w:val="333333"/>
          <w:kern w:val="0"/>
          <w:sz w:val="32"/>
          <w:szCs w:val="32"/>
        </w:rPr>
        <w:t>组一般</w:t>
      </w:r>
      <w:proofErr w:type="gramEnd"/>
      <w:r w:rsidRPr="00FD7CD2">
        <w:rPr>
          <w:rFonts w:ascii="仿宋_GB2312" w:eastAsia="仿宋_GB2312" w:hAnsi="微软雅黑" w:cs="宋体" w:hint="eastAsia"/>
          <w:color w:val="333333"/>
          <w:kern w:val="0"/>
          <w:sz w:val="32"/>
          <w:szCs w:val="32"/>
        </w:rPr>
        <w:t>应当由市场监督管理部门会同有关部门组成。</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事故调查组组长由负责事故调查的市场监督管理部门负责人或者指定的人员担任。</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第十九条</w:t>
      </w:r>
      <w:r w:rsidRPr="00FD7CD2">
        <w:rPr>
          <w:rFonts w:ascii="宋体" w:eastAsia="宋体" w:hAnsi="宋体" w:cs="宋体" w:hint="eastAsia"/>
          <w:color w:val="333333"/>
          <w:kern w:val="0"/>
          <w:sz w:val="32"/>
          <w:szCs w:val="32"/>
        </w:rPr>
        <w:t> </w:t>
      </w:r>
      <w:r w:rsidRPr="00FD7CD2">
        <w:rPr>
          <w:rFonts w:ascii="仿宋_GB2312" w:eastAsia="仿宋_GB2312" w:hAnsi="微软雅黑" w:cs="宋体" w:hint="eastAsia"/>
          <w:color w:val="333333"/>
          <w:kern w:val="0"/>
          <w:sz w:val="32"/>
          <w:szCs w:val="32"/>
        </w:rPr>
        <w:t>事故调查组应当履行下列职责：</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（一）查清事故发生前的特种设备状况；</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（二）查明事故经过、人员伤亡、特种设备损坏、直接经济损失情况及其它后果；</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（三）分析事故原因；</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（四）认定事故性质和事故责任；</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（五）提出对事故责任单位和责任人员的处理建议；</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（六）总结事故教训，提出防范类似事故发生和整改措施的建议；</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lastRenderedPageBreak/>
        <w:t>（七）提交事故调查报告；</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（八）整理并移交有关事故调查资料。</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第二十条</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事故调查组成员应当具有特种设备事故调查工作所需要的知识和专长，与事故发生单位及相关人员不存在直接利害关系。</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事故调查组成员应当服从调查组组长领导，在事故调查工作中正确履行职责，诚信公正，遵守事故调查组的纪律，不得泄露有关事故调查信息。</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第二十一条</w:t>
      </w:r>
      <w:r w:rsidRPr="00FD7CD2">
        <w:rPr>
          <w:rFonts w:ascii="宋体" w:eastAsia="宋体" w:hAnsi="宋体" w:cs="宋体" w:hint="eastAsia"/>
          <w:color w:val="333333"/>
          <w:kern w:val="0"/>
          <w:sz w:val="32"/>
          <w:szCs w:val="32"/>
        </w:rPr>
        <w:t> </w:t>
      </w:r>
      <w:r w:rsidRPr="00FD7CD2">
        <w:rPr>
          <w:rFonts w:ascii="仿宋_GB2312" w:eastAsia="仿宋_GB2312" w:hAnsi="微软雅黑" w:cs="宋体" w:hint="eastAsia"/>
          <w:color w:val="333333"/>
          <w:kern w:val="0"/>
          <w:sz w:val="32"/>
          <w:szCs w:val="32"/>
        </w:rPr>
        <w:t>根据事故调查工作需要，事故调查组可以聘请有关专家参与事故调查；所聘请的专家应当具备特种设备安全监督管理、生产、检验检测或者科研教学等相关工作经验。设区的市级以上市场监督管理部门可以根据事故调查工作需要，组建特种设备事故调查专家库。</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第二十二条</w:t>
      </w:r>
      <w:r w:rsidRPr="00FD7CD2">
        <w:rPr>
          <w:rFonts w:ascii="宋体" w:eastAsia="宋体" w:hAnsi="宋体" w:cs="宋体" w:hint="eastAsia"/>
          <w:color w:val="333333"/>
          <w:kern w:val="0"/>
          <w:sz w:val="32"/>
          <w:szCs w:val="32"/>
        </w:rPr>
        <w:t> </w:t>
      </w:r>
      <w:r w:rsidRPr="00FD7CD2">
        <w:rPr>
          <w:rFonts w:ascii="仿宋_GB2312" w:eastAsia="仿宋_GB2312" w:hAnsi="微软雅黑" w:cs="宋体" w:hint="eastAsia"/>
          <w:color w:val="333333"/>
          <w:kern w:val="0"/>
          <w:sz w:val="32"/>
          <w:szCs w:val="32"/>
        </w:rPr>
        <w:t>事故调查组有权向有关单位和个人了解与事故有关的情况，并要求其提供相关文件、资料。有关单位和个人不得拒绝，并对所提供情况和文件、资料的真实性负责。</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事故发生单位的负责人和有关人员在事故调查期间不得擅离职守，并应当随时接受事故调查组的询问。</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第二十三条</w:t>
      </w:r>
      <w:r w:rsidRPr="00FD7CD2">
        <w:rPr>
          <w:rFonts w:ascii="宋体" w:eastAsia="宋体" w:hAnsi="宋体" w:cs="宋体" w:hint="eastAsia"/>
          <w:color w:val="333333"/>
          <w:kern w:val="0"/>
          <w:sz w:val="32"/>
          <w:szCs w:val="32"/>
        </w:rPr>
        <w:t> </w:t>
      </w:r>
      <w:r w:rsidRPr="00FD7CD2">
        <w:rPr>
          <w:rFonts w:ascii="仿宋_GB2312" w:eastAsia="仿宋_GB2312" w:hAnsi="微软雅黑" w:cs="宋体" w:hint="eastAsia"/>
          <w:color w:val="333333"/>
          <w:kern w:val="0"/>
          <w:sz w:val="32"/>
          <w:szCs w:val="32"/>
        </w:rPr>
        <w:t>事故调查组应当依法严格开展事故现场保护、勘察、询问及调查取证等相关工作。</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事故调查期间未经事故调查组同意，任何单位和个人不得擅自移动事故相关设备，不得隐匿、毁灭有关资料、物品，不得伪造或者故意破坏事故现场。</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lastRenderedPageBreak/>
        <w:t>第二十四条</w:t>
      </w:r>
      <w:r w:rsidRPr="00FD7CD2">
        <w:rPr>
          <w:rFonts w:ascii="宋体" w:eastAsia="宋体" w:hAnsi="宋体" w:cs="宋体" w:hint="eastAsia"/>
          <w:color w:val="333333"/>
          <w:kern w:val="0"/>
          <w:sz w:val="32"/>
          <w:szCs w:val="32"/>
        </w:rPr>
        <w:t> </w:t>
      </w:r>
      <w:r w:rsidRPr="00FD7CD2">
        <w:rPr>
          <w:rFonts w:ascii="仿宋_GB2312" w:eastAsia="仿宋_GB2312" w:hAnsi="微软雅黑" w:cs="宋体" w:hint="eastAsia"/>
          <w:color w:val="333333"/>
          <w:kern w:val="0"/>
          <w:sz w:val="32"/>
          <w:szCs w:val="32"/>
        </w:rPr>
        <w:t>事故调查中需要进行技术鉴定的，事故调查组应当委托相关单位进行技术鉴定，接受委托的单位应当出具技术鉴定报告，并对其结论负责。</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第二十五条</w:t>
      </w:r>
      <w:r w:rsidRPr="00FD7CD2">
        <w:rPr>
          <w:rFonts w:ascii="宋体" w:eastAsia="宋体" w:hAnsi="宋体" w:cs="宋体" w:hint="eastAsia"/>
          <w:color w:val="333333"/>
          <w:kern w:val="0"/>
          <w:sz w:val="32"/>
          <w:szCs w:val="32"/>
        </w:rPr>
        <w:t> </w:t>
      </w:r>
      <w:r w:rsidRPr="00FD7CD2">
        <w:rPr>
          <w:rFonts w:ascii="仿宋_GB2312" w:eastAsia="仿宋_GB2312" w:hAnsi="微软雅黑" w:cs="宋体" w:hint="eastAsia"/>
          <w:color w:val="333333"/>
          <w:kern w:val="0"/>
          <w:sz w:val="32"/>
          <w:szCs w:val="32"/>
        </w:rPr>
        <w:t>事故调查组认为需要对特种设备事故进行直接经济损失评估的，可以委托依法成立的评估机构进行。接受委托的评估机构应当出具评估报告，并对其结论负责。</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第二十六条</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事故调查组应当在全面审查证据的基础上查明引发事故的原因，认定事故性质。</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第二十七条</w:t>
      </w:r>
      <w:r w:rsidRPr="00FD7CD2">
        <w:rPr>
          <w:rFonts w:ascii="宋体" w:eastAsia="宋体" w:hAnsi="宋体" w:cs="宋体" w:hint="eastAsia"/>
          <w:color w:val="333333"/>
          <w:kern w:val="0"/>
          <w:sz w:val="32"/>
          <w:szCs w:val="32"/>
        </w:rPr>
        <w:t> </w:t>
      </w:r>
      <w:r w:rsidRPr="00FD7CD2">
        <w:rPr>
          <w:rFonts w:ascii="仿宋_GB2312" w:eastAsia="仿宋_GB2312" w:hAnsi="微软雅黑" w:cs="宋体" w:hint="eastAsia"/>
          <w:color w:val="333333"/>
          <w:kern w:val="0"/>
          <w:sz w:val="32"/>
          <w:szCs w:val="32"/>
        </w:rPr>
        <w:t>事故调查组应当根据事故的主要原因和次要原因，认定事故责任。</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事故调查组应当根据责任单位和责任人员行为与特种设备事故发生及其后果之间的因果关系，以及在特种设备事故中的影响程度，认定责任单位和责任人员所负的责任。责任单位和责任人员所负的责任分为全部责任、主要责任和次要责任。</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责任单位或者责任人员伪造或者故意破坏事故现场，毁灭、伪造或者隐匿证据，瞒报或者谎报事故等，致使事故责任无法认定的，应当承担全部责任。</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第二十八条</w:t>
      </w:r>
      <w:r w:rsidRPr="00FD7CD2">
        <w:rPr>
          <w:rFonts w:ascii="宋体" w:eastAsia="宋体" w:hAnsi="宋体" w:cs="宋体" w:hint="eastAsia"/>
          <w:color w:val="333333"/>
          <w:kern w:val="0"/>
          <w:sz w:val="32"/>
          <w:szCs w:val="32"/>
        </w:rPr>
        <w:t> </w:t>
      </w:r>
      <w:r w:rsidRPr="00FD7CD2">
        <w:rPr>
          <w:rFonts w:ascii="仿宋_GB2312" w:eastAsia="仿宋_GB2312" w:hAnsi="微软雅黑" w:cs="宋体" w:hint="eastAsia"/>
          <w:color w:val="333333"/>
          <w:kern w:val="0"/>
          <w:sz w:val="32"/>
          <w:szCs w:val="32"/>
        </w:rPr>
        <w:t>事故调查组应当向组织事故调查的市场监督管理部门提交事故调查报告。事故调查报告应当包括下列内容：</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（一）事故发生单位情况和发生事故设备情况；</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（二）事故发生经过和事故救援情况；</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（三）事故造成的人员伤亡、设备损坏程度和直接经济损失；</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（四）事故发生的原因和事故性质；</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lastRenderedPageBreak/>
        <w:t>（五）事故责任的认定以及对事故责任单位和责任人员的处理建议；</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（六）事故防范和整改措施；</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（七）技术鉴定报告等有关证据材料。</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事故调查报告应当由事故调查组集体会审，并经事故调查组全体成员签名。事故调查组成员有不同意见的，可以提交个人签名的书面材料，附在事故调查报告内。</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第二十九条</w:t>
      </w:r>
      <w:r w:rsidRPr="00FD7CD2">
        <w:rPr>
          <w:rFonts w:ascii="宋体" w:eastAsia="宋体" w:hAnsi="宋体" w:cs="宋体" w:hint="eastAsia"/>
          <w:color w:val="333333"/>
          <w:kern w:val="0"/>
          <w:sz w:val="32"/>
          <w:szCs w:val="32"/>
        </w:rPr>
        <w:t> </w:t>
      </w:r>
      <w:r w:rsidRPr="00FD7CD2">
        <w:rPr>
          <w:rFonts w:ascii="仿宋_GB2312" w:eastAsia="仿宋_GB2312" w:hAnsi="微软雅黑" w:cs="宋体" w:hint="eastAsia"/>
          <w:color w:val="333333"/>
          <w:kern w:val="0"/>
          <w:sz w:val="32"/>
          <w:szCs w:val="32"/>
        </w:rPr>
        <w:t>组织事故调查的市场监督管理部门应当按照规定程序对事故调查报告以及资料进行完整性审核。必要时，可以向事故调查组提出追加调查的要求。</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第三十条</w:t>
      </w:r>
      <w:r w:rsidRPr="00FD7CD2">
        <w:rPr>
          <w:rFonts w:ascii="宋体" w:eastAsia="宋体" w:hAnsi="宋体" w:cs="宋体" w:hint="eastAsia"/>
          <w:color w:val="333333"/>
          <w:kern w:val="0"/>
          <w:sz w:val="32"/>
          <w:szCs w:val="32"/>
        </w:rPr>
        <w:t> </w:t>
      </w:r>
      <w:r w:rsidRPr="00FD7CD2">
        <w:rPr>
          <w:rFonts w:ascii="仿宋_GB2312" w:eastAsia="仿宋_GB2312" w:hAnsi="微软雅黑" w:cs="宋体" w:hint="eastAsia"/>
          <w:color w:val="333333"/>
          <w:kern w:val="0"/>
          <w:sz w:val="32"/>
          <w:szCs w:val="32"/>
        </w:rPr>
        <w:t>特种设备事故调查应当自事故调查组成立之日起60日内结束。特殊情况下，经组织调查的市场监督管理部门批准，事故调查期限可以适当延长，但延长的期限最长不超过60日。</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经济损失评估时间与技术鉴定时间不计入事故调查期限。</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因无法进行事故现场勘察的，事故调查期限</w:t>
      </w:r>
      <w:proofErr w:type="gramStart"/>
      <w:r w:rsidRPr="00FD7CD2">
        <w:rPr>
          <w:rFonts w:ascii="仿宋_GB2312" w:eastAsia="仿宋_GB2312" w:hAnsi="微软雅黑" w:cs="宋体" w:hint="eastAsia"/>
          <w:color w:val="333333"/>
          <w:kern w:val="0"/>
          <w:sz w:val="32"/>
          <w:szCs w:val="32"/>
        </w:rPr>
        <w:t>从具备</w:t>
      </w:r>
      <w:proofErr w:type="gramEnd"/>
      <w:r w:rsidRPr="00FD7CD2">
        <w:rPr>
          <w:rFonts w:ascii="仿宋_GB2312" w:eastAsia="仿宋_GB2312" w:hAnsi="微软雅黑" w:cs="宋体" w:hint="eastAsia"/>
          <w:color w:val="333333"/>
          <w:kern w:val="0"/>
          <w:sz w:val="32"/>
          <w:szCs w:val="32"/>
        </w:rPr>
        <w:t>现场勘察条件之日起计算。</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 </w:t>
      </w:r>
    </w:p>
    <w:p w:rsidR="00CE3EA1" w:rsidRPr="00FD7CD2" w:rsidRDefault="00CE3EA1" w:rsidP="00FD7CD2">
      <w:pPr>
        <w:widowControl/>
        <w:shd w:val="clear" w:color="auto" w:fill="FFFFFF"/>
        <w:spacing w:line="560" w:lineRule="exact"/>
        <w:jc w:val="center"/>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第四章</w:t>
      </w:r>
      <w:r w:rsidRPr="00FD7CD2">
        <w:rPr>
          <w:rFonts w:ascii="宋体" w:eastAsia="宋体" w:hAnsi="宋体" w:cs="宋体" w:hint="eastAsia"/>
          <w:color w:val="333333"/>
          <w:kern w:val="0"/>
          <w:sz w:val="32"/>
          <w:szCs w:val="32"/>
        </w:rPr>
        <w:t> </w:t>
      </w:r>
      <w:r w:rsidRPr="00FD7CD2">
        <w:rPr>
          <w:rFonts w:ascii="黑体" w:eastAsia="黑体" w:hAnsi="黑体" w:cs="宋体" w:hint="eastAsia"/>
          <w:color w:val="333333"/>
          <w:kern w:val="0"/>
          <w:sz w:val="32"/>
          <w:szCs w:val="32"/>
        </w:rPr>
        <w:t>事故处理</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第三十一条</w:t>
      </w:r>
      <w:r w:rsidRPr="00FD7CD2">
        <w:rPr>
          <w:rFonts w:ascii="宋体" w:eastAsia="宋体" w:hAnsi="宋体" w:cs="宋体" w:hint="eastAsia"/>
          <w:color w:val="333333"/>
          <w:kern w:val="0"/>
          <w:sz w:val="32"/>
          <w:szCs w:val="32"/>
        </w:rPr>
        <w:t> </w:t>
      </w:r>
      <w:r w:rsidRPr="00FD7CD2">
        <w:rPr>
          <w:rFonts w:ascii="仿宋_GB2312" w:eastAsia="仿宋_GB2312" w:hAnsi="微软雅黑" w:cs="宋体" w:hint="eastAsia"/>
          <w:color w:val="333333"/>
          <w:kern w:val="0"/>
          <w:sz w:val="32"/>
          <w:szCs w:val="32"/>
        </w:rPr>
        <w:t>事故调查结束后，组织事故调查的市场监督管理部门应当将事故调查报告报本级人民政府批复，并报上一级市场监督管理部门备案。</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第三十二条</w:t>
      </w:r>
      <w:r w:rsidRPr="00FD7CD2">
        <w:rPr>
          <w:rFonts w:ascii="宋体" w:eastAsia="宋体" w:hAnsi="宋体" w:cs="宋体" w:hint="eastAsia"/>
          <w:color w:val="333333"/>
          <w:kern w:val="0"/>
          <w:sz w:val="32"/>
          <w:szCs w:val="32"/>
        </w:rPr>
        <w:t> </w:t>
      </w:r>
      <w:r w:rsidRPr="00FD7CD2">
        <w:rPr>
          <w:rFonts w:ascii="仿宋_GB2312" w:eastAsia="仿宋_GB2312" w:hAnsi="微软雅黑" w:cs="宋体" w:hint="eastAsia"/>
          <w:color w:val="333333"/>
          <w:kern w:val="0"/>
          <w:sz w:val="32"/>
          <w:szCs w:val="32"/>
        </w:rPr>
        <w:t>组织事故调查的市场监督管理部门应当在接到批复之日起15日内，将事故调查报告及批复意见送达有关地</w:t>
      </w:r>
      <w:r w:rsidRPr="00FD7CD2">
        <w:rPr>
          <w:rFonts w:ascii="仿宋_GB2312" w:eastAsia="仿宋_GB2312" w:hAnsi="微软雅黑" w:cs="宋体" w:hint="eastAsia"/>
          <w:color w:val="333333"/>
          <w:kern w:val="0"/>
          <w:sz w:val="32"/>
          <w:szCs w:val="32"/>
        </w:rPr>
        <w:lastRenderedPageBreak/>
        <w:t>方人民政府及有关部门，并抄送事故发生单位、责任单位和责任人员。</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第三十三条</w:t>
      </w:r>
      <w:r w:rsidRPr="00FD7CD2">
        <w:rPr>
          <w:rFonts w:ascii="宋体" w:eastAsia="宋体" w:hAnsi="宋体" w:cs="宋体" w:hint="eastAsia"/>
          <w:color w:val="333333"/>
          <w:kern w:val="0"/>
          <w:sz w:val="32"/>
          <w:szCs w:val="32"/>
        </w:rPr>
        <w:t> </w:t>
      </w:r>
      <w:r w:rsidRPr="00FD7CD2">
        <w:rPr>
          <w:rFonts w:ascii="仿宋_GB2312" w:eastAsia="仿宋_GB2312" w:hAnsi="微软雅黑" w:cs="宋体" w:hint="eastAsia"/>
          <w:color w:val="333333"/>
          <w:kern w:val="0"/>
          <w:sz w:val="32"/>
          <w:szCs w:val="32"/>
        </w:rPr>
        <w:t>市场监督管理部门及有关部门应当根据批复后的事故调查报告，依照法定权限和程序，对负有事故责任的相关单位和人员实施行政处罚，对负有事故责任的公职人员进行处分。</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市场监督管理部门及其工作人员在特种设备事故调查和处理中存在违纪违法行为的，由纪检监察机关依法给予党纪政务处分。</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涉嫌犯罪的，依法移送监察机关、司法机关处理。</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第三十四条</w:t>
      </w:r>
      <w:r w:rsidRPr="00FD7CD2">
        <w:rPr>
          <w:rFonts w:ascii="宋体" w:eastAsia="宋体" w:hAnsi="宋体" w:cs="宋体" w:hint="eastAsia"/>
          <w:color w:val="333333"/>
          <w:kern w:val="0"/>
          <w:sz w:val="32"/>
          <w:szCs w:val="32"/>
        </w:rPr>
        <w:t> </w:t>
      </w:r>
      <w:r w:rsidRPr="00FD7CD2">
        <w:rPr>
          <w:rFonts w:ascii="仿宋_GB2312" w:eastAsia="仿宋_GB2312" w:hAnsi="微软雅黑" w:cs="宋体" w:hint="eastAsia"/>
          <w:color w:val="333333"/>
          <w:kern w:val="0"/>
          <w:sz w:val="32"/>
          <w:szCs w:val="32"/>
        </w:rPr>
        <w:t>事故发生单位及事故责任相关单位应当落实事故防范和整改措施。防范和整改措施的落实情况应当接受工会和职工的监督。</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事故责任单位应当及时将防范和整改措施的落实情况报事故发生地的市级市场监督管理部门。</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第三十五条</w:t>
      </w:r>
      <w:r w:rsidRPr="00FD7CD2">
        <w:rPr>
          <w:rFonts w:ascii="宋体" w:eastAsia="宋体" w:hAnsi="宋体" w:cs="宋体" w:hint="eastAsia"/>
          <w:color w:val="333333"/>
          <w:kern w:val="0"/>
          <w:sz w:val="32"/>
          <w:szCs w:val="32"/>
        </w:rPr>
        <w:t> </w:t>
      </w:r>
      <w:r w:rsidRPr="00FD7CD2">
        <w:rPr>
          <w:rFonts w:ascii="仿宋_GB2312" w:eastAsia="仿宋_GB2312" w:hAnsi="微软雅黑" w:cs="宋体" w:hint="eastAsia"/>
          <w:color w:val="333333"/>
          <w:kern w:val="0"/>
          <w:sz w:val="32"/>
          <w:szCs w:val="32"/>
        </w:rPr>
        <w:t>事故调查处理情况由组织调查的市场监督管理部门按照《中华人民共和国政府信息公开条例》的有关规定，依法向社会公开。</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第三十六条</w:t>
      </w:r>
      <w:r w:rsidRPr="00FD7CD2">
        <w:rPr>
          <w:rFonts w:ascii="宋体" w:eastAsia="宋体" w:hAnsi="宋体" w:cs="宋体" w:hint="eastAsia"/>
          <w:color w:val="333333"/>
          <w:kern w:val="0"/>
          <w:sz w:val="32"/>
          <w:szCs w:val="32"/>
        </w:rPr>
        <w:t> </w:t>
      </w:r>
      <w:r w:rsidRPr="00FD7CD2">
        <w:rPr>
          <w:rFonts w:ascii="仿宋_GB2312" w:eastAsia="仿宋_GB2312" w:hAnsi="微软雅黑" w:cs="宋体" w:hint="eastAsia"/>
          <w:color w:val="333333"/>
          <w:kern w:val="0"/>
          <w:sz w:val="32"/>
          <w:szCs w:val="32"/>
        </w:rPr>
        <w:t>事故调查的有关资料应当由组织事故调查的市场监督管理部门归档保存。</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仿宋_GB2312" w:eastAsia="仿宋_GB2312" w:hAnsi="微软雅黑" w:cs="宋体" w:hint="eastAsia"/>
          <w:color w:val="333333"/>
          <w:kern w:val="0"/>
          <w:sz w:val="32"/>
          <w:szCs w:val="32"/>
        </w:rPr>
        <w:t>归档保存的材料包括现场勘察笔录、技术鉴定报告、事故调查报告、事故批复文件等。</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lastRenderedPageBreak/>
        <w:t>第三十七条</w:t>
      </w:r>
      <w:r w:rsidRPr="00FD7CD2">
        <w:rPr>
          <w:rFonts w:ascii="仿宋_GB2312" w:eastAsia="仿宋_GB2312" w:hAnsi="微软雅黑" w:cs="宋体" w:hint="eastAsia"/>
          <w:color w:val="333333"/>
          <w:kern w:val="0"/>
          <w:sz w:val="32"/>
          <w:szCs w:val="32"/>
        </w:rPr>
        <w:t> </w:t>
      </w:r>
      <w:r w:rsidRPr="00FD7CD2">
        <w:rPr>
          <w:rFonts w:ascii="仿宋_GB2312" w:eastAsia="仿宋_GB2312" w:hAnsi="微软雅黑" w:cs="宋体" w:hint="eastAsia"/>
          <w:color w:val="333333"/>
          <w:kern w:val="0"/>
          <w:sz w:val="32"/>
          <w:szCs w:val="32"/>
        </w:rPr>
        <w:t>组织事故调查的市场监督管理部门应当在接到事故调查报告批复之日起30日内将事故调查报告和批复意见逐级上报至国家市场监督管理总局。</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第三十八条</w:t>
      </w:r>
      <w:r w:rsidRPr="00FD7CD2">
        <w:rPr>
          <w:rFonts w:ascii="宋体" w:eastAsia="宋体" w:hAnsi="宋体" w:cs="宋体" w:hint="eastAsia"/>
          <w:color w:val="333333"/>
          <w:kern w:val="0"/>
          <w:sz w:val="32"/>
          <w:szCs w:val="32"/>
        </w:rPr>
        <w:t> </w:t>
      </w:r>
      <w:r w:rsidRPr="00FD7CD2">
        <w:rPr>
          <w:rFonts w:ascii="仿宋_GB2312" w:eastAsia="仿宋_GB2312" w:hAnsi="微软雅黑" w:cs="宋体" w:hint="eastAsia"/>
          <w:color w:val="333333"/>
          <w:kern w:val="0"/>
          <w:sz w:val="32"/>
          <w:szCs w:val="32"/>
        </w:rPr>
        <w:t>组织事故调查的市场监督管理部门对事故调查中发现的需要制定或者修订的有关法律法规、安全技术规范和标准，应当及时报告上级市场监督管理部门，提出制定或者修订建议。</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第三十九条</w:t>
      </w:r>
      <w:r w:rsidRPr="00FD7CD2">
        <w:rPr>
          <w:rFonts w:ascii="宋体" w:eastAsia="宋体" w:hAnsi="宋体" w:cs="宋体" w:hint="eastAsia"/>
          <w:color w:val="333333"/>
          <w:kern w:val="0"/>
          <w:sz w:val="32"/>
          <w:szCs w:val="32"/>
        </w:rPr>
        <w:t> </w:t>
      </w:r>
      <w:r w:rsidRPr="00FD7CD2">
        <w:rPr>
          <w:rFonts w:ascii="仿宋_GB2312" w:eastAsia="仿宋_GB2312" w:hAnsi="微软雅黑" w:cs="宋体" w:hint="eastAsia"/>
          <w:color w:val="333333"/>
          <w:kern w:val="0"/>
          <w:sz w:val="32"/>
          <w:szCs w:val="32"/>
        </w:rPr>
        <w:t>各级市场监督管理部门应当定期对本行政区域特种设备事故的情况、特点、原因进行统计分析，根据特种设备的管理和技术特点、事故情况，研究制定有针对性的工作措施，防止和减少类似事故的发生。</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宋体" w:eastAsia="宋体" w:hAnsi="宋体" w:cs="宋体" w:hint="eastAsia"/>
          <w:color w:val="333333"/>
          <w:kern w:val="0"/>
          <w:sz w:val="32"/>
          <w:szCs w:val="32"/>
        </w:rPr>
        <w:t> </w:t>
      </w:r>
    </w:p>
    <w:p w:rsidR="00CE3EA1" w:rsidRPr="00FD7CD2" w:rsidRDefault="00CE3EA1" w:rsidP="00FD7CD2">
      <w:pPr>
        <w:widowControl/>
        <w:shd w:val="clear" w:color="auto" w:fill="FFFFFF"/>
        <w:spacing w:line="560" w:lineRule="exact"/>
        <w:jc w:val="center"/>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第五章</w:t>
      </w:r>
      <w:r w:rsidRPr="00FD7CD2">
        <w:rPr>
          <w:rFonts w:ascii="宋体" w:eastAsia="宋体" w:hAnsi="宋体" w:cs="宋体" w:hint="eastAsia"/>
          <w:color w:val="333333"/>
          <w:kern w:val="0"/>
          <w:sz w:val="32"/>
          <w:szCs w:val="32"/>
        </w:rPr>
        <w:t> </w:t>
      </w:r>
      <w:r w:rsidRPr="00FD7CD2">
        <w:rPr>
          <w:rFonts w:ascii="黑体" w:eastAsia="黑体" w:hAnsi="黑体" w:cs="宋体" w:hint="eastAsia"/>
          <w:color w:val="333333"/>
          <w:kern w:val="0"/>
          <w:sz w:val="32"/>
          <w:szCs w:val="32"/>
        </w:rPr>
        <w:t>附则</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第四十条</w:t>
      </w:r>
      <w:r w:rsidRPr="00FD7CD2">
        <w:rPr>
          <w:rFonts w:ascii="宋体" w:eastAsia="宋体" w:hAnsi="宋体" w:cs="宋体" w:hint="eastAsia"/>
          <w:color w:val="333333"/>
          <w:kern w:val="0"/>
          <w:sz w:val="32"/>
          <w:szCs w:val="32"/>
        </w:rPr>
        <w:t> </w:t>
      </w:r>
      <w:r w:rsidRPr="00FD7CD2">
        <w:rPr>
          <w:rFonts w:ascii="仿宋_GB2312" w:eastAsia="仿宋_GB2312" w:hAnsi="微软雅黑" w:cs="宋体" w:hint="eastAsia"/>
          <w:color w:val="333333"/>
          <w:kern w:val="0"/>
          <w:sz w:val="32"/>
          <w:szCs w:val="32"/>
        </w:rPr>
        <w:t>本规定所涉及的事故报告、调查协调、统计分析、报送等具体工作，由负责组织事故调查的市场监督管理部门负责，也可以委托相关特种设备事故调查处理机构承担。</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第四十一条</w:t>
      </w:r>
      <w:r w:rsidRPr="00FD7CD2">
        <w:rPr>
          <w:rFonts w:ascii="宋体" w:eastAsia="宋体" w:hAnsi="宋体" w:cs="宋体" w:hint="eastAsia"/>
          <w:color w:val="333333"/>
          <w:kern w:val="0"/>
          <w:sz w:val="32"/>
          <w:szCs w:val="32"/>
        </w:rPr>
        <w:t> </w:t>
      </w:r>
      <w:r w:rsidRPr="00FD7CD2">
        <w:rPr>
          <w:rFonts w:ascii="仿宋_GB2312" w:eastAsia="仿宋_GB2312" w:hAnsi="微软雅黑" w:cs="宋体" w:hint="eastAsia"/>
          <w:color w:val="333333"/>
          <w:kern w:val="0"/>
          <w:sz w:val="32"/>
          <w:szCs w:val="32"/>
        </w:rPr>
        <w:t>与特种设备相关的其他安全事故，相关人民政府指定由市场监督管理部门组织事故调查的，可以参照本规定进行。</w:t>
      </w:r>
    </w:p>
    <w:p w:rsidR="00CE3EA1" w:rsidRPr="00FD7CD2" w:rsidRDefault="00CE3EA1" w:rsidP="00FD7CD2">
      <w:pPr>
        <w:widowControl/>
        <w:shd w:val="clear" w:color="auto" w:fill="FFFFFF"/>
        <w:spacing w:line="560" w:lineRule="exact"/>
        <w:ind w:firstLine="640"/>
        <w:rPr>
          <w:rFonts w:ascii="微软雅黑" w:eastAsia="微软雅黑" w:hAnsi="微软雅黑" w:cs="宋体"/>
          <w:color w:val="333333"/>
          <w:kern w:val="0"/>
          <w:sz w:val="32"/>
          <w:szCs w:val="32"/>
        </w:rPr>
      </w:pPr>
      <w:r w:rsidRPr="00FD7CD2">
        <w:rPr>
          <w:rFonts w:ascii="黑体" w:eastAsia="黑体" w:hAnsi="黑体" w:cs="宋体" w:hint="eastAsia"/>
          <w:color w:val="333333"/>
          <w:kern w:val="0"/>
          <w:sz w:val="32"/>
          <w:szCs w:val="32"/>
        </w:rPr>
        <w:t>第四十二条</w:t>
      </w:r>
      <w:r w:rsidRPr="00FD7CD2">
        <w:rPr>
          <w:rFonts w:ascii="宋体" w:eastAsia="宋体" w:hAnsi="宋体" w:cs="宋体" w:hint="eastAsia"/>
          <w:color w:val="333333"/>
          <w:kern w:val="0"/>
          <w:sz w:val="32"/>
          <w:szCs w:val="32"/>
        </w:rPr>
        <w:t> </w:t>
      </w:r>
      <w:r w:rsidRPr="00FD7CD2">
        <w:rPr>
          <w:rFonts w:ascii="仿宋_GB2312" w:eastAsia="仿宋_GB2312" w:hAnsi="微软雅黑" w:cs="宋体" w:hint="eastAsia"/>
          <w:color w:val="333333"/>
          <w:kern w:val="0"/>
          <w:sz w:val="32"/>
          <w:szCs w:val="32"/>
        </w:rPr>
        <w:t>本规定自2022年3月1日起施行。2009年7月3日原国家质量监督检验检疫总局令第115号公布的《特种设备事故报告和调查处理规定》同时废止。</w:t>
      </w:r>
    </w:p>
    <w:p w:rsidR="00891FFC" w:rsidRPr="00FD7CD2" w:rsidRDefault="00891FFC" w:rsidP="00FD7CD2">
      <w:pPr>
        <w:spacing w:line="560" w:lineRule="exact"/>
        <w:rPr>
          <w:sz w:val="32"/>
          <w:szCs w:val="32"/>
        </w:rPr>
      </w:pPr>
    </w:p>
    <w:sectPr w:rsidR="00891FFC" w:rsidRPr="00FD7CD2" w:rsidSect="00FD7CD2">
      <w:footerReference w:type="default" r:id="rId8"/>
      <w:pgSz w:w="11906" w:h="16838"/>
      <w:pgMar w:top="1134" w:right="1474" w:bottom="1134" w:left="1588" w:header="851" w:footer="992" w:gutter="0"/>
      <w:pgNumType w:fmt="numberInDash"/>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C10" w:rsidRDefault="00A96C10">
      <w:r>
        <w:separator/>
      </w:r>
    </w:p>
  </w:endnote>
  <w:endnote w:type="continuationSeparator" w:id="0">
    <w:p w:rsidR="00A96C10" w:rsidRDefault="00A96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D7266E">
    <w:pPr>
      <w:pStyle w:val="a6"/>
      <w:pBdr>
        <w:left w:val="none" w:sz="0" w:space="0" w:color="auto"/>
      </w:pBdr>
      <w:tabs>
        <w:tab w:val="left" w:pos="6522"/>
      </w:tabs>
      <w:ind w:leftChars="742" w:left="1558" w:firstLineChars="2000" w:firstLine="6400"/>
      <w:rPr>
        <w:rFonts w:eastAsia="仿宋"/>
        <w:sz w:val="32"/>
        <w:szCs w:val="48"/>
      </w:rPr>
    </w:pPr>
    <w:r>
      <w:rPr>
        <w:noProof/>
        <w:sz w:val="32"/>
      </w:rPr>
      <mc:AlternateContent>
        <mc:Choice Requires="wps">
          <w:drawing>
            <wp:anchor distT="0" distB="0" distL="114300" distR="114300" simplePos="0" relativeHeight="251661312" behindDoc="0" locked="0" layoutInCell="1" allowOverlap="1" wp14:anchorId="3B9268CE" wp14:editId="7ACB69E5">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FD7CD2">
                            <w:rPr>
                              <w:rFonts w:ascii="宋体" w:eastAsia="宋体" w:hAnsi="宋体" w:cs="宋体"/>
                              <w:noProof/>
                              <w:sz w:val="28"/>
                              <w:szCs w:val="28"/>
                            </w:rPr>
                            <w:t>- 1 -</w:t>
                          </w:r>
                          <w:r>
                            <w:rPr>
                              <w:rFonts w:ascii="宋体" w:eastAsia="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left:0;text-align:left;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gYdD+GACAAAKBQAADgAAAAAAAAAAAAAAAAAuAgAAZHJzL2Uyb0RvYy54bWxQ&#10;SwECLQAUAAYACAAAACEAcarRudcAAAAFAQAADwAAAAAAAAAAAAAAAAC6BAAAZHJzL2Rvd25yZXYu&#10;eG1sUEsFBgAAAAAEAAQA8wAAAL4FAAAAAA==&#10;" filled="f" stroked="f" strokeweight=".5pt">
              <v:textbox style="mso-fit-shape-to-text:t" inset="0,0,0,0">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FD7CD2">
                      <w:rPr>
                        <w:rFonts w:ascii="宋体" w:eastAsia="宋体" w:hAnsi="宋体" w:cs="宋体"/>
                        <w:noProof/>
                        <w:sz w:val="28"/>
                        <w:szCs w:val="28"/>
                      </w:rPr>
                      <w:t>- 1 -</w:t>
                    </w:r>
                    <w:r>
                      <w:rPr>
                        <w:rFonts w:ascii="宋体" w:eastAsia="宋体" w:hAnsi="宋体" w:cs="宋体" w:hint="eastAsia"/>
                        <w:sz w:val="28"/>
                        <w:szCs w:val="28"/>
                      </w:rPr>
                      <w:fldChar w:fldCharType="end"/>
                    </w:r>
                  </w:p>
                </w:txbxContent>
              </v:textbox>
              <w10:wrap anchorx="margin"/>
            </v:shape>
          </w:pict>
        </mc:Fallback>
      </mc:AlternateContent>
    </w:r>
    <w:r>
      <w:rPr>
        <w:rFonts w:eastAsia="仿宋" w:hint="eastAsia"/>
        <w:sz w:val="32"/>
        <w:szCs w:val="48"/>
      </w:rPr>
      <w:tab/>
    </w:r>
    <w:r>
      <w:rPr>
        <w:rFonts w:eastAsia="仿宋" w:hint="eastAsia"/>
        <w:sz w:val="32"/>
        <w:szCs w:val="48"/>
      </w:rPr>
      <w:tab/>
    </w:r>
    <w:r>
      <w:rPr>
        <w:rFonts w:eastAsia="仿宋" w:hint="eastAsia"/>
        <w:sz w:val="32"/>
        <w:szCs w:val="48"/>
      </w:rPr>
      <w:tab/>
      <w:t xml:space="preserve">  </w:t>
    </w:r>
  </w:p>
  <w:p w:rsidR="00891FFC" w:rsidRDefault="00891FFC">
    <w:pPr>
      <w:pStyle w:val="a6"/>
      <w:pBdr>
        <w:left w:val="none" w:sz="0" w:space="0" w:color="auto"/>
      </w:pBdr>
      <w:wordWrap w:val="0"/>
      <w:ind w:leftChars="2280" w:left="4788" w:firstLineChars="2000" w:firstLine="5622"/>
      <w:jc w:val="right"/>
      <w:rPr>
        <w:rFonts w:ascii="宋体" w:eastAsia="宋体" w:hAnsi="宋体" w:cs="宋体"/>
        <w:b/>
        <w:bCs/>
        <w:color w:val="005192"/>
        <w:sz w:val="28"/>
        <w:szCs w:val="4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C10" w:rsidRDefault="00A96C10">
      <w:r>
        <w:separator/>
      </w:r>
    </w:p>
  </w:footnote>
  <w:footnote w:type="continuationSeparator" w:id="0">
    <w:p w:rsidR="00A96C10" w:rsidRDefault="00A96C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90A43"/>
    <w:rsid w:val="000F7C3B"/>
    <w:rsid w:val="00172A27"/>
    <w:rsid w:val="00190F0F"/>
    <w:rsid w:val="00637CAC"/>
    <w:rsid w:val="00657501"/>
    <w:rsid w:val="00665D1F"/>
    <w:rsid w:val="006A7A45"/>
    <w:rsid w:val="00712222"/>
    <w:rsid w:val="00750507"/>
    <w:rsid w:val="008572A7"/>
    <w:rsid w:val="00891FFC"/>
    <w:rsid w:val="00915729"/>
    <w:rsid w:val="00960532"/>
    <w:rsid w:val="009641A3"/>
    <w:rsid w:val="009D125D"/>
    <w:rsid w:val="00A96C10"/>
    <w:rsid w:val="00AC5533"/>
    <w:rsid w:val="00B900B7"/>
    <w:rsid w:val="00BA7A05"/>
    <w:rsid w:val="00BE5B5D"/>
    <w:rsid w:val="00C26E20"/>
    <w:rsid w:val="00CE389D"/>
    <w:rsid w:val="00CE3EA1"/>
    <w:rsid w:val="00D7266E"/>
    <w:rsid w:val="00F1250C"/>
    <w:rsid w:val="00FB339E"/>
    <w:rsid w:val="00FC5119"/>
    <w:rsid w:val="00FD7CD2"/>
    <w:rsid w:val="019E71BD"/>
    <w:rsid w:val="04B679C3"/>
    <w:rsid w:val="080F63D8"/>
    <w:rsid w:val="09341458"/>
    <w:rsid w:val="0B0912D7"/>
    <w:rsid w:val="152D2DCA"/>
    <w:rsid w:val="1DEC284C"/>
    <w:rsid w:val="1E6523AC"/>
    <w:rsid w:val="1F361A96"/>
    <w:rsid w:val="22440422"/>
    <w:rsid w:val="25117842"/>
    <w:rsid w:val="31A15F24"/>
    <w:rsid w:val="395347B5"/>
    <w:rsid w:val="39A232A0"/>
    <w:rsid w:val="39E745AA"/>
    <w:rsid w:val="3B5A6BBB"/>
    <w:rsid w:val="3EDA13A6"/>
    <w:rsid w:val="42F058B7"/>
    <w:rsid w:val="436109F6"/>
    <w:rsid w:val="441A38D4"/>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BE5B5D"/>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BE5B5D"/>
    <w:rPr>
      <w:b/>
      <w:bCs/>
    </w:rPr>
  </w:style>
  <w:style w:type="paragraph" w:customStyle="1" w:styleId="ariatheme">
    <w:name w:val="ariatheme"/>
    <w:basedOn w:val="a"/>
    <w:rsid w:val="00CE389D"/>
    <w:pPr>
      <w:widowControl/>
      <w:spacing w:before="100" w:beforeAutospacing="1" w:after="100" w:afterAutospacing="1"/>
      <w:jc w:val="left"/>
    </w:pPr>
    <w:rPr>
      <w:rFonts w:ascii="宋体" w:eastAsia="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BE5B5D"/>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BE5B5D"/>
    <w:rPr>
      <w:b/>
      <w:bCs/>
    </w:rPr>
  </w:style>
  <w:style w:type="paragraph" w:customStyle="1" w:styleId="ariatheme">
    <w:name w:val="ariatheme"/>
    <w:basedOn w:val="a"/>
    <w:rsid w:val="00CE389D"/>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17460">
      <w:bodyDiv w:val="1"/>
      <w:marLeft w:val="0"/>
      <w:marRight w:val="0"/>
      <w:marTop w:val="0"/>
      <w:marBottom w:val="0"/>
      <w:divBdr>
        <w:top w:val="none" w:sz="0" w:space="0" w:color="auto"/>
        <w:left w:val="none" w:sz="0" w:space="0" w:color="auto"/>
        <w:bottom w:val="none" w:sz="0" w:space="0" w:color="auto"/>
        <w:right w:val="none" w:sz="0" w:space="0" w:color="auto"/>
      </w:divBdr>
    </w:div>
    <w:div w:id="931398271">
      <w:bodyDiv w:val="1"/>
      <w:marLeft w:val="0"/>
      <w:marRight w:val="0"/>
      <w:marTop w:val="0"/>
      <w:marBottom w:val="0"/>
      <w:divBdr>
        <w:top w:val="none" w:sz="0" w:space="0" w:color="auto"/>
        <w:left w:val="none" w:sz="0" w:space="0" w:color="auto"/>
        <w:bottom w:val="none" w:sz="0" w:space="0" w:color="auto"/>
        <w:right w:val="none" w:sz="0" w:space="0" w:color="auto"/>
      </w:divBdr>
    </w:div>
    <w:div w:id="1597515522">
      <w:bodyDiv w:val="1"/>
      <w:marLeft w:val="0"/>
      <w:marRight w:val="0"/>
      <w:marTop w:val="0"/>
      <w:marBottom w:val="0"/>
      <w:divBdr>
        <w:top w:val="none" w:sz="0" w:space="0" w:color="auto"/>
        <w:left w:val="none" w:sz="0" w:space="0" w:color="auto"/>
        <w:bottom w:val="none" w:sz="0" w:space="0" w:color="auto"/>
        <w:right w:val="none" w:sz="0" w:space="0" w:color="auto"/>
      </w:divBdr>
    </w:div>
    <w:div w:id="16551852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11</Pages>
  <Words>791</Words>
  <Characters>4514</Characters>
  <Application>Microsoft Office Word</Application>
  <DocSecurity>0</DocSecurity>
  <Lines>37</Lines>
  <Paragraphs>10</Paragraphs>
  <ScaleCrop>false</ScaleCrop>
  <Company>Home</Company>
  <LinksUpToDate>false</LinksUpToDate>
  <CharactersWithSpaces>5295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c:creator>
  <cp:lastModifiedBy>Chinese User</cp:lastModifiedBy>
  <cp:revision>34</cp:revision>
  <cp:lastPrinted>2021-10-26T03:30:00Z</cp:lastPrinted>
  <dcterms:created xsi:type="dcterms:W3CDTF">2021-09-09T02:41:00Z</dcterms:created>
  <dcterms:modified xsi:type="dcterms:W3CDTF">2022-03-15T02:32:00Z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48C61CB29D3F4D9384F5922CF0F7FFB4</vt:lpwstr>
  </property>
</Properties>
</file>