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方正小标宋简体" w:hAnsi="方正小标宋简体" w:eastAsia="方正小标宋简体" w:cs="宋体"/>
          <w:color w:val="333333"/>
          <w:kern w:val="0"/>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微软雅黑" w:hAnsi="微软雅黑" w:eastAsia="微软雅黑" w:cs="宋体"/>
          <w:color w:val="333333"/>
          <w:kern w:val="0"/>
          <w:szCs w:val="21"/>
        </w:rPr>
      </w:pPr>
      <w:r>
        <w:rPr>
          <w:rFonts w:hint="eastAsia" w:ascii="方正小标宋简体" w:hAnsi="方正小标宋简体" w:eastAsia="方正小标宋简体" w:cs="宋体"/>
          <w:color w:val="333333"/>
          <w:kern w:val="0"/>
          <w:sz w:val="44"/>
          <w:szCs w:val="44"/>
        </w:rPr>
        <w:t>食品相关产品质量安全监督管理暂行办法</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20"/>
        <w:jc w:val="left"/>
        <w:textAlignment w:val="auto"/>
        <w:rPr>
          <w:rFonts w:hint="eastAsia" w:ascii="楷体" w:hAnsi="楷体" w:eastAsia="楷体" w:cs="宋体"/>
          <w:color w:val="333333"/>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20"/>
        <w:jc w:val="left"/>
        <w:textAlignment w:val="auto"/>
        <w:rPr>
          <w:rFonts w:ascii="微软雅黑" w:hAnsi="微软雅黑" w:eastAsia="微软雅黑" w:cs="宋体"/>
          <w:color w:val="333333"/>
          <w:kern w:val="0"/>
          <w:szCs w:val="21"/>
        </w:rPr>
      </w:pPr>
      <w:bookmarkStart w:id="0" w:name="_GoBack"/>
      <w:bookmarkEnd w:id="0"/>
      <w:r>
        <w:rPr>
          <w:rFonts w:hint="eastAsia" w:ascii="楷体" w:hAnsi="楷体" w:eastAsia="楷体" w:cs="宋体"/>
          <w:color w:val="333333"/>
          <w:kern w:val="0"/>
          <w:sz w:val="32"/>
          <w:szCs w:val="32"/>
        </w:rPr>
        <w:t>（2022年10月8日国家市场监督管理总局令第62号公布</w:t>
      </w:r>
      <w:r>
        <w:rPr>
          <w:rFonts w:hint="eastAsia" w:ascii="宋体" w:hAnsi="宋体" w:eastAsia="宋体" w:cs="宋体"/>
          <w:color w:val="333333"/>
          <w:kern w:val="0"/>
          <w:sz w:val="32"/>
          <w:szCs w:val="32"/>
        </w:rPr>
        <w:t> </w:t>
      </w:r>
      <w:r>
        <w:rPr>
          <w:rFonts w:hint="eastAsia" w:ascii="楷体" w:hAnsi="楷体" w:eastAsia="楷体" w:cs="宋体"/>
          <w:color w:val="333333"/>
          <w:kern w:val="0"/>
          <w:sz w:val="32"/>
          <w:szCs w:val="32"/>
        </w:rPr>
        <w:t>自2023年3月1日起施行）</w:t>
      </w: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微软雅黑" w:hAnsi="微软雅黑" w:eastAsia="微软雅黑" w:cs="宋体"/>
          <w:color w:val="333333"/>
          <w:kern w:val="0"/>
          <w:szCs w:val="21"/>
        </w:rPr>
      </w:pP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第一章</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总则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第一条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为了加强食品相关产品质量安全监督管理，保障公众身体健康和生命安全，根据《中华人民共和国食品安全法》《中华人民共和国产品质量法》等有关法律、法规，制定本办法。</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第二条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在中华人民共和国境内生产、销售食品相关产品及其监督管理适用本办法。法律、法规、规章对食品相关产品质量安全监督管理另有规定的从其规定。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食品生产经营中使用食品相关产品的监督管理按照有关规定执行。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第三条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食品相关产品质量安全工作实行预防为主、风险管理、全程控制、社会共治，建立科学、严格的监督管理制度。</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第四条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国家市场监督管理总局监督指导全国食品相关产品质量安全监督管理工作。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省级市场监督管理部门负责监督指导和组织本行政区域内食品相关产品质量安全监督管理工作。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市级及以下市场监督管理部门负责实施本行政区域内食品相关产品质量安全监督管理工作。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微软雅黑" w:hAnsi="微软雅黑" w:eastAsia="微软雅黑" w:cs="宋体"/>
          <w:color w:val="333333"/>
          <w:kern w:val="0"/>
          <w:szCs w:val="21"/>
        </w:rPr>
      </w:pPr>
      <w:r>
        <w:rPr>
          <w:rFonts w:ascii="Times New Roman" w:hAnsi="Times New Roman" w:eastAsia="微软雅黑"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第二章</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生产销售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第五条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生产者、销售者对其生产、销售的食品相关产品质量安全负责。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第六条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禁止生产、销售下列食品相关产品：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（一）使用不符合食品安全标准及相关公告的原辅料和添加剂，以及其他可能危害人体健康的物质生产的食品相关产品，或者超范围、超限量使用添加剂生产的食品相关产品；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（二）致病性微生物，农药残留、兽药残留、生物毒素、重金属等污染物质以及其他危害人体健康的物质含量和迁移量超过食品安全标准限量的食品相关产品；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（三）在食品相关产品中掺杂、掺假，以假充真，以次充好或者以不合格食品相关产品冒充合格食品相关产品；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（四）国家明令淘汰或者失效、变质的食品相关产品；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（五）伪造产地，伪造或者冒用他人厂名、厂址、质量标志的食品相关产品；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（六）其他不符合法律、法规、规章、食品安全标准及其他强制性规定的食品相关产品。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第七条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国家建立食品相关产品生产企业质量安全管理人员制度。</w:t>
      </w:r>
      <w:r>
        <w:rPr>
          <w:rFonts w:ascii="仿宋_GB2312" w:hAnsi="Times New Roman" w:eastAsia="仿宋_GB2312" w:cs="Times New Roman"/>
          <w:color w:val="333333"/>
          <w:kern w:val="0"/>
          <w:sz w:val="32"/>
          <w:szCs w:val="32"/>
        </w:rPr>
        <w:t>食品</w:t>
      </w:r>
      <w:r>
        <w:rPr>
          <w:rFonts w:hint="eastAsia" w:ascii="仿宋_GB2312" w:hAnsi="微软雅黑" w:eastAsia="仿宋_GB2312" w:cs="宋体"/>
          <w:color w:val="333333"/>
          <w:kern w:val="0"/>
          <w:sz w:val="32"/>
          <w:szCs w:val="32"/>
        </w:rPr>
        <w:t>相关产品</w:t>
      </w:r>
      <w:r>
        <w:rPr>
          <w:rFonts w:ascii="仿宋_GB2312" w:hAnsi="Times New Roman" w:eastAsia="仿宋_GB2312" w:cs="Times New Roman"/>
          <w:color w:val="333333"/>
          <w:kern w:val="0"/>
          <w:sz w:val="32"/>
          <w:szCs w:val="32"/>
        </w:rPr>
        <w:t>生产</w:t>
      </w:r>
      <w:r>
        <w:rPr>
          <w:rFonts w:hint="eastAsia" w:ascii="仿宋_GB2312" w:hAnsi="微软雅黑" w:eastAsia="仿宋_GB2312" w:cs="宋体"/>
          <w:color w:val="333333"/>
          <w:kern w:val="0"/>
          <w:sz w:val="32"/>
          <w:szCs w:val="32"/>
        </w:rPr>
        <w:t>者</w:t>
      </w:r>
      <w:r>
        <w:rPr>
          <w:rFonts w:ascii="仿宋_GB2312" w:hAnsi="Times New Roman" w:eastAsia="仿宋_GB2312" w:cs="Times New Roman"/>
          <w:color w:val="333333"/>
          <w:kern w:val="0"/>
          <w:sz w:val="32"/>
          <w:szCs w:val="32"/>
        </w:rPr>
        <w:t>应当建立并落实食品</w:t>
      </w:r>
      <w:r>
        <w:rPr>
          <w:rFonts w:hint="eastAsia" w:ascii="仿宋_GB2312" w:hAnsi="微软雅黑" w:eastAsia="仿宋_GB2312" w:cs="宋体"/>
          <w:color w:val="333333"/>
          <w:kern w:val="0"/>
          <w:sz w:val="32"/>
          <w:szCs w:val="32"/>
        </w:rPr>
        <w:t>相关产品质量</w:t>
      </w:r>
      <w:r>
        <w:rPr>
          <w:rFonts w:ascii="仿宋_GB2312" w:hAnsi="Times New Roman" w:eastAsia="仿宋_GB2312" w:cs="Times New Roman"/>
          <w:color w:val="333333"/>
          <w:kern w:val="0"/>
          <w:sz w:val="32"/>
          <w:szCs w:val="32"/>
        </w:rPr>
        <w:t>安全责任制，配备与其企业规模、</w:t>
      </w:r>
      <w:r>
        <w:rPr>
          <w:rFonts w:hint="eastAsia" w:ascii="仿宋_GB2312" w:hAnsi="微软雅黑" w:eastAsia="仿宋_GB2312" w:cs="宋体"/>
          <w:color w:val="333333"/>
          <w:kern w:val="0"/>
          <w:sz w:val="32"/>
          <w:szCs w:val="32"/>
        </w:rPr>
        <w:t>产品</w:t>
      </w:r>
      <w:r>
        <w:rPr>
          <w:rFonts w:ascii="仿宋_GB2312" w:hAnsi="Times New Roman" w:eastAsia="仿宋_GB2312" w:cs="Times New Roman"/>
          <w:color w:val="333333"/>
          <w:kern w:val="0"/>
          <w:sz w:val="32"/>
          <w:szCs w:val="32"/>
        </w:rPr>
        <w:t>类别、风险等级、管理水平、安全状况等相适应的</w:t>
      </w:r>
      <w:r>
        <w:rPr>
          <w:rFonts w:hint="eastAsia" w:ascii="仿宋_GB2312" w:hAnsi="微软雅黑" w:eastAsia="仿宋_GB2312" w:cs="宋体"/>
          <w:color w:val="333333"/>
          <w:kern w:val="0"/>
          <w:sz w:val="32"/>
          <w:szCs w:val="32"/>
        </w:rPr>
        <w:t>质量</w:t>
      </w:r>
      <w:r>
        <w:rPr>
          <w:rFonts w:ascii="仿宋_GB2312" w:hAnsi="Times New Roman" w:eastAsia="仿宋_GB2312" w:cs="Times New Roman"/>
          <w:color w:val="333333"/>
          <w:kern w:val="0"/>
          <w:sz w:val="32"/>
          <w:szCs w:val="32"/>
        </w:rPr>
        <w:t>安全总监、</w:t>
      </w:r>
      <w:r>
        <w:rPr>
          <w:rFonts w:hint="eastAsia" w:ascii="仿宋_GB2312" w:hAnsi="微软雅黑" w:eastAsia="仿宋_GB2312" w:cs="宋体"/>
          <w:color w:val="333333"/>
          <w:kern w:val="0"/>
          <w:sz w:val="32"/>
          <w:szCs w:val="32"/>
        </w:rPr>
        <w:t>质量</w:t>
      </w:r>
      <w:r>
        <w:rPr>
          <w:rFonts w:ascii="仿宋_GB2312" w:hAnsi="Times New Roman" w:eastAsia="仿宋_GB2312" w:cs="Times New Roman"/>
          <w:color w:val="333333"/>
          <w:kern w:val="0"/>
          <w:sz w:val="32"/>
          <w:szCs w:val="32"/>
        </w:rPr>
        <w:t>安全员等</w:t>
      </w:r>
      <w:r>
        <w:rPr>
          <w:rFonts w:hint="eastAsia" w:ascii="仿宋_GB2312" w:hAnsi="微软雅黑" w:eastAsia="仿宋_GB2312" w:cs="宋体"/>
          <w:color w:val="333333"/>
          <w:kern w:val="0"/>
          <w:sz w:val="32"/>
          <w:szCs w:val="32"/>
        </w:rPr>
        <w:t>质量</w:t>
      </w:r>
      <w:r>
        <w:rPr>
          <w:rFonts w:ascii="仿宋_GB2312" w:hAnsi="Times New Roman" w:eastAsia="仿宋_GB2312" w:cs="Times New Roman"/>
          <w:color w:val="333333"/>
          <w:kern w:val="0"/>
          <w:sz w:val="32"/>
          <w:szCs w:val="32"/>
        </w:rPr>
        <w:t>安全管理人员，明确企业主要负责人、</w:t>
      </w:r>
      <w:r>
        <w:rPr>
          <w:rFonts w:hint="eastAsia" w:ascii="仿宋_GB2312" w:hAnsi="微软雅黑" w:eastAsia="仿宋_GB2312" w:cs="宋体"/>
          <w:color w:val="333333"/>
          <w:kern w:val="0"/>
          <w:sz w:val="32"/>
          <w:szCs w:val="32"/>
        </w:rPr>
        <w:t>质量</w:t>
      </w:r>
      <w:r>
        <w:rPr>
          <w:rFonts w:ascii="仿宋_GB2312" w:hAnsi="Times New Roman" w:eastAsia="仿宋_GB2312" w:cs="Times New Roman"/>
          <w:color w:val="333333"/>
          <w:kern w:val="0"/>
          <w:sz w:val="32"/>
          <w:szCs w:val="32"/>
        </w:rPr>
        <w:t>安全总监、</w:t>
      </w:r>
      <w:r>
        <w:rPr>
          <w:rFonts w:hint="eastAsia" w:ascii="仿宋_GB2312" w:hAnsi="微软雅黑" w:eastAsia="仿宋_GB2312" w:cs="宋体"/>
          <w:color w:val="333333"/>
          <w:kern w:val="0"/>
          <w:sz w:val="32"/>
          <w:szCs w:val="32"/>
        </w:rPr>
        <w:t>质量</w:t>
      </w:r>
      <w:r>
        <w:rPr>
          <w:rFonts w:ascii="仿宋_GB2312" w:hAnsi="Times New Roman" w:eastAsia="仿宋_GB2312" w:cs="Times New Roman"/>
          <w:color w:val="333333"/>
          <w:kern w:val="0"/>
          <w:sz w:val="32"/>
          <w:szCs w:val="32"/>
        </w:rPr>
        <w:t>安全员等不同层级管理人员的岗位职责。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企业主要负责人对</w:t>
      </w:r>
      <w:r>
        <w:rPr>
          <w:rFonts w:hint="eastAsia" w:ascii="仿宋_GB2312" w:hAnsi="微软雅黑" w:eastAsia="仿宋_GB2312" w:cs="宋体"/>
          <w:color w:val="333333"/>
          <w:kern w:val="0"/>
          <w:sz w:val="32"/>
          <w:szCs w:val="32"/>
        </w:rPr>
        <w:t>食品相关产品质量</w:t>
      </w:r>
      <w:r>
        <w:rPr>
          <w:rFonts w:ascii="仿宋_GB2312" w:hAnsi="Times New Roman" w:eastAsia="仿宋_GB2312" w:cs="Times New Roman"/>
          <w:color w:val="333333"/>
          <w:kern w:val="0"/>
          <w:sz w:val="32"/>
          <w:szCs w:val="32"/>
        </w:rPr>
        <w:t>安全工作全面负责，建立并落实</w:t>
      </w:r>
      <w:r>
        <w:rPr>
          <w:rFonts w:hint="eastAsia" w:ascii="仿宋_GB2312" w:hAnsi="微软雅黑" w:eastAsia="仿宋_GB2312" w:cs="宋体"/>
          <w:color w:val="333333"/>
          <w:kern w:val="0"/>
          <w:sz w:val="32"/>
          <w:szCs w:val="32"/>
        </w:rPr>
        <w:t>质量</w:t>
      </w:r>
      <w:r>
        <w:rPr>
          <w:rFonts w:ascii="仿宋_GB2312" w:hAnsi="Times New Roman" w:eastAsia="仿宋_GB2312" w:cs="Times New Roman"/>
          <w:color w:val="333333"/>
          <w:kern w:val="0"/>
          <w:sz w:val="32"/>
          <w:szCs w:val="32"/>
        </w:rPr>
        <w:t>安全主体责任的管理制度和长效机制。</w:t>
      </w:r>
      <w:r>
        <w:rPr>
          <w:rFonts w:hint="eastAsia" w:ascii="仿宋_GB2312" w:hAnsi="微软雅黑" w:eastAsia="仿宋_GB2312" w:cs="宋体"/>
          <w:color w:val="333333"/>
          <w:kern w:val="0"/>
          <w:sz w:val="32"/>
          <w:szCs w:val="32"/>
        </w:rPr>
        <w:t>质量</w:t>
      </w:r>
      <w:r>
        <w:rPr>
          <w:rFonts w:ascii="仿宋_GB2312" w:hAnsi="Times New Roman" w:eastAsia="仿宋_GB2312" w:cs="Times New Roman"/>
          <w:color w:val="333333"/>
          <w:kern w:val="0"/>
          <w:sz w:val="32"/>
          <w:szCs w:val="32"/>
        </w:rPr>
        <w:t>安全总监、</w:t>
      </w:r>
      <w:r>
        <w:rPr>
          <w:rFonts w:hint="eastAsia" w:ascii="仿宋_GB2312" w:hAnsi="微软雅黑" w:eastAsia="仿宋_GB2312" w:cs="宋体"/>
          <w:color w:val="333333"/>
          <w:kern w:val="0"/>
          <w:sz w:val="32"/>
          <w:szCs w:val="32"/>
        </w:rPr>
        <w:t>质量</w:t>
      </w:r>
      <w:r>
        <w:rPr>
          <w:rFonts w:ascii="仿宋_GB2312" w:hAnsi="Times New Roman" w:eastAsia="仿宋_GB2312" w:cs="Times New Roman"/>
          <w:color w:val="333333"/>
          <w:kern w:val="0"/>
          <w:sz w:val="32"/>
          <w:szCs w:val="32"/>
        </w:rPr>
        <w:t>安全员应当协助企业主要负责人做好食品</w:t>
      </w:r>
      <w:r>
        <w:rPr>
          <w:rFonts w:hint="eastAsia" w:ascii="仿宋_GB2312" w:hAnsi="微软雅黑" w:eastAsia="仿宋_GB2312" w:cs="宋体"/>
          <w:color w:val="333333"/>
          <w:kern w:val="0"/>
          <w:sz w:val="32"/>
          <w:szCs w:val="32"/>
        </w:rPr>
        <w:t>相关产品质量</w:t>
      </w:r>
      <w:r>
        <w:rPr>
          <w:rFonts w:ascii="仿宋_GB2312" w:hAnsi="Times New Roman" w:eastAsia="仿宋_GB2312" w:cs="Times New Roman"/>
          <w:color w:val="333333"/>
          <w:kern w:val="0"/>
          <w:sz w:val="32"/>
          <w:szCs w:val="32"/>
        </w:rPr>
        <w:t>安全管理工作。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第八条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在依法配备质量安全员的基础上，直接接触食品的包装材料等具有较高风险的食品相关产品生产者，应当配备质量安全总监。</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食品相关产品质量安全总监和质量安全员具体管理要求，参照国家食品安全主体责任管理制度执行。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第九条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食品相关产品生产者应</w:t>
      </w:r>
      <w:r>
        <w:rPr>
          <w:rFonts w:hint="eastAsia" w:ascii="仿宋_GB2312" w:hAnsi="微软雅黑" w:eastAsia="仿宋_GB2312" w:cs="宋体"/>
          <w:color w:val="333333"/>
          <w:kern w:val="0"/>
          <w:sz w:val="32"/>
          <w:szCs w:val="32"/>
        </w:rPr>
        <w:t>当建立并实施</w:t>
      </w:r>
      <w:r>
        <w:rPr>
          <w:rFonts w:ascii="仿宋_GB2312" w:hAnsi="Times New Roman" w:eastAsia="仿宋_GB2312" w:cs="Times New Roman"/>
          <w:color w:val="333333"/>
          <w:kern w:val="0"/>
          <w:sz w:val="32"/>
          <w:szCs w:val="32"/>
        </w:rPr>
        <w:t>原</w:t>
      </w:r>
      <w:r>
        <w:rPr>
          <w:rFonts w:hint="eastAsia" w:ascii="仿宋_GB2312" w:hAnsi="微软雅黑" w:eastAsia="仿宋_GB2312" w:cs="宋体"/>
          <w:color w:val="333333"/>
          <w:kern w:val="0"/>
          <w:sz w:val="32"/>
          <w:szCs w:val="32"/>
        </w:rPr>
        <w:t>辅</w:t>
      </w:r>
      <w:r>
        <w:rPr>
          <w:rFonts w:ascii="仿宋_GB2312" w:hAnsi="Times New Roman" w:eastAsia="仿宋_GB2312" w:cs="Times New Roman"/>
          <w:color w:val="333333"/>
          <w:kern w:val="0"/>
          <w:sz w:val="32"/>
          <w:szCs w:val="32"/>
        </w:rPr>
        <w:t>料控制</w:t>
      </w:r>
      <w:r>
        <w:rPr>
          <w:rFonts w:hint="eastAsia" w:ascii="仿宋_GB2312" w:hAnsi="微软雅黑" w:eastAsia="仿宋_GB2312" w:cs="宋体"/>
          <w:color w:val="333333"/>
          <w:kern w:val="0"/>
          <w:sz w:val="32"/>
          <w:szCs w:val="32"/>
        </w:rPr>
        <w:t>，</w:t>
      </w:r>
      <w:r>
        <w:rPr>
          <w:rFonts w:ascii="仿宋_GB2312" w:hAnsi="Times New Roman" w:eastAsia="仿宋_GB2312" w:cs="Times New Roman"/>
          <w:color w:val="333333"/>
          <w:kern w:val="0"/>
          <w:sz w:val="32"/>
          <w:szCs w:val="32"/>
        </w:rPr>
        <w:t>生产</w:t>
      </w:r>
      <w:r>
        <w:rPr>
          <w:rFonts w:hint="eastAsia" w:ascii="仿宋_GB2312" w:hAnsi="微软雅黑" w:eastAsia="仿宋_GB2312" w:cs="宋体"/>
          <w:color w:val="333333"/>
          <w:kern w:val="0"/>
          <w:sz w:val="32"/>
          <w:szCs w:val="32"/>
        </w:rPr>
        <w:t>、贮存、包装等生产关键环节</w:t>
      </w:r>
      <w:r>
        <w:rPr>
          <w:rFonts w:ascii="仿宋_GB2312" w:hAnsi="Times New Roman" w:eastAsia="仿宋_GB2312" w:cs="Times New Roman"/>
          <w:color w:val="333333"/>
          <w:kern w:val="0"/>
          <w:sz w:val="32"/>
          <w:szCs w:val="32"/>
        </w:rPr>
        <w:t>控制</w:t>
      </w:r>
      <w:r>
        <w:rPr>
          <w:rFonts w:hint="eastAsia" w:ascii="仿宋_GB2312" w:hAnsi="微软雅黑" w:eastAsia="仿宋_GB2312" w:cs="宋体"/>
          <w:color w:val="333333"/>
          <w:kern w:val="0"/>
          <w:sz w:val="32"/>
          <w:szCs w:val="32"/>
        </w:rPr>
        <w:t>，过程、出厂等</w:t>
      </w:r>
      <w:r>
        <w:rPr>
          <w:rFonts w:ascii="仿宋_GB2312" w:hAnsi="Times New Roman" w:eastAsia="仿宋_GB2312" w:cs="Times New Roman"/>
          <w:color w:val="333333"/>
          <w:kern w:val="0"/>
          <w:sz w:val="32"/>
          <w:szCs w:val="32"/>
        </w:rPr>
        <w:t>检验控制</w:t>
      </w:r>
      <w:r>
        <w:rPr>
          <w:rFonts w:hint="eastAsia" w:ascii="仿宋_GB2312" w:hAnsi="微软雅黑" w:eastAsia="仿宋_GB2312" w:cs="宋体"/>
          <w:color w:val="333333"/>
          <w:kern w:val="0"/>
          <w:sz w:val="32"/>
          <w:szCs w:val="32"/>
        </w:rPr>
        <w:t>，运输及交付控制</w:t>
      </w:r>
      <w:r>
        <w:rPr>
          <w:rFonts w:ascii="仿宋_GB2312" w:hAnsi="Times New Roman" w:eastAsia="仿宋_GB2312" w:cs="Times New Roman"/>
          <w:color w:val="333333"/>
          <w:kern w:val="0"/>
          <w:sz w:val="32"/>
          <w:szCs w:val="32"/>
        </w:rPr>
        <w:t>等食品相关产品</w:t>
      </w:r>
      <w:r>
        <w:rPr>
          <w:rFonts w:hint="eastAsia" w:ascii="仿宋_GB2312" w:hAnsi="微软雅黑" w:eastAsia="仿宋_GB2312" w:cs="宋体"/>
          <w:color w:val="333333"/>
          <w:kern w:val="0"/>
          <w:sz w:val="32"/>
          <w:szCs w:val="32"/>
        </w:rPr>
        <w:t>质量</w:t>
      </w:r>
      <w:r>
        <w:rPr>
          <w:rFonts w:ascii="仿宋_GB2312" w:hAnsi="Times New Roman" w:eastAsia="仿宋_GB2312" w:cs="Times New Roman"/>
          <w:color w:val="333333"/>
          <w:kern w:val="0"/>
          <w:sz w:val="32"/>
          <w:szCs w:val="32"/>
        </w:rPr>
        <w:t>安全管理制度，保证生产</w:t>
      </w:r>
      <w:r>
        <w:rPr>
          <w:rFonts w:hint="eastAsia" w:ascii="仿宋_GB2312" w:hAnsi="微软雅黑" w:eastAsia="仿宋_GB2312" w:cs="宋体"/>
          <w:color w:val="333333"/>
          <w:kern w:val="0"/>
          <w:sz w:val="32"/>
          <w:szCs w:val="32"/>
        </w:rPr>
        <w:t>全</w:t>
      </w:r>
      <w:r>
        <w:rPr>
          <w:rFonts w:ascii="仿宋_GB2312" w:hAnsi="Times New Roman" w:eastAsia="仿宋_GB2312" w:cs="Times New Roman"/>
          <w:color w:val="333333"/>
          <w:kern w:val="0"/>
          <w:sz w:val="32"/>
          <w:szCs w:val="32"/>
        </w:rPr>
        <w:t>过程控制和所生产的</w:t>
      </w:r>
      <w:r>
        <w:rPr>
          <w:rFonts w:hint="eastAsia" w:ascii="仿宋_GB2312" w:hAnsi="微软雅黑" w:eastAsia="仿宋_GB2312" w:cs="宋体"/>
          <w:color w:val="333333"/>
          <w:kern w:val="0"/>
          <w:sz w:val="32"/>
          <w:szCs w:val="32"/>
        </w:rPr>
        <w:t>食品相关</w:t>
      </w:r>
      <w:r>
        <w:rPr>
          <w:rFonts w:ascii="仿宋_GB2312" w:hAnsi="Times New Roman" w:eastAsia="仿宋_GB2312" w:cs="Times New Roman"/>
          <w:color w:val="333333"/>
          <w:kern w:val="0"/>
          <w:sz w:val="32"/>
          <w:szCs w:val="32"/>
        </w:rPr>
        <w:t>产品符合食品安全标准及其他强制性</w:t>
      </w:r>
      <w:r>
        <w:rPr>
          <w:rFonts w:hint="eastAsia" w:ascii="仿宋_GB2312" w:hAnsi="微软雅黑" w:eastAsia="仿宋_GB2312" w:cs="宋体"/>
          <w:color w:val="333333"/>
          <w:kern w:val="0"/>
          <w:sz w:val="32"/>
          <w:szCs w:val="32"/>
        </w:rPr>
        <w:t>规定的要求</w:t>
      </w:r>
      <w:r>
        <w:rPr>
          <w:rFonts w:ascii="仿宋_GB2312" w:hAnsi="Times New Roman" w:eastAsia="仿宋_GB2312" w:cs="Times New Roman"/>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3"/>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食品相关产品生产者应当制定食品相关产品质量安全事故处置方案，定期检查各项质量安全防范措施的落实情况，及时消除事故隐患。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第十条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食品相关产品生产者实施原辅料控制，应当包括采购、验收、贮存和使用等过程，形成并保存相关过程记录。</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食品相关产品生产者应当对首次使用的原辅料、配方和生产工艺进行安全评估及验证，并保存相关记录。</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第十一条</w:t>
      </w:r>
      <w:r>
        <w:rPr>
          <w:rFonts w:hint="eastAsia" w:ascii="仿宋_GB2312" w:hAnsi="微软雅黑" w:eastAsia="仿宋_GB2312" w:cs="宋体"/>
          <w:color w:val="333333"/>
          <w:kern w:val="0"/>
          <w:sz w:val="32"/>
          <w:szCs w:val="32"/>
        </w:rPr>
        <w:t> 食</w:t>
      </w:r>
      <w:r>
        <w:rPr>
          <w:rFonts w:hint="eastAsia" w:ascii="仿宋_GB2312" w:hAnsi="微软雅黑" w:eastAsia="仿宋_GB2312" w:cs="宋体"/>
          <w:color w:val="333333"/>
          <w:spacing w:val="-6"/>
          <w:kern w:val="0"/>
          <w:sz w:val="32"/>
          <w:szCs w:val="32"/>
        </w:rPr>
        <w:t>品相关产品生产者应当通过自行检验，或者委托具备相应资质的检验机构对产品进行检验，形成并保存相应记录，检验合格后方可出厂或者销售。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食</w:t>
      </w:r>
      <w:r>
        <w:rPr>
          <w:rFonts w:hint="eastAsia" w:ascii="仿宋_GB2312" w:hAnsi="微软雅黑" w:eastAsia="仿宋_GB2312" w:cs="宋体"/>
          <w:color w:val="333333"/>
          <w:spacing w:val="-6"/>
          <w:kern w:val="0"/>
          <w:sz w:val="32"/>
          <w:szCs w:val="32"/>
        </w:rPr>
        <w:t>品相关产品生产者应当建立不合格产品管理制度，对检验结果不合格的产品进行相应处置。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第十二条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食品相关产品销售者应当建立并实施食品相关产品进货查验制度，验明供货者营业执照、相关许可证件、产品合格证明和产品标识，如实记录食品相关产品的名称、数量、进货日期以及供货者名称、地址、联系方式等内容，并保存相关凭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第十三条</w:t>
      </w:r>
      <w:r>
        <w:rPr>
          <w:rFonts w:hint="eastAsia" w:ascii="仿宋_GB2312" w:hAnsi="微软雅黑" w:eastAsia="仿宋_GB2312" w:cs="宋体"/>
          <w:color w:val="333333"/>
          <w:kern w:val="0"/>
          <w:sz w:val="32"/>
          <w:szCs w:val="32"/>
        </w:rPr>
        <w:t> 本办法第十条、第十一条和第十二条要求形成的相关记录和凭证保存期限不得少于产品保质期，产品保质期不足二年的或者没有明确保质期的，保存期限不得少于二年。</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第十四条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食品相关产品生产者应当建立食品相关产品质量安全追溯制度，保证从原辅料和添加剂采购到产品销售所有环节均可有效追溯。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鼓励食品相关产品生产者、销售者采用信息化手段采集、留存生产和销售信息，建立食品相关产品质量安全追溯体系。</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第十五条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食品相关产品标识信息应当清晰、真实、准确，不得欺骗、误导消费者。标识信息应当标明下列事项：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（一）食品相关产品名称；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（二）生产者名称、地址、联系方式；</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（三）生产日期和保质期（适用时）；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（四）执行标准；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（五）材质和类别；</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（六）注意事项或者警示信息；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（七）法律、法规、规章、食品安全标准及其他强制性规定要求的应当标明的其他事项。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食品相关产品还应当按照有关标准要求在显著位置标注“食品接触用”“食品包装用”等用语或者标志。</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食品安全标准对食品相关产品标识信息另有其他要求的，从其规定。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第十六条</w:t>
      </w:r>
      <w:r>
        <w:rPr>
          <w:rFonts w:hint="eastAsia" w:ascii="仿宋_GB2312" w:hAnsi="微软雅黑" w:eastAsia="仿宋_GB2312" w:cs="宋体"/>
          <w:color w:val="333333"/>
          <w:kern w:val="0"/>
          <w:sz w:val="32"/>
          <w:szCs w:val="32"/>
        </w:rPr>
        <w:t> 鼓励食品相关产品生产者将所生产的食品相关产品有关内容向社会公示。鼓励有条件的食品相关产品生产者以电子信息、追溯信息码等方式进行公示。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第十七条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食品相关产品需要召回的，按照国家召回管理的有关规定执行。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第十八条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鼓励食品相关产品生产者、销售者参加相关安全责任保险。</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第三章</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监督管理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第十九条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对直接接触食品的包装材料等具有较高风险的食品相关产品，按照国家有关工业产品生产许可证管理的规定实施生产许可。食品相关产品生产许可实行告知承诺审批和全覆盖例行检查。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省级市场监督管理部门负责组织实施本行政区域内食品相关产品生产许可和监督管理。根据需要，省级市场监督管理部门可以将食品相关产品生产许可委托下级市场监督管理部门实施。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第二十条</w:t>
      </w:r>
      <w:r>
        <w:rPr>
          <w:rFonts w:hint="eastAsia" w:ascii="仿宋_GB2312" w:hAnsi="微软雅黑" w:eastAsia="仿宋_GB2312" w:cs="宋体"/>
          <w:color w:val="333333"/>
          <w:kern w:val="0"/>
          <w:sz w:val="32"/>
          <w:szCs w:val="32"/>
        </w:rPr>
        <w:t> 市场监督管理部门建立分层分级、精准防控、末端发力、终端见效工作机制，以“双随机、一公开”监管为主要方式，随机抽取检查对象，随机选派检查人员对食品相关产品生产者、销售者实施日常监督检查，及时向社会公开检查事项及检查结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市场监督管理部门实施日常监督检查主要包括书面审查和现场检查。必要时，可以邀请检验检测机构、科研院所等技术机构为日常监督检查提供技术支撑。</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第二十一条</w:t>
      </w:r>
      <w:r>
        <w:rPr>
          <w:rFonts w:hint="eastAsia" w:ascii="仿宋_GB2312" w:hAnsi="微软雅黑" w:eastAsia="仿宋_GB2312" w:cs="宋体"/>
          <w:color w:val="333333"/>
          <w:kern w:val="0"/>
          <w:sz w:val="32"/>
          <w:szCs w:val="32"/>
        </w:rPr>
        <w:t> 对食品相关产品生产者实施日常监督检查的事项包括：生产者资质、生产环境条件、设备设施管理、原辅料控制、生产关键环节控制、检验控制、运输及交付控制、标识信息、不合格品管理和产品召回、从业人员管理、信息记录和追溯、质量安全事故处置等情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第二十二条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对食品相关产品销售者实施日常监督检查的事项包括：销售者资质、进货查验结果、食品相关产品贮存、标识信息、质量安全事故处置等情况。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第二十三条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市场监督管理部门实施日常监督检查，可以要求食品相关产品生产者、销售者如实提供本办法第二十一条、第二十二条规定的相关材料。必要时，可以要求被检查单位作出说明或者提供补充材料。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日常监督检查发现食品相关产品可能存在质量安全问题的，市场监督管理部门可以组织技术机构对工艺控制参数、记录的数据参数或者食品相关产品进行抽样检验、测试、验证。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市场监督管理部门应当记录、汇总和分析食品相关产品日常监督检查信息。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第二十四条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市场监督管理部门对其他部门移送、上级交办、投诉、举报等途径和检验检测、风险监测等方式发现的食品相关产品质量安全问题线索，根据需要可以对食品相关产品生产者、销售者及其产品实施针对性监督检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555"/>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第二十五条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县级以上地方市场监督管理部门对食品相关产品生产者、销售者进行监督检查时，有权采取下列措施：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（一）进入生产、销售场所实施现场检查；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（二）对生产、销售的食品相关产品进行抽样检验；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（三）查阅、复制有关合同、票据、账簿以及其他有关资料；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（四）查封、扣押有证据证明不符合食品安全标准或者有证据证明存在质量安全隐患以及用于违法生产经营的食品相关产品、工具、设备；</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（五）查封违法从事食品相关产品生产经营活动的场所；</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（六）法律法规规定的其他措施。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第二十六条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县级以上地方市场监督管理部门应当对监督检查中发现的问题，书面提出整改要求及期限。被检查企业应当按期整改，并将整改情况报告市场监督管理部门。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对监督检查中发现的违法行为，应当依法查处；不属于本部门职责或者超出监管范围的，应当及时移送有权处理的部门；涉嫌构成犯罪的，应当及时移送公安机关。</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第二十七条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市场监督管理部门对可能危及人体健康和人身、财产安全的食品相关产品，影响国计民生以及消费者、有关组织反映有质量安全问题的食品相关产品，依据产品质量监督抽查有关规定进行监督抽查。法律、法规、规章对食品相关产品质量安全的监督抽查另有规定的，依照有关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第二十八条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县级以上地方市场监督管理部门应当建立完善本行政区域内食品相关产品生产者名录数据库。鼓励运用信息化手段实现电子化管理。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县级以上地方市场监督管理部门可以根据食品相关产品质量安全风险监测、风险评估结果和质量安全状况等，结合企业信用风险分类结果，对食品相关产品生产者实施质量安全风险分级监督管理。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第二十九条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国家市场监督管理总局按照有关规定实施国家食品相关产品质量安全风险监测。省级市场监督管理部门按照本行政区域的食品相关产品质量安全风险监测方案，开展食品相关产品质量安全风险监测工作。风险监测结果表明可能存在质量安全隐患的，应当将相关信息通报同级卫生行政等部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555"/>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承担食品相关产品质量安全风险监测工作的技术机构应当根据食品相关产品质量安全风险监测计划和监测方案开展监测工作，保证监测数据真实、准确，并按照要求报送监测数据和分析结果。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第三十条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国家市场监督管理总局按照国家有关规定向相关部门通报食品相关产品质量安全信息。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县级以上地方市场监督管理部门按照有关要求向上一级市场监督管理部门、同级相关部门通报食品相关产品质量安全信息。通报信息涉及其他地区的，应当及时向相关地区同级部门通报。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第三十一条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食品相关产品质量安全信息包括以下内容：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（一）食品相关产品生产许可、监督抽查、监督检查和风险监测中发现的食品相关产品质量安全信息；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（二）有关部门通报的，行业协会和消费者协会等组织、企业和消费者反映的食品相关产品质量安全信息；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（三）舆情反映的食品相关产品质量安全信息；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（四）其他与食品相关产品质量安全有关的信息。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第三十二条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市场监督管理部门对食品相关产品质量安全风险信息可以组织风险研判，进行食品相关产品质量安全状况综合分析，或者会同同级人民政府有关部门、行业组织、企业等共同研判。认为需要进行风险评估的，应当向同级卫生行政部门提出风险评估的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第三十三条</w:t>
      </w:r>
      <w:r>
        <w:rPr>
          <w:rFonts w:hint="eastAsia" w:ascii="仿宋_GB2312" w:hAnsi="微软雅黑" w:eastAsia="仿宋_GB2312" w:cs="宋体"/>
          <w:color w:val="333333"/>
          <w:kern w:val="0"/>
          <w:sz w:val="32"/>
          <w:szCs w:val="32"/>
        </w:rPr>
        <w:t> 市场监督管理部门实施食品相关产品生产许可、全覆盖例行检查、监督检查以及产品质量监督抽查中作出的行政处罚信息，依法记入国家企业信用信息公示系统，向社会公示。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第四章</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法律责任</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3"/>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第三十四条</w:t>
      </w:r>
      <w:r>
        <w:rPr>
          <w:rFonts w:hint="eastAsia" w:ascii="楷体_GB2312" w:hAnsi="微软雅黑" w:eastAsia="楷体_GB2312" w:cs="宋体"/>
          <w:color w:val="333333"/>
          <w:kern w:val="0"/>
          <w:sz w:val="32"/>
          <w:szCs w:val="32"/>
        </w:rPr>
        <w:t> </w:t>
      </w:r>
      <w:r>
        <w:rPr>
          <w:rFonts w:hint="eastAsia" w:ascii="仿宋_GB2312" w:hAnsi="微软雅黑" w:eastAsia="仿宋_GB2312" w:cs="宋体"/>
          <w:color w:val="333333"/>
          <w:kern w:val="0"/>
          <w:sz w:val="32"/>
          <w:szCs w:val="32"/>
        </w:rPr>
        <w:t>违反本办法规定，法律、法规对违法行为处罚已有规定的，依照其规定执行。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3"/>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第三十五条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违反本办法第六条第一项规定，使用不符合食品安全标准及相关公告的原辅料和添加剂，以及其他可能危害人体健康的物质作为原辅料生产食品相关产品，或者超范围、超限量使用添加剂生产食品相关产品的，处十万元以下罚款；情节严重的，处二十万元以下罚款。</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第三十六条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违反本办法规定，有下列情形之一的，责令限期改正；逾期不改或者改正后仍然不符合要求的，处三万元以下罚款；情节严重的，处五万元以下罚款：</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3"/>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（一）食品相关产品生产者未建立并实施本办法第九条第一款规定的食品相关产品质量安全管理制度的；</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3"/>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（二）食品相关产品生产者未按照本办法第九条第二款规定制定食品相关产品质量安全事故处置方案的；</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3"/>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（三）食品相关产品生产者未按照本办法第十条规定实施原辅料控制以及开展相关安全评估验证的；</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3"/>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（四）食品相关产品生产者未按照本办法第十一条第二款规定建立并实施不合格产品管理制度、对检验结果不合格的产品进行相应处置的；</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3"/>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（五）食品相关产品销售者未按照本办法第十二条建立并实施进货查验制度的。</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第三十七条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市场监督管理部门工作人员，在食品相关产品质量安全监督管理工作中玩忽职守、滥用职权、徇私舞弊的，依法追究法律责任；涉嫌违纪违法的，移送纪检监察机关依纪依规依法给予党纪政务处分；涉嫌违法犯罪的，移送监察机关、司法机关依法处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第五章</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 </w:t>
      </w:r>
      <w:r>
        <w:rPr>
          <w:rFonts w:hint="eastAsia" w:ascii="黑体" w:hAnsi="黑体" w:eastAsia="黑体" w:cs="宋体"/>
          <w:color w:val="333333"/>
          <w:kern w:val="0"/>
          <w:sz w:val="32"/>
          <w:szCs w:val="32"/>
        </w:rPr>
        <w:t>附则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第三十八条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本办法所称食品相关产品，是指用于食品的包装材料、容器、洗涤剂、消毒剂和用于食品生产经营的工具、设备。其中，消毒剂的质量安全监督管理按照有关规定执行。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jc w:val="lef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第三十九条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本办法自2023年3月1日起施行。</w:t>
      </w:r>
    </w:p>
    <w:p>
      <w:pPr>
        <w:keepNext w:val="0"/>
        <w:keepLines w:val="0"/>
        <w:pageBreakBefore w:val="0"/>
        <w:kinsoku/>
        <w:wordWrap/>
        <w:overflowPunct/>
        <w:topLinePunct w:val="0"/>
        <w:autoSpaceDE/>
        <w:autoSpaceDN/>
        <w:bidi w:val="0"/>
        <w:adjustRightInd/>
        <w:snapToGrid/>
        <w:spacing w:line="460" w:lineRule="exact"/>
        <w:textAlignment w:val="auto"/>
      </w:pPr>
    </w:p>
    <w:sectPr>
      <w:headerReference r:id="rId3" w:type="default"/>
      <w:footerReference r:id="rId4" w:type="default"/>
      <w:pgSz w:w="11906" w:h="16838"/>
      <w:pgMar w:top="1735" w:right="1474" w:bottom="1735" w:left="147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2010601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6"/>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6"/>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385445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30.35pt;height:0pt;width:442.55pt;z-index:251659264;mso-width-relative:page;mso-height-relative:page;" filled="f" stroked="t" coordsize="21600,21600" o:gfxdata="UEsDBAoAAAAAAIdO4kAAAAAAAAAAAAAAAAAEAAAAZHJzL1BLAwQUAAAACACHTuJAt6+th9MAAAAH&#10;AQAADwAAAGRycy9kb3ducmV2LnhtbE2OO0/DMBSFd6T+B+tWYmvtBghRiFOJSEzAQAu7G9/GUf2S&#10;7Sbl32PEQMfz0Dlfs70YTSYMcXSWw2bNgKDtnRztwOFz/7KqgMQkrBTaWeTwjRG27eKmEbV0s/3A&#10;aZcGkkdsrAUHlZKvKY29QiPi2nm0OTu6YETKMgxUBjHncaNpwVhJjRhtflDCY6ewP+3OhkP36otO&#10;ve/nUDzHt2G60/54+uL8drlhT0ASXtJ/GX7xMzq0mengzlZGojmsylzkULJHIDmuqvsHIIc/g7YN&#10;veZvfwBQSwMEFAAAAAgAh07iQAXuux7yAQAAvQMAAA4AAABkcnMvZTJvRG9jLnhtbK1TTY7TMBTe&#10;I3EHy3uaNNOWEjWdxVTDBkEl4ACuYyeW/Cc/T9NeggsgsYMVS/bchuEYPDthBobNLMjCefZ7/p6/&#10;z583lyejyVEEUM42dD4rKRGWu1bZrqHv310/W1MCkdmWaWdFQ88C6OX26ZPN4GtRud7pVgSCIBbq&#10;wTe0j9HXRQG8F4bBzHlhMSldMCziNHRFG9iA6EYXVVmuisGF1gfHBQCu7sYknRDDYwCdlIqLneM3&#10;Rtg4ogahWURK0CsPdJtPK6Xg8Y2UICLRDUWmMY/YBONDGovthtVdYL5XfDoCe8wRHnAyTFlsege1&#10;Y5GRm6D+gTKKBwdOxhl3phiJZEWQxbx8oM3bnnmRuaDU4O9Eh/8Hy18f94GotqELSiwzeOG3H7/9&#10;+PD55/dPON5+/UIWSaTBQ421V3Yfphn4fUiMTzKY9Ecu5IQw84uL9RLlPTd0vVqsn08ai1MkHPPL&#10;VVViASUcC3KuuMfwAeJL4QxJQUO1sok+q9nxFUTsi6W/S9KydddK63yF2pKhoRV+CZqhLyX6AUPj&#10;kRvYjhKmOzQ8jyFDgtOqTdsTEITucKUDObJkk3I5f1El0tjur7LUe8egH+tyajSQURHfhFYGOZfp&#10;m3ZriyBJulGsFB1ce84a5nW81dxmcmCyzZ/zvPv+1W1/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evrYfTAAAABwEAAA8AAAAAAAAAAQAgAAAAIgAAAGRycy9kb3ducmV2LnhtbFBLAQIUABQAAAAI&#10;AIdO4kAF7rse8gEAAL0DAAAOAAAAAAAAAAEAIAAAACIBAABkcnMvZTJvRG9jLnhtbFBLBQYAAAAA&#10;BgAGAFkBAACG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170AE"/>
    <w:rsid w:val="00090A43"/>
    <w:rsid w:val="000F7C3B"/>
    <w:rsid w:val="00172A27"/>
    <w:rsid w:val="00190F0F"/>
    <w:rsid w:val="002F2B45"/>
    <w:rsid w:val="003D0EA2"/>
    <w:rsid w:val="006120F8"/>
    <w:rsid w:val="00637CAC"/>
    <w:rsid w:val="00750507"/>
    <w:rsid w:val="00891FFC"/>
    <w:rsid w:val="00915729"/>
    <w:rsid w:val="00960532"/>
    <w:rsid w:val="00964DF5"/>
    <w:rsid w:val="009D125D"/>
    <w:rsid w:val="00AC5533"/>
    <w:rsid w:val="00B7088B"/>
    <w:rsid w:val="00B900B7"/>
    <w:rsid w:val="00BA7A05"/>
    <w:rsid w:val="00C26E20"/>
    <w:rsid w:val="00D7266E"/>
    <w:rsid w:val="00E01234"/>
    <w:rsid w:val="00E17290"/>
    <w:rsid w:val="00F1250C"/>
    <w:rsid w:val="00F77982"/>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BCA037D"/>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3F26C1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link w:val="27"/>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4">
    <w:name w:val="Balloon Text"/>
    <w:basedOn w:val="1"/>
    <w:link w:val="14"/>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2"/>
    <w:basedOn w:val="1"/>
    <w:next w:val="1"/>
    <w:unhideWhenUsed/>
    <w:qFormat/>
    <w:uiPriority w:val="39"/>
    <w:pPr>
      <w:widowControl/>
      <w:spacing w:before="100" w:beforeAutospacing="1" w:after="100" w:afterAutospacing="1"/>
      <w:jc w:val="left"/>
    </w:pPr>
    <w:rPr>
      <w:rFonts w:ascii="宋体" w:hAnsi="宋体" w:eastAsia="宋体" w:cs="宋体"/>
      <w:kern w:val="0"/>
      <w:sz w:val="24"/>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1">
    <w:name w:val="Strong"/>
    <w:basedOn w:val="10"/>
    <w:qFormat/>
    <w:uiPriority w:val="22"/>
    <w:rPr>
      <w:b/>
      <w:bCs/>
    </w:rPr>
  </w:style>
  <w:style w:type="character" w:styleId="12">
    <w:name w:val="FollowedHyperlink"/>
    <w:basedOn w:val="10"/>
    <w:qFormat/>
    <w:uiPriority w:val="0"/>
    <w:rPr>
      <w:color w:val="2B84B5"/>
    </w:rPr>
  </w:style>
  <w:style w:type="character" w:styleId="13">
    <w:name w:val="Hyperlink"/>
    <w:basedOn w:val="10"/>
    <w:qFormat/>
    <w:uiPriority w:val="0"/>
    <w:rPr>
      <w:rFonts w:hint="eastAsia" w:ascii="微软雅黑" w:hAnsi="微软雅黑" w:eastAsia="微软雅黑" w:cs="微软雅黑"/>
      <w:color w:val="0000FF"/>
      <w:u w:val="none"/>
    </w:rPr>
  </w:style>
  <w:style w:type="character" w:customStyle="1" w:styleId="14">
    <w:name w:val="批注框文本 Char"/>
    <w:basedOn w:val="10"/>
    <w:link w:val="4"/>
    <w:qFormat/>
    <w:uiPriority w:val="0"/>
    <w:rPr>
      <w:rFonts w:asciiTheme="minorHAnsi" w:hAnsiTheme="minorHAnsi" w:eastAsiaTheme="minorEastAsia" w:cstheme="minorBidi"/>
      <w:kern w:val="2"/>
      <w:sz w:val="18"/>
      <w:szCs w:val="18"/>
    </w:rPr>
  </w:style>
  <w:style w:type="paragraph" w:styleId="15">
    <w:name w:val="List Paragraph"/>
    <w:basedOn w:val="1"/>
    <w:unhideWhenUsed/>
    <w:qFormat/>
    <w:uiPriority w:val="99"/>
    <w:pPr>
      <w:ind w:firstLine="420" w:firstLineChars="200"/>
    </w:pPr>
  </w:style>
  <w:style w:type="character" w:customStyle="1" w:styleId="16">
    <w:name w:val="noline"/>
    <w:basedOn w:val="10"/>
    <w:qFormat/>
    <w:uiPriority w:val="0"/>
  </w:style>
  <w:style w:type="character" w:customStyle="1" w:styleId="17">
    <w:name w:val="hover54"/>
    <w:basedOn w:val="10"/>
    <w:qFormat/>
    <w:uiPriority w:val="0"/>
    <w:rPr>
      <w:color w:val="025291"/>
    </w:rPr>
  </w:style>
  <w:style w:type="character" w:customStyle="1" w:styleId="18">
    <w:name w:val="hover55"/>
    <w:basedOn w:val="10"/>
    <w:qFormat/>
    <w:uiPriority w:val="0"/>
    <w:rPr>
      <w:color w:val="2B84B5"/>
    </w:rPr>
  </w:style>
  <w:style w:type="character" w:customStyle="1" w:styleId="19">
    <w:name w:val="hover56"/>
    <w:basedOn w:val="10"/>
    <w:qFormat/>
    <w:uiPriority w:val="0"/>
    <w:rPr>
      <w:color w:val="D52222"/>
    </w:rPr>
  </w:style>
  <w:style w:type="character" w:customStyle="1" w:styleId="20">
    <w:name w:val="place"/>
    <w:basedOn w:val="10"/>
    <w:qFormat/>
    <w:uiPriority w:val="0"/>
  </w:style>
  <w:style w:type="character" w:customStyle="1" w:styleId="21">
    <w:name w:val="place1"/>
    <w:basedOn w:val="10"/>
    <w:qFormat/>
    <w:uiPriority w:val="0"/>
    <w:rPr>
      <w:rFonts w:ascii="微软雅黑" w:hAnsi="微软雅黑" w:eastAsia="微软雅黑" w:cs="微软雅黑"/>
      <w:color w:val="888888"/>
      <w:sz w:val="25"/>
      <w:szCs w:val="25"/>
    </w:rPr>
  </w:style>
  <w:style w:type="character" w:customStyle="1" w:styleId="22">
    <w:name w:val="place2"/>
    <w:basedOn w:val="10"/>
    <w:qFormat/>
    <w:uiPriority w:val="0"/>
  </w:style>
  <w:style w:type="character" w:customStyle="1" w:styleId="23">
    <w:name w:val="place3"/>
    <w:basedOn w:val="10"/>
    <w:qFormat/>
    <w:uiPriority w:val="0"/>
  </w:style>
  <w:style w:type="character" w:customStyle="1" w:styleId="24">
    <w:name w:val="file"/>
    <w:basedOn w:val="10"/>
    <w:qFormat/>
    <w:uiPriority w:val="0"/>
    <w:rPr>
      <w:color w:val="4D4D4D"/>
      <w:sz w:val="21"/>
      <w:szCs w:val="21"/>
    </w:rPr>
  </w:style>
  <w:style w:type="character" w:customStyle="1" w:styleId="25">
    <w:name w:val="folder"/>
    <w:basedOn w:val="10"/>
    <w:qFormat/>
    <w:uiPriority w:val="0"/>
  </w:style>
  <w:style w:type="character" w:customStyle="1" w:styleId="26">
    <w:name w:val="folder1"/>
    <w:basedOn w:val="10"/>
    <w:qFormat/>
    <w:uiPriority w:val="0"/>
    <w:rPr>
      <w:color w:val="4D4D4D"/>
      <w:sz w:val="21"/>
      <w:szCs w:val="21"/>
    </w:rPr>
  </w:style>
  <w:style w:type="character" w:customStyle="1" w:styleId="27">
    <w:name w:val="纯文本 Char"/>
    <w:basedOn w:val="10"/>
    <w:link w:val="3"/>
    <w:qFormat/>
    <w:uiPriority w:val="99"/>
    <w:rPr>
      <w:rFonts w:ascii="宋体" w:hAnsi="宋体" w:cs="宋体"/>
      <w:sz w:val="24"/>
      <w:szCs w:val="24"/>
    </w:rPr>
  </w:style>
  <w:style w:type="paragraph" w:customStyle="1" w:styleId="28">
    <w:name w:val="16"/>
    <w:basedOn w:val="1"/>
    <w:qFormat/>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13</Pages>
  <Words>5032</Words>
  <Characters>5043</Characters>
  <Lines>36</Lines>
  <Paragraphs>10</Paragraphs>
  <TotalTime>164</TotalTime>
  <ScaleCrop>false</ScaleCrop>
  <LinksUpToDate>false</LinksUpToDate>
  <CharactersWithSpaces>5099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2022-10-11T01:00:00Z</cp:lastPrinted>
  <dcterms:modified xsi:type="dcterms:W3CDTF">2023-11-11T02:07:29Z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