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pacing w:val="11"/>
          <w:kern w:val="2"/>
          <w:sz w:val="40"/>
          <w:szCs w:val="40"/>
          <w:lang w:val="en-US" w:eastAsia="zh-CN" w:bidi="ar-SA"/>
        </w:rPr>
      </w:pPr>
      <w:r>
        <w:rPr>
          <w:rFonts w:hint="default" w:ascii="Times New Roman" w:hAnsi="Times New Roman" w:eastAsia="方正小标宋_GBK" w:cs="Times New Roman"/>
          <w:color w:val="auto"/>
          <w:spacing w:val="11"/>
          <w:kern w:val="2"/>
          <w:sz w:val="40"/>
          <w:szCs w:val="40"/>
          <w:lang w:eastAsia="zh-CN" w:bidi="ar-SA"/>
        </w:rPr>
        <w:t>全面推进</w:t>
      </w:r>
      <w:r>
        <w:rPr>
          <w:rFonts w:hint="default" w:ascii="Times New Roman" w:hAnsi="Times New Roman" w:eastAsia="方正小标宋_GBK" w:cs="Times New Roman"/>
          <w:color w:val="auto"/>
          <w:spacing w:val="11"/>
          <w:kern w:val="2"/>
          <w:sz w:val="40"/>
          <w:szCs w:val="40"/>
          <w:lang w:val="en-US" w:eastAsia="zh-CN" w:bidi="ar-SA"/>
        </w:rPr>
        <w:t>“百县千镇万村高质量发展工程”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pacing w:val="11"/>
          <w:kern w:val="2"/>
          <w:sz w:val="40"/>
          <w:szCs w:val="40"/>
          <w:lang w:eastAsia="zh-CN" w:bidi="ar-SA"/>
        </w:rPr>
      </w:pPr>
      <w:r>
        <w:rPr>
          <w:rFonts w:hint="default" w:ascii="Times New Roman" w:hAnsi="Times New Roman" w:eastAsia="方正小标宋_GBK" w:cs="Times New Roman"/>
          <w:color w:val="auto"/>
          <w:spacing w:val="11"/>
          <w:kern w:val="2"/>
          <w:sz w:val="40"/>
          <w:szCs w:val="40"/>
          <w:lang w:val="en-US" w:eastAsia="zh-CN" w:bidi="ar-SA"/>
        </w:rPr>
        <w:t>促进城乡区域协调发展的实施</w:t>
      </w:r>
      <w:r>
        <w:rPr>
          <w:rFonts w:hint="default" w:ascii="Times New Roman" w:hAnsi="Times New Roman" w:eastAsia="方正小标宋_GBK" w:cs="Times New Roman"/>
          <w:color w:val="auto"/>
          <w:spacing w:val="11"/>
          <w:kern w:val="2"/>
          <w:sz w:val="40"/>
          <w:szCs w:val="40"/>
          <w:lang w:eastAsia="zh-CN" w:bidi="ar-SA"/>
        </w:rPr>
        <w:t>方案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pacing w:val="11"/>
          <w:sz w:val="40"/>
          <w:szCs w:val="40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</w:rPr>
        <w:t>为深入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  <w:lang w:eastAsia="zh-CN"/>
        </w:rPr>
        <w:t>贯彻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</w:rPr>
        <w:t>党的二十大精神，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  <w:lang w:eastAsia="zh-CN"/>
        </w:rPr>
        <w:t>认真落实省委《关于实施“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</w:rPr>
        <w:t>百县千镇万村高质量发展工程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  <w:lang w:eastAsia="zh-CN"/>
        </w:rPr>
        <w:t>”促进城乡区域协调发展的决定》及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</w:rPr>
        <w:t>市委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  <w:lang w:eastAsia="zh-CN"/>
        </w:rPr>
        <w:t>关于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</w:rPr>
        <w:t>大力实施“百县千镇万村高质量发展工程”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  <w:lang w:eastAsia="zh-CN"/>
        </w:rPr>
        <w:t>部署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  <w:lang w:eastAsia="zh-CN"/>
        </w:rPr>
        <w:t>推动城乡区域协调发展迈向更高质量更高水平，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</w:rPr>
        <w:t>结合我区实际，现制定以下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  <w:lang w:val="en-US" w:eastAsia="zh-CN"/>
        </w:rPr>
        <w:t>实施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shd w:val="clear" w:color="auto" w:fill="FFFFFF"/>
        </w:rPr>
        <w:t>方案。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</w:rPr>
      </w:pP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一、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</w:rPr>
        <w:t>发展目标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"/>
        </w:rPr>
        <w:t>到2025年，以制造业当家夯实实体经济，奋力打造千亿园区，国家高新区排名进入前50强，城乡融合发展体制机制逐步完善，街道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kern w:val="2"/>
          <w:sz w:val="32"/>
          <w:szCs w:val="32"/>
          <w:shd w:val="clear" w:color="auto" w:fill="FFFFFF"/>
          <w:lang w:val="en-US" w:eastAsia="zh-CN" w:bidi="ar-SA"/>
        </w:rPr>
        <w:t>特色发展、错位发展格局基本形成，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"/>
        </w:rPr>
        <w:t>乡村振兴取得新的成效。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"/>
        </w:rPr>
        <w:t>到2027年，县域综合实力大幅提升，国家高新区排名持续争先进位，街道特色经济发展成效明显，基本公共服务均等化水平大幅提升，城乡区域协调发展取得突破性进展，和美乡村建设取得显著成效。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"/>
        </w:rPr>
        <w:t>展望2035年，高质量发展迈上更高台阶，科技创新能力显著增强，国家高新区排名进入上游，街道特色经济高质量发展，城市建设和管理水平大幅提升，乡村振兴全面实现，共同富裕取得更为明显的实质性进展，基本实现社会主义现代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lang w:val="en-US" w:eastAsia="zh-CN"/>
        </w:rPr>
        <w:t>二、重点工作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（一）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</w:rPr>
        <w:t>坚持制造业当家，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eastAsia="zh-CN"/>
        </w:rPr>
        <w:t>实施高质量发展“固基”行动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zh-Hans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lang w:val="en-US" w:eastAsia="zh-CN" w:bidi="ar-SA"/>
        </w:rPr>
        <w:t>1.着力打造战略性产业集群。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en-US" w:eastAsia="zh-CN" w:bidi="ar-SA"/>
        </w:rPr>
        <w:t>坚持招强培优战略，推动战略性新兴产业融合集群发展，优化区域产业布局，以“1+3+2”战略性产业集群建设为抓手，做大做强高新工业“脊梁”。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zh-Hans" w:eastAsia="zh-CN" w:bidi="ar-SA"/>
        </w:rPr>
        <w:t>紧抓安全应急产业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en-US" w:eastAsia="zh-CN" w:bidi="ar-SA"/>
        </w:rPr>
        <w:t>培育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zh-Hans" w:eastAsia="zh-CN" w:bidi="ar-SA"/>
        </w:rPr>
        <w:t>，促进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zh-Hans" w:eastAsia="zh-Hans" w:bidi="ar-SA"/>
        </w:rPr>
        <w:t>高端装备制造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zh-Hans" w:eastAsia="zh-CN" w:bidi="ar-SA"/>
        </w:rPr>
        <w:t>、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zh-Hans" w:eastAsia="zh-Hans" w:bidi="ar-SA"/>
        </w:rPr>
        <w:t>前沿新材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料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新一代电子信息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/>
        </w:rPr>
        <w:t>等三大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新兴产业集群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</w:rPr>
        <w:t>发展壮大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/>
        </w:rPr>
        <w:t>巩固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智能家电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生物医药与健康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/>
        </w:rPr>
        <w:t>两大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传统产业优势，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强化“链长制”工作机制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/>
        </w:rPr>
        <w:t>强化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延链补链强链。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/>
        </w:rPr>
        <w:t>力争至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sz w:val="32"/>
          <w:szCs w:val="32"/>
          <w:highlight w:val="none"/>
          <w:u w:val="none"/>
          <w:shd w:val="clear" w:color="auto" w:fill="auto"/>
          <w:lang w:val="zh-Hans" w:eastAsia="zh-Hans"/>
        </w:rPr>
        <w:t>2025年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打造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个超300亿产业集群、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个超200亿产业集群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CN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个超1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 w:eastAsia="zh-Hans"/>
        </w:rPr>
        <w:t>0亿产业集群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zh-Hans" w:eastAsia="zh-CN"/>
        </w:rPr>
        <w:t>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区经济促进局牵头，区发展和改革局、区科学技术局、各街道办事处配合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after="0"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kern w:val="2"/>
          <w:sz w:val="32"/>
          <w:szCs w:val="32"/>
          <w:highlight w:val="none"/>
          <w:lang w:val="zh-Han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  <w:t>2.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sz w:val="32"/>
          <w:szCs w:val="32"/>
          <w:u w:val="none"/>
          <w:lang w:val="en-US" w:eastAsia="zh-CN"/>
        </w:rPr>
        <w:t>加速安全应急产业发展。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实施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国家安全应急产业（综合类）示范基地创建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三年行动计划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力争两年内完成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。编制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CN"/>
        </w:rPr>
        <w:t>安全应急产业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园区空间规划，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强化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园区基础设施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配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套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建设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Hans"/>
        </w:rPr>
        <w:t>完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zh-Hans" w:eastAsia="zh-Hans" w:bidi="ar-SA"/>
        </w:rPr>
        <w:t>善“安全应急产业总部+孵化基地”“产业加速园”“产业基地”三大功能区域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zh-Hans" w:eastAsia="zh-CN" w:bidi="ar-SA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深化与国科大合作，推动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Hans"/>
        </w:rPr>
        <w:t>江海智慧安全应急联合实验室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Hans"/>
        </w:rPr>
        <w:t>江门安全应急产业（北京）孵化器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加快建设、运营，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促进安全应急领域技术研发和成果加快转化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Hans"/>
        </w:rPr>
        <w:t>构建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zh-Hans" w:eastAsia="zh-Hans"/>
        </w:rPr>
        <w:t>“产学研用”一体化产业链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zh-Hans"/>
        </w:rPr>
        <w:t>。重大科研成果和高端应用技术项目在本区转化落地的，给予最高3000万元的奖励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zh-Hans" w:eastAsia="zh-CN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u w:val="none"/>
          <w:lang w:val="zh-Hans" w:eastAsia="zh-CN"/>
        </w:rPr>
        <w:t>力争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shd w:val="clear" w:color="auto" w:fill="FFFFFF"/>
          <w:lang w:val="en-US" w:eastAsia="zh-CN"/>
        </w:rPr>
        <w:t>至2025年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安全应急产业产值年均增长超16%。</w:t>
      </w:r>
      <w:r>
        <w:rPr>
          <w:rFonts w:hint="default" w:ascii="Times New Roman" w:hAnsi="Times New Roman" w:eastAsia="方正黑体_GBK" w:cs="Times New Roman"/>
          <w:color w:val="auto"/>
          <w:spacing w:val="11"/>
          <w:kern w:val="2"/>
          <w:sz w:val="32"/>
          <w:szCs w:val="32"/>
          <w:highlight w:val="none"/>
          <w:lang w:val="en-US" w:eastAsia="zh-CN" w:bidi="ar-SA"/>
        </w:rPr>
        <w:t>【责任单位：区经济促进局、投资促进中心牵头，区科学技术局、各街道办事处配合】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  <w:t>3.全力推进招商引资。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深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en-US" w:eastAsia="zh-CN" w:bidi="ar-SA"/>
        </w:rPr>
        <w:t>化“大招商”格局，加强以商引商、以链引商、以侨引商、联合招商，落实 “一把手”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带头招商，区领导要亲自招、带头招，党政班子成员年均引进1个以上超5亿元项目，各街道各部门要主动出击，上门招商，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11"/>
          <w:sz w:val="32"/>
          <w:szCs w:val="32"/>
          <w:u w:val="none"/>
          <w:lang w:bidi="ar"/>
        </w:rPr>
        <w:t>健全招商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工作体制机制，实施社会化运作、企业化管理，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打造专业化招商队伍，强化社会化专业招商，拓展市场化招商渠道，常态化开展驻外招商。聚焦产业链招商，新引进产业项目按照固定资产投资额给予最高1000万元奖励，对总部经济企业和重大项目给予政策支持。力争2025年年均引进亿元以上项目不少于55个、10亿元以上项目不少于10个，在引进50亿乃至100亿项目上取得突破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区投资促进中心牵头，区有关单位配合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lang w:val="en-US" w:eastAsia="zh-CN" w:bidi="ar-SA"/>
        </w:rPr>
        <w:t>4.梯度培育优质企业。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建立企业梯度培育体系，实施“个转企、小升规、规改股、股上市”市场主体培育计划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zh-Hans"/>
        </w:rPr>
        <w:t>，企业完成境内上市最高可获得560万元奖励，力争每年推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动1家以上企业在A股上市，不断壮大资本市场的“江海板块”。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zh-Hans"/>
        </w:rPr>
        <w:t>建立“小升规”企业动态培育库，对“新升规”工业企业最高给予50万元奖励。创新优质企业增资扩产机制，对转型升级企业最高给予1000万元奖励。加大单项冠军企业和专精特新企业引进和培育力度，对首次认定为国家级专精特新“小巨人”企业和省级“专精特新”中小企业的，最高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zh-Hans" w:eastAsia="zh-CN"/>
        </w:rPr>
        <w:t>分别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zh-Hans"/>
        </w:rPr>
        <w:t>给予50万元和30万元奖励。实施中小企业数字化赋能专项行动，加快传统产业数字化智能化改造，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对购置生产、研发设备的工业企业，最高给予5000万元奖励。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区经济促进局、区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市场监</w:t>
      </w:r>
      <w:r>
        <w:rPr>
          <w:rFonts w:hint="eastAsia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督</w:t>
      </w:r>
      <w:bookmarkStart w:id="0" w:name="_GoBack"/>
      <w:bookmarkEnd w:id="0"/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管理局、区金融工作办公室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牵头，各街道办事处配合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lang w:val="en-US" w:eastAsia="zh-CN" w:bidi="ar-SA"/>
        </w:rPr>
        <w:t>5.着力培育现代服务业。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大力推动商圈建设，优化江海万达、江海广场、利生车城等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en-US" w:eastAsia="zh-CN" w:bidi="ar-SA"/>
        </w:rPr>
        <w:t>商圈消费环境，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0"/>
          <w:sz w:val="31"/>
          <w:szCs w:val="31"/>
          <w:highlight w:val="none"/>
          <w:lang w:val="en-US" w:eastAsia="zh-CN" w:bidi="ar"/>
        </w:rPr>
        <w:t>培育消费新热点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en-US" w:eastAsia="zh-CN" w:bidi="ar-SA"/>
        </w:rPr>
        <w:t>积极创造新型消费场景，引导家电、食品等优势产业大力发展“互联网+江海制造”，打通生产端和消费端数据链路。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制定优惠政策，招引和培育一批生产性服务业示范企业和平台。发力电商平台、服务外包、信息技术等生产性服务业招商，推动生产服务业与先进制造业融合发展。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区发展和改革局、区经济促进局牵头，区有关单位、各街道办事处配合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pStyle w:val="11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leftChars="0" w:right="0" w:firstLine="684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  <w:t>（二）坚持提升平台效能，实施高质量发展“跃升”行动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4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zh-Hans" w:eastAsia="zh-Hans"/>
        </w:rPr>
      </w:pPr>
      <w:r>
        <w:rPr>
          <w:rFonts w:hint="default" w:ascii="Times New Roman" w:hAnsi="Times New Roman" w:eastAsia="方正楷体_GBK" w:cs="Times New Roman"/>
          <w:b/>
          <w:bCs/>
          <w:color w:val="auto"/>
          <w:spacing w:val="11"/>
          <w:sz w:val="32"/>
          <w:szCs w:val="32"/>
          <w:highlight w:val="none"/>
          <w:u w:val="none"/>
          <w:lang w:val="en-US" w:eastAsia="zh-CN"/>
        </w:rPr>
        <w:t>6.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sz w:val="32"/>
          <w:szCs w:val="32"/>
          <w:u w:val="none"/>
          <w:lang w:val="zh-Hans" w:eastAsia="zh-Hans"/>
        </w:rPr>
        <w:t>深化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sz w:val="32"/>
          <w:szCs w:val="32"/>
          <w:u w:val="none"/>
          <w:lang w:val="zh-Hans"/>
        </w:rPr>
        <w:t>大型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sz w:val="32"/>
          <w:szCs w:val="32"/>
          <w:u w:val="none"/>
          <w:lang w:val="zh-Hans" w:eastAsia="zh-Hans"/>
        </w:rPr>
        <w:t>产业集聚区建设。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强化产城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人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融合，完善体制机制、运营模式，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加快推动江门大型产业集聚区东组团先行启动区建设，高标准规划园区布局，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  <w:lang w:val="en-US" w:eastAsia="zh-CN"/>
        </w:rPr>
        <w:t>加快推进深江铁路、深岑高速扩建，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主动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深化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与广州、深圳的产业协作、园区共建，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奋力打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en-US" w:eastAsia="zh-CN" w:bidi="ar-SA"/>
        </w:rPr>
        <w:t>造“总部+基地”“研发+生产”深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11"/>
          <w:kern w:val="0"/>
          <w:sz w:val="32"/>
          <w:szCs w:val="32"/>
          <w:u w:val="none"/>
        </w:rPr>
        <w:t>度分工合作示范区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Hans"/>
        </w:rPr>
        <w:t>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区经济促进局牵头，区发展和改革局、区自然资源局、区住房和城乡建设局、各街道办事处配合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4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sz w:val="32"/>
          <w:szCs w:val="32"/>
          <w:u w:val="none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sz w:val="32"/>
          <w:szCs w:val="32"/>
          <w:u w:val="none"/>
          <w:lang w:val="zh-Hans" w:eastAsia="zh-Hans"/>
        </w:rPr>
        <w:t>.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highlight w:val="none"/>
          <w:u w:val="none"/>
          <w:lang w:val="zh-Hans" w:eastAsia="zh-Hans" w:bidi="ar-SA"/>
        </w:rPr>
        <w:t>完善产业园区基础设施配套。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  <w:lang w:val="en-US" w:eastAsia="zh-CN"/>
        </w:rPr>
        <w:t>按照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“三年工程瞄准两年干”的工作要求，充分发挥专项债和政策性开发性金融工具作用，谋划推进产业园区交通、水体绿道建设，实现园区路网循环畅通。推进能源、港口、文体、学校、医疗卫生等公共服务设施建设，增强公共服务的均衡性和可及性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Hans"/>
        </w:rPr>
        <w:t>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区住房和城乡建设局牵头，区发展和改革局、区教育局、区财政局、区自然资源局、区农业农村和水利局、区文化广电旅游和体育局、区卫生健康局、各街道办事处配合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7" w:firstLineChars="200"/>
        <w:jc w:val="both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</w:rPr>
      </w:pPr>
      <w:r>
        <w:rPr>
          <w:rStyle w:val="15"/>
          <w:rFonts w:hint="default" w:ascii="Times New Roman" w:hAnsi="Times New Roman" w:eastAsia="方正仿宋_GBK" w:cs="Times New Roman"/>
          <w:b/>
          <w:bCs w:val="0"/>
          <w:i w:val="0"/>
          <w:caps w:val="0"/>
          <w:color w:val="auto"/>
          <w:spacing w:val="11"/>
          <w:sz w:val="32"/>
          <w:szCs w:val="32"/>
          <w:u w:val="none"/>
          <w:shd w:val="clear"/>
          <w:lang w:val="en-US" w:eastAsia="zh-CN"/>
        </w:rPr>
        <w:t>8</w:t>
      </w:r>
      <w:r>
        <w:rPr>
          <w:rStyle w:val="15"/>
          <w:rFonts w:hint="default" w:ascii="Times New Roman" w:hAnsi="Times New Roman" w:eastAsia="方正仿宋_GBK" w:cs="Times New Roman"/>
          <w:b/>
          <w:bCs w:val="0"/>
          <w:i w:val="0"/>
          <w:caps w:val="0"/>
          <w:color w:val="auto"/>
          <w:spacing w:val="11"/>
          <w:sz w:val="32"/>
          <w:szCs w:val="32"/>
          <w:u w:val="none"/>
          <w:shd w:val="clear"/>
          <w:lang w:val="zh-Hans" w:eastAsia="zh-Hans"/>
        </w:rPr>
        <w:t>.攻坚拓展连片产业空间。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加快安全应急产业园三、四期开发，加快国土空间总体规划审批，拓展产业发展空间，加大征地拆迁工作力度和财政资金保障，力争至2025年土地征收整备面积不少于10000亩。落实“项目跟着规划走、指标跟着项目走”土地保障机制，坚持将70%以上用地指标用于产业项目及产业配套。统筹用地、用能、环保、资金、水电、燃气等要素配置，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</w:rPr>
        <w:t>全面提高工业用地集约利用效率和综合效益。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区自然资源局牵头，各街道办事处配合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sz w:val="32"/>
          <w:szCs w:val="32"/>
          <w:u w:val="none"/>
          <w:lang w:val="en-US" w:eastAsia="zh-CN"/>
        </w:rPr>
        <w:t>9.</w:t>
      </w:r>
      <w:r>
        <w:rPr>
          <w:rStyle w:val="16"/>
          <w:rFonts w:hint="default" w:ascii="Times New Roman" w:hAnsi="Times New Roman" w:eastAsia="方正仿宋_GBK" w:cs="Times New Roman"/>
          <w:bCs/>
          <w:i w:val="0"/>
          <w:caps w:val="0"/>
          <w:color w:val="auto"/>
          <w:spacing w:val="11"/>
          <w:sz w:val="32"/>
          <w:szCs w:val="32"/>
          <w:shd w:val="clear" w:color="auto" w:fill="FFFFFF"/>
        </w:rPr>
        <w:t>推进</w:t>
      </w:r>
      <w:r>
        <w:rPr>
          <w:rStyle w:val="16"/>
          <w:rFonts w:hint="default" w:ascii="Times New Roman" w:hAnsi="Times New Roman" w:eastAsia="方正仿宋_GBK" w:cs="Times New Roman"/>
          <w:bCs/>
          <w:i w:val="0"/>
          <w:caps w:val="0"/>
          <w:color w:val="auto"/>
          <w:spacing w:val="11"/>
          <w:sz w:val="32"/>
          <w:szCs w:val="32"/>
          <w:shd w:val="clear" w:color="auto" w:fill="FFFFFF"/>
          <w:lang w:val="en-US" w:eastAsia="zh-CN"/>
        </w:rPr>
        <w:t>低效</w:t>
      </w:r>
      <w:r>
        <w:rPr>
          <w:rStyle w:val="16"/>
          <w:rFonts w:hint="default" w:ascii="Times New Roman" w:hAnsi="Times New Roman" w:eastAsia="方正仿宋_GBK" w:cs="Times New Roman"/>
          <w:bCs/>
          <w:i w:val="0"/>
          <w:caps w:val="0"/>
          <w:color w:val="auto"/>
          <w:spacing w:val="11"/>
          <w:sz w:val="32"/>
          <w:szCs w:val="32"/>
          <w:shd w:val="clear" w:color="auto" w:fill="FFFFFF"/>
        </w:rPr>
        <w:t>工业园</w:t>
      </w:r>
      <w:r>
        <w:rPr>
          <w:rStyle w:val="16"/>
          <w:rFonts w:hint="default" w:ascii="Times New Roman" w:hAnsi="Times New Roman" w:eastAsia="方正仿宋_GBK" w:cs="Times New Roman"/>
          <w:bCs/>
          <w:i w:val="0"/>
          <w:caps w:val="0"/>
          <w:color w:val="auto"/>
          <w:spacing w:val="11"/>
          <w:sz w:val="32"/>
          <w:szCs w:val="32"/>
          <w:shd w:val="clear" w:color="auto" w:fill="FFFFFF"/>
          <w:lang w:val="en-US" w:eastAsia="zh-CN"/>
        </w:rPr>
        <w:t>区升级</w:t>
      </w:r>
      <w:r>
        <w:rPr>
          <w:rStyle w:val="16"/>
          <w:rFonts w:hint="default" w:ascii="Times New Roman" w:hAnsi="Times New Roman" w:eastAsia="方正仿宋_GBK" w:cs="Times New Roman"/>
          <w:bCs/>
          <w:i w:val="0"/>
          <w:caps w:val="0"/>
          <w:color w:val="auto"/>
          <w:spacing w:val="11"/>
          <w:sz w:val="32"/>
          <w:szCs w:val="32"/>
          <w:shd w:val="clear" w:color="auto" w:fill="FFFFFF"/>
        </w:rPr>
        <w:t>改造。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实施打造产业空间三年行动计划，用活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en-US" w:eastAsia="zh-CN" w:bidi="ar-SA"/>
        </w:rPr>
        <w:t>用好“工改工”政策，推进工业用地和村级工业园升级改造，鼓励国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11"/>
          <w:sz w:val="32"/>
          <w:szCs w:val="32"/>
          <w:u w:val="none"/>
          <w:lang w:bidi="ar"/>
        </w:rPr>
        <w:t>有资本、社会资本参与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11"/>
          <w:sz w:val="32"/>
          <w:szCs w:val="32"/>
          <w:highlight w:val="none"/>
          <w:u w:val="none"/>
          <w:lang w:bidi="ar"/>
        </w:rPr>
        <w:t>，对符合政策的“工改工”和村级工业园升级改造项目实施提升开发强度、调整使用年限、产业分割转让等系列工作措施，对新建厂房部分最高按120元/平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11"/>
          <w:sz w:val="32"/>
          <w:szCs w:val="32"/>
          <w:highlight w:val="none"/>
          <w:u w:val="none"/>
          <w:lang w:eastAsia="zh-CN" w:bidi="ar"/>
        </w:rPr>
        <w:t>方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11"/>
          <w:sz w:val="32"/>
          <w:szCs w:val="32"/>
          <w:highlight w:val="none"/>
          <w:u w:val="none"/>
          <w:lang w:bidi="ar"/>
        </w:rPr>
        <w:t>米标准给予改造主体奖励。大力支持村级工业用地升级改造和开发，对村级工业园升级改造项目建设期间3元/平方米/月的租金补助，制定村级自留用地和升级改造用地开发规范，创新开发模式，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提升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村级用地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产业承载力和质量效益。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eastAsia="zh-CN"/>
        </w:rPr>
        <w:t>至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spacing w:val="11"/>
          <w:kern w:val="0"/>
          <w:sz w:val="32"/>
          <w:szCs w:val="32"/>
          <w:highlight w:val="none"/>
        </w:rPr>
        <w:t>202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spacing w:val="11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spacing w:val="11"/>
          <w:kern w:val="0"/>
          <w:sz w:val="32"/>
          <w:szCs w:val="32"/>
          <w:highlight w:val="none"/>
        </w:rPr>
        <w:t>年，争取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spacing w:val="11"/>
          <w:kern w:val="0"/>
          <w:sz w:val="32"/>
          <w:szCs w:val="32"/>
          <w:highlight w:val="none"/>
          <w:lang w:eastAsia="zh-CN"/>
        </w:rPr>
        <w:t>启动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spacing w:val="11"/>
          <w:kern w:val="0"/>
          <w:sz w:val="32"/>
          <w:szCs w:val="32"/>
          <w:highlight w:val="none"/>
        </w:rPr>
        <w:t>不少于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spacing w:val="11"/>
          <w:kern w:val="0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spacing w:val="11"/>
          <w:kern w:val="0"/>
          <w:sz w:val="32"/>
          <w:szCs w:val="32"/>
          <w:highlight w:val="none"/>
        </w:rPr>
        <w:t>个村级工业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shd w:val="clear" w:color="auto" w:fill="FFFFFF"/>
          <w:lang w:val="en-US" w:eastAsia="zh-CN" w:bidi="ar-SA"/>
        </w:rPr>
        <w:t>园升级改造、不少于9个“工改工”项目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spacing w:val="11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盘活低效工业用地850亩以上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spacing w:val="11"/>
          <w:kern w:val="0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区自然资源局牵头，区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zh-CN" w:eastAsia="zh-CN"/>
        </w:rPr>
        <w:t>国有资产监督管理局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、各街道办事处配合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楷体_GBK" w:cs="Times New Roman"/>
          <w:b/>
          <w:bCs/>
          <w:color w:val="auto"/>
          <w:spacing w:val="11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en-US" w:eastAsia="zh-CN"/>
        </w:rPr>
        <w:t>坚持科技创新引领，实施高质量发展“强核”行动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578" w:lineRule="exact"/>
        <w:ind w:left="0" w:leftChars="0" w:firstLine="687" w:firstLineChars="200"/>
        <w:jc w:val="both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  <w:t>10.加快推进高新区争先进位。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u w:val="none"/>
          <w:lang w:bidi="ar"/>
        </w:rPr>
        <w:t>深入实施江门高新区争创全国50强三年行动计划，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11"/>
          <w:kern w:val="0"/>
          <w:sz w:val="32"/>
          <w:szCs w:val="32"/>
          <w:u w:val="none"/>
        </w:rPr>
        <w:t>全面做实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“1+6”国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11"/>
          <w:kern w:val="0"/>
          <w:sz w:val="32"/>
          <w:szCs w:val="32"/>
          <w:u w:val="none"/>
        </w:rPr>
        <w:t>家级平台，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u w:val="none"/>
          <w:lang w:bidi="ar"/>
        </w:rPr>
        <w:t>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shd w:val="clear" w:color="auto" w:fill="FFFFFF"/>
          <w:lang w:val="en-US" w:eastAsia="zh-CN" w:bidi="ar-SA"/>
        </w:rPr>
        <w:t>善“一区六园”考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u w:val="none"/>
          <w:lang w:bidi="ar"/>
        </w:rPr>
        <w:t>核管理办法。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bidi="ar"/>
        </w:rPr>
        <w:t>实施高企树标提质计划，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zh-Hans" w:bidi="ar"/>
        </w:rPr>
        <w:t>对于首次通过高新技术企业、瞪羚企业认定的企业，分别给予15万元、10万元奖励。组建战略性新兴产业技术创新联盟，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bidi="ar"/>
        </w:rPr>
        <w:t>加强产学研合作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eastAsia="zh-CN" w:bidi="ar"/>
        </w:rPr>
        <w:t>，支持企业购买科技成果在我区转化，最高给予100万元补助，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zh-Hans" w:bidi="ar"/>
        </w:rPr>
        <w:t>实施“揭榜挂帅”推动企业开展核心技术攻关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zh-Hans" w:eastAsia="zh-CN" w:bidi="ar"/>
        </w:rPr>
        <w:t>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发展科技金融，强化科技型企业上市后备梯队服务，完善科创投融资体系。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</w:rPr>
        <w:t>区科学技术局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牵头，区发展和改革局、区经济促进局、区金融工作办公室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  <w:t>11.强化科创平台支撑。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eastAsia="zh-CN"/>
        </w:rPr>
        <w:t>实施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</w:rPr>
        <w:t>“两中心一基地”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eastAsia="zh-CN"/>
        </w:rPr>
        <w:t>争创全国市域社会智慧治理示范基地三年行动方案，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/>
        </w:rPr>
        <w:t>深化打造市域社会治理创新平台，构建产学研用深度融合的科技创新体系。加速社会治理综合指挥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</w:rPr>
        <w:t>体系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/>
        </w:rPr>
        <w:t>、智慧小区应用示范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</w:rPr>
        <w:t>系统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/>
        </w:rPr>
        <w:t>建设，提升市域社会治理科学化、精细化、智能化水平。加强与国创中心、航天科工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</w:rPr>
        <w:t>等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/>
        </w:rPr>
        <w:t>对接合作，持续推进社会智慧治理孵化器、加速器建设，遴选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</w:rPr>
        <w:t>一批优质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zh-Hans"/>
        </w:rPr>
        <w:t>生态企业构建产业化联盟，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highlight w:val="none"/>
          <w:lang w:val="zh-Hans"/>
        </w:rPr>
        <w:t>对进驻市域社会治理创新平台的项目从项目落户、研发投入、项目建设、增资扩产、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highlight w:val="none"/>
          <w:lang w:val="zh-Hans" w:eastAsia="zh-CN"/>
        </w:rPr>
        <w:t>生产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highlight w:val="none"/>
          <w:lang w:val="zh-Hans"/>
        </w:rPr>
        <w:t>经营、融资发展等方面给予最高500万元补助，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推动科技成果产业化。</w:t>
      </w:r>
      <w:r>
        <w:rPr>
          <w:rFonts w:hint="default" w:ascii="Times New Roman" w:hAnsi="Times New Roman" w:eastAsia="方正黑体_GBK" w:cs="Times New Roman"/>
          <w:color w:val="auto"/>
          <w:spacing w:val="11"/>
          <w:kern w:val="2"/>
          <w:sz w:val="32"/>
          <w:szCs w:val="32"/>
          <w:highlight w:val="none"/>
          <w:lang w:val="en-US" w:eastAsia="zh-CN" w:bidi="ar-SA"/>
        </w:rPr>
        <w:t>【责任单位：区科学技术局】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  <w:t>12.建设人才集聚新高地。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u w:val="none"/>
          <w:lang w:bidi="ar"/>
        </w:rPr>
        <w:t>坚持需求导向，完善人才政策体系，重点围绕产业发展，出台实用型人才扶持政策，有针对性地引育高层次人才和紧缺适用人才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u w:val="none"/>
          <w:lang w:eastAsia="zh-CN" w:bidi="ar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u w:val="none"/>
          <w:lang w:bidi="ar"/>
        </w:rPr>
        <w:t>高质量推进产业、教育、医疗、金融、农村等13支人才队伍建设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highlight w:val="none"/>
          <w:u w:val="none"/>
          <w:lang w:eastAsia="zh-CN" w:bidi="ar"/>
        </w:rPr>
        <w:t>，对于引进重点产业、重点项目产业高层次人才，最高给予每年20万元生活补贴。对承诺工作5年以上并购房的，最高给予200万购房补贴。力争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highlight w:val="none"/>
          <w:u w:val="none"/>
          <w:lang w:val="en-US" w:eastAsia="zh-CN" w:bidi="ar"/>
        </w:rPr>
        <w:t>2025年全区人才总量突破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u w:val="none"/>
          <w:lang w:val="en-US" w:eastAsia="zh-CN" w:bidi="ar"/>
        </w:rPr>
        <w:t>10万人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u w:val="none"/>
          <w:lang w:eastAsia="zh-CN" w:bidi="ar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u w:val="none"/>
          <w:lang w:bidi="ar"/>
        </w:rPr>
        <w:t>完善“一网、一卡、一站”立体化人才服务体系，优化“江海人才通”平台和“优才卡”制度，营造拴心留人良好环境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</w:rPr>
        <w:t>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【责任单位：区委组织部、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区人力资源和社会保障局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牵头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，区有关单位配合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pStyle w:val="11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leftChars="0" w:right="0" w:firstLine="684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  <w:t>（四）坚持优化营商环境，实施高质量发展“提效”行动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13.推进产业项目提速提效。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加强工业项目“招、落、投、服”全链条管理，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</w:rPr>
        <w:t>完善项目全生命周期服务和监管机制，优化项目并联审批，及时协调解决难点、堵点问题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，确保引得进、落得下、快投产、能发展。力争2023完成工业投资100亿元以上，</w:t>
      </w:r>
      <w:r>
        <w:rPr>
          <w:rFonts w:hint="default" w:ascii="Times New Roman" w:hAnsi="Times New Roman" w:eastAsia="方正仿宋_GBK" w:cs="Times New Roman"/>
          <w:bCs/>
          <w:snapToGrid w:val="0"/>
          <w:color w:val="auto"/>
          <w:spacing w:val="11"/>
          <w:kern w:val="0"/>
          <w:sz w:val="32"/>
          <w:szCs w:val="32"/>
          <w:highlight w:val="none"/>
          <w:lang w:val="en-US" w:eastAsia="zh-CN"/>
        </w:rPr>
        <w:t>至2025年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工业投资年均增长20%以上。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【责任单位：区发展和改革局、区经济促进局、区投资促进中心、区自然资源局、区住房和城乡建设局牵头，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各街道办事处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配合】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/>
        <w:spacing w:line="578" w:lineRule="exact"/>
        <w:ind w:left="0" w:leftChars="0" w:firstLine="687" w:firstLineChars="200"/>
        <w:jc w:val="both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lang w:val="en-US" w:eastAsia="zh-CN" w:bidi="ar-SA"/>
        </w:rPr>
        <w:t>14.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力促外贸保稳提质。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着力稳住外贸基本盘，组织企业参与“广交会”“粤贸全球”等，助力企业出海拓市场、抢订单。做好重点企业AEO培育认证，提升跨境贸易便利化水平。优化口岸营商环境，推动江门高新港危化品作业资质申报，降低企业通关综合成本。加快推进中国（江门）跨境电子商务综合试验区示范园区建设，推动江海跨境电商创新发展，对在本区登记开展跨境电商业务的跨境电商，按进出口额最高给予300万元扶持奖励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【责任单位：区经济促进局牵头，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区住房和城乡建设局、外海海关配合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/>
        </w:rPr>
        <w:t>15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</w:rPr>
        <w:t>.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eastAsia="zh-CN"/>
        </w:rPr>
        <w:t>高标准打造一流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</w:rPr>
        <w:t>营商环境。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u w:val="none"/>
        </w:rPr>
        <w:t>出台优化营商环境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/>
        </w:rPr>
        <w:t>实施方案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u w:val="none"/>
        </w:rPr>
        <w:t>，在审批事项、办事流程、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u w:val="none"/>
          <w:lang w:eastAsia="zh-CN"/>
        </w:rPr>
        <w:t>诉求平台、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u w:val="none"/>
        </w:rPr>
        <w:t>服务效率等方面全面对标广深先进做法。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</w:rPr>
        <w:t>深化“放管服”改革，持续推进项目容缺制、承诺制管理，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highlight w:val="none"/>
          <w:lang w:eastAsia="zh-CN"/>
        </w:rPr>
        <w:t>推进“拿地即动工”审批改革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</w:rPr>
        <w:t>提高行政效率。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lang w:val="en-US" w:eastAsia="zh-CN"/>
        </w:rPr>
        <w:t>创建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</w:rPr>
        <w:t>珠江西岸产业金融综合改革示范区，加快高新区金融中心、广东股权交易中心江门运营中心等平台建设，切实助企纾困。持续推进全国人大常委会法工委基层立法联系点建设，优化法治化营商环境。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【责任单位：区发展和改革局牵头，区人大办公室、区经济促进局、区自然资源局、区住房和城乡建设局、区市场监督管理局、区政务服务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数据管理局、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区金融工作办公室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/>
        </w:rPr>
        <w:t>16.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</w:rPr>
        <w:t>强化华侨华人合法权益保障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。用活用好深圳国际仲裁院江门中心，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eastAsia="zh-CN"/>
        </w:rPr>
        <w:t>努力打造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华侨华人国际仲裁法律服务首选地。持续优化实施“法+侨”“检+侨”“司+侨”“税+侨”等涉侨服务模式，深化广州知识产权法院江门巡回审判法庭建设，推进涉侨纠纷远程在线化解，全力打造涉侨商事纠纷化解优选地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【责任单位：区委统战部牵头，区人民法院、区市场监督管理局、区司法局、区税务局配合】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/>
        </w:rPr>
        <w:t>17.提升对接服务港澳侨胞水平。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持续加强江门“侨梦苑”核心区“两中心六平台”载体建设，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深化打造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粤湾云谷智慧产业园、启迪之星（江门）孵化器等“侨创圆梦”基地，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</w:rPr>
        <w:t>每年安排最高1000万元专项资金扶持侨资企业，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支撑华侨华人和港澳台青年创新创业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实施“湾区通”工程，增设“侨梦苑”服务专窗，提升港澳居民办事创业的便利度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。【责任单位：区委统战部牵头，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区有关单位、各街道办事处配合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4" w:firstLineChars="200"/>
        <w:jc w:val="both"/>
        <w:rPr>
          <w:rFonts w:hint="default" w:ascii="Times New Roman" w:hAnsi="Times New Roman" w:eastAsia="方正黑体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（五）坚持区域协调平衡发展，实施高质量发展“强富绿美”行动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zh-Han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/>
        </w:rPr>
        <w:t>18.坚持城乡融合发展。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/>
        </w:rPr>
        <w:t>严格落实“三区三线”，优化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 w:eastAsia="zh-CN"/>
        </w:rPr>
        <w:t>区街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/>
        </w:rPr>
        <w:t>村生产力布局，推动公共服务设施提标扩面、市政公用设施提档升级、环境基础设施提级扩能、产业配套设施提质增效、产城融合发展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/>
        </w:rPr>
        <w:t>不断提升城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 w:eastAsia="zh-CN"/>
        </w:rPr>
        <w:t>区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/>
        </w:rPr>
        <w:t>综合承载能力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 w:eastAsia="zh-CN"/>
        </w:rPr>
        <w:t>和辐射带动能力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/>
        </w:rPr>
        <w:t>。全面推进乡村“五个振兴”，加快推进新型农村集体经济专项改革试点建设，加强农村集体“三资”管理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 w:eastAsia="zh-CN"/>
        </w:rPr>
        <w:t>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/>
        </w:rPr>
        <w:t>创新发展现代都市农业，打造都市田园休闲区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zh-Hans"/>
        </w:rPr>
        <w:t>高标准打造乡村振兴示范带，建设宜居宜业和美乡村。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【责任单位：区农业农村和水利局牵头，区自然资源局、区住房和城乡建设局、区城市管理和综合执法局、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after="0"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 w:bidi="ar-SA"/>
        </w:rPr>
        <w:t>19.加快区域平衡发展。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抢抓实施“百县千镇万村高质量发展工程”机遇，立足特色、突出优势，制定江海区街道竞标争先高质量发展实施方案，深化各街道经济发展定位和主攻方向，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设置街道特色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考核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指标，鼓励街道立足优势、壮大产业，形成“外海制造”“礼乐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spacing w:val="11"/>
          <w:sz w:val="32"/>
          <w:szCs w:val="32"/>
          <w:u w:val="none"/>
        </w:rPr>
        <w:t>‘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spacing w:val="11"/>
          <w:sz w:val="32"/>
          <w:szCs w:val="32"/>
          <w:u w:val="none"/>
          <w:lang w:eastAsia="zh-CN"/>
        </w:rPr>
        <w:t>农业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spacing w:val="11"/>
          <w:sz w:val="32"/>
          <w:szCs w:val="32"/>
          <w:u w:val="none"/>
          <w:lang w:val="en-US" w:eastAsia="zh-CN"/>
        </w:rPr>
        <w:t>+工业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spacing w:val="11"/>
          <w:sz w:val="32"/>
          <w:szCs w:val="32"/>
          <w:u w:val="none"/>
        </w:rPr>
        <w:t>’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  <w:lang w:val="en-US" w:eastAsia="zh-CN"/>
        </w:rPr>
        <w:t>双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spacing w:val="11"/>
          <w:sz w:val="32"/>
          <w:szCs w:val="32"/>
          <w:u w:val="none"/>
          <w:lang w:val="en-US" w:eastAsia="zh-CN"/>
        </w:rPr>
        <w:t>擎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驱动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”“江南总部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spacing w:val="11"/>
          <w:sz w:val="32"/>
          <w:szCs w:val="32"/>
          <w:u w:val="none"/>
          <w:lang w:val="en-US" w:eastAsia="zh-CN"/>
        </w:rPr>
        <w:t>+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商贸”错位发展格局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汇聚镇域经济发展新动能。</w:t>
      </w:r>
      <w:r>
        <w:rPr>
          <w:rFonts w:hint="default" w:ascii="Times New Roman" w:hAnsi="Times New Roman" w:eastAsia="方正黑体_GBK" w:cs="Times New Roman"/>
          <w:color w:val="auto"/>
          <w:spacing w:val="11"/>
          <w:kern w:val="2"/>
          <w:sz w:val="32"/>
          <w:szCs w:val="32"/>
          <w:highlight w:val="none"/>
          <w:lang w:val="en-US" w:eastAsia="zh-CN" w:bidi="ar-SA"/>
        </w:rPr>
        <w:t>【责任单位：区发展和改革局、各街道办事处】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 w:bidi="ar-SA"/>
        </w:rPr>
        <w:t>20.推进绿美江海建设。</w:t>
      </w:r>
      <w:r>
        <w:rPr>
          <w:rFonts w:hint="default" w:ascii="Times New Roman" w:hAnsi="Times New Roman" w:eastAsia="方正仿宋_GBK" w:cs="Times New Roman"/>
          <w:b w:val="0"/>
          <w:bCs w:val="0"/>
          <w:snapToGrid w:val="0"/>
          <w:color w:val="auto"/>
          <w:spacing w:val="11"/>
          <w:kern w:val="0"/>
          <w:sz w:val="32"/>
          <w:szCs w:val="32"/>
          <w:u w:val="none"/>
          <w:lang w:eastAsia="zh-CN"/>
        </w:rPr>
        <w:t>制定强富绿美乡村振兴三年行动计划，对路网边、水岸边、街巷边等区域进行洁化、绿化、美化、文化，加强建筑风貌管控，深化乱搭乱建问题治理，统筹连线成片建设，推动从干净整洁向美丽宜居蝶变，打造宜居宜业和美乡村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扎实推进中央生态环境保护督察整改，深入打好臭氧污染防治和柴油车污染治理攻坚战，推进氮氧化物和挥发性有机物协同减排，提升空气环境质量。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加快构建碳达峰碳中和“1+N”政策体系，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加快产业结构调整和低碳转型，推动生产生活方式绿色变革。深入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Hans"/>
        </w:rPr>
        <w:t>实施农村人居环境整治五年提升行动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0"/>
          <w:sz w:val="32"/>
          <w:szCs w:val="32"/>
          <w:u w:val="none"/>
        </w:rPr>
        <w:t>全面落实河湖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Hans"/>
        </w:rPr>
        <w:t>长制林长制，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深化“环卫一体化、管理物业化、管河护水智能化”河湖管护，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力争2025年前完成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建成区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污水管网全覆盖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</w:rPr>
        <w:t>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【责任单位：区农业农村和水利局、区城市管理和综合执法局、市生态环境局江海分局牵头，区有关单位、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 w:bidi="ar-SA"/>
        </w:rPr>
        <w:t>21.全面推动乡村振兴。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构建现代乡村产业体系，全面落实耕地保护和粮食安全党政同责，强化耕地保护和用途管制，加强粮食生产功能区建设，健全种粮农民收益保障机制，全方位夯实粮食安全根基。完善现代农业产业体系，立足资源禀赋，鼓励各村大胆探索“一村一品”发展之路，推动礼乐葡萄、蔬菜、锦鲤、桃花等优势农业向规模化、标准化、专业化方向发展，提升农产品品质。加强特色农产品区域公用品牌建设，完善农产品质量监督体系，积极开展“三品一标”和“粤字号”等农产品认证，扩大礼乐葡萄节、桃花旅游节的影响力，打响礼乐品质农业品牌。促进农业三产融合发展，高标准打造都市农业生态公园，积极引导休闲农业、田园综合体、乡村旅游、农产品深加工等新业态发展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【责任单位：区农业农村和水利局牵头，区自然资源局、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 w:bidi="ar-SA"/>
        </w:rPr>
        <w:t>22.推进江海—恩平融合发展。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围绕“1+7+40”工作体系创新区域平衡发展合作模式，</w:t>
      </w:r>
      <w:r>
        <w:rPr>
          <w:rFonts w:hint="default" w:ascii="Times New Roman" w:hAnsi="Times New Roman" w:eastAsia="华文仿宋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强化产业协同，共享招商资源，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协作共建产业园区。</w:t>
      </w:r>
      <w:r>
        <w:rPr>
          <w:rFonts w:hint="default" w:ascii="Times New Roman" w:hAnsi="Times New Roman" w:eastAsia="华文仿宋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加强人才交流协同发展，探索教育共建模式，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深入推进“三结对”合作，</w:t>
      </w:r>
      <w:r>
        <w:rPr>
          <w:rFonts w:hint="default" w:ascii="Times New Roman" w:hAnsi="Times New Roman" w:eastAsia="华文仿宋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推进两地特色农业产业发展。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【责任单位：区发展和改革局牵头，区有关部门、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 w:bidi="ar-SA"/>
        </w:rPr>
        <w:t>23.厚植民生事业保障网。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eastAsia="zh-CN"/>
        </w:rPr>
        <w:t>实施就业优先战略，持续落实援企稳岗政策，加强外地员工安居保障，深化“粤菜师傅”“广东技工”“南粤家政”三项工程，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shd w:val="clear" w:color="auto" w:fill="FFFFFF"/>
          <w:lang w:eastAsia="zh-CN"/>
        </w:rPr>
        <w:t>鼓励各行各业培养更多高素质技术技能人才、能工巧匠、大国工匠，获评“侨都十大工匠”或“侨都百优工匠”，最高给予10万元补贴。加大对重点群体的就业帮扶，新招用重点扶持对象的小微企业，最高可享受500万元创业担保贷款及财政贴息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eastAsia="zh-CN"/>
        </w:rPr>
        <w:t>深化实施养老托育工程，有效运作“1+4”困难群众保障机制。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en-US" w:eastAsia="zh-CN"/>
        </w:rPr>
        <w:t>开展全民健身，打造健康城市。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eastAsia="zh-CN"/>
        </w:rPr>
        <w:t>加强医疗人才储备，加快推进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val="en-US" w:eastAsia="zh-CN"/>
        </w:rPr>
        <w:t>医疗卫生基础设施建设，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shd w:val="clear" w:color="auto" w:fill="FFFFFF"/>
          <w:lang w:eastAsia="zh-CN"/>
        </w:rPr>
        <w:t>促进优质医疗资源扩容和区域均衡布局。优化教育资源布局，高标准推进小区配套幼儿园建设，实施公办中小学扩容提质工程，提高教育集团的办学水平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区人力资源和社会保障局、区教育局、区民政局、区卫生健康局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u w:val="none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u w:val="none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u w:val="none"/>
          <w:lang w:eastAsia="zh-CN"/>
        </w:rPr>
        <w:t>六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u w:val="none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u w:val="none"/>
          <w:lang w:eastAsia="zh-CN"/>
        </w:rPr>
        <w:t>坚持打造安全稳定的社会环境，实施高质量发展“护航”行动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zh-Han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 w:bidi="ar-SA"/>
        </w:rPr>
        <w:t>24.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sz w:val="32"/>
          <w:szCs w:val="32"/>
          <w:u w:val="none"/>
          <w:lang w:val="zh-Hans" w:eastAsia="zh-Hans"/>
        </w:rPr>
        <w:t>建设更高水平平安江海。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Hans"/>
        </w:rPr>
        <w:t>坚持和发展新时代“枫桥经验”，持续优化“信访超市+外送服务”网络化工作体系，健全完善网格化社会治理体系，扎实推进“雪亮工程”应用、智慧社区矫正中心建设。推进扫黑除恶常态化，依法严惩各类违法犯罪。深入推进警务机制体制改革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社会治安巡逻防控“四个一”体系建设，加快“粤居码”推广应用，筑牢社会面安全防控网络。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【责任单位：区委政法委牵头，公安分局、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en-US" w:eastAsia="zh-CN"/>
        </w:rPr>
        <w:t>各街道办事处配合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 w:bidi="ar-SA"/>
        </w:rPr>
        <w:t>25.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sz w:val="32"/>
          <w:szCs w:val="32"/>
          <w:u w:val="none"/>
        </w:rPr>
        <w:t>打造更高水平法治江海。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深入实施法治建设“一规划两纲要”，推动法治建设与经济社会发展同部署、同推动、同落实、同考核。持续推进全国人大常委会法工委基层立法联系点建设，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highlight w:val="none"/>
          <w:u w:val="none"/>
          <w:lang w:val="en-US" w:eastAsia="zh-CN"/>
        </w:rPr>
        <w:t>做优做实政协“三级协商平台”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深入践行全过程人民民主。开展法治政府示范创建，建立健全政府治理体系。深化司法体制改革，努力让人民群众在每一个司法案件中感受到公平正义。弘扬社会主义法治精神，全面实施“八五”普法规划，深入开展全国、全省民主法治示范村（社区）创建，增强全民法治观念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【责任单位：区司法局、区人大办公室、区政协办公室】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snapToGrid/>
        <w:spacing w:line="578" w:lineRule="exact"/>
        <w:ind w:left="0" w:leftChars="0" w:firstLine="687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val="zh-Han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 w:bidi="ar-SA"/>
        </w:rPr>
        <w:t>26.</w:t>
      </w:r>
      <w:r>
        <w:rPr>
          <w:rFonts w:hint="default" w:ascii="Times New Roman" w:hAnsi="Times New Roman" w:eastAsia="方正仿宋_GBK" w:cs="Times New Roman"/>
          <w:b/>
          <w:bCs/>
          <w:color w:val="auto"/>
          <w:spacing w:val="11"/>
          <w:sz w:val="32"/>
          <w:szCs w:val="32"/>
          <w:u w:val="none"/>
          <w:lang w:val="zh-Hans"/>
        </w:rPr>
        <w:t>构筑更高水平安全屏障。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</w:rPr>
        <w:t>完善防范化解政治、经济、社会等10类重大风险预案，增强重点领域安全保障能力。用好全国全省“一盘棋”应急响应和重大突发事件“四个一”应急处置等工作机制，对标“全灾种、大应急”任务需要，强化力量建设，优化指挥调度，增强救援实战能力。压实安全生产工作责任制，深入推进安全专项整治，提升执法服务效能，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 w:eastAsia="zh-Hans"/>
        </w:rPr>
        <w:t>有效保障人民群众生命财产安全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sz w:val="32"/>
          <w:szCs w:val="32"/>
          <w:u w:val="none"/>
          <w:lang w:val="zh-Hans"/>
        </w:rPr>
        <w:t>。</w:t>
      </w: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highlight w:val="none"/>
          <w:lang w:eastAsia="zh-CN"/>
        </w:rPr>
        <w:t>【责任单位：区应急管理局牵头，区有关单位、各街道办事处配合】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auto"/>
          <w:spacing w:val="11"/>
          <w:sz w:val="32"/>
          <w:szCs w:val="32"/>
          <w:lang w:val="en-US" w:eastAsia="zh-CN"/>
        </w:rPr>
        <w:t>三、保障措施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lang w:val="en-US" w:eastAsia="zh-CN"/>
        </w:rPr>
        <w:t>一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</w:rPr>
        <w:t>强化党的全面领导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</w:rPr>
        <w:t>落实新时代党的建设总要求，建立健全党总揽全局、协调各方的全面领导制度体系，以强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  <w:lang w:eastAsia="zh-CN"/>
        </w:rPr>
        <w:t>区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</w:rPr>
        <w:t>促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  <w:lang w:eastAsia="zh-CN"/>
        </w:rPr>
        <w:t>街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</w:rPr>
        <w:t>带村为抓手推进党建促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  <w:lang w:val="en-US" w:eastAsia="zh-CN"/>
        </w:rPr>
        <w:t>高质量发展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</w:rPr>
        <w:t>，把党的全面领导落实到推动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  <w:lang w:val="en-US" w:eastAsia="zh-CN"/>
        </w:rPr>
        <w:t>高质量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</w:rPr>
        <w:t>的全过程和各方面。加强党的组织建设，全面提升组织力，充分发挥基层党组织战斗堡垒作用和党员先锋模范作用。提升党员干部推进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  <w:lang w:val="en-US" w:eastAsia="zh-CN"/>
        </w:rPr>
        <w:t>高质量发展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</w:rPr>
        <w:t>的能力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  <w:lang w:eastAsia="zh-CN"/>
        </w:rPr>
        <w:t>素质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</w:rPr>
        <w:t>，以新高度、新思维、新视野、新方法扎实推动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  <w:lang w:val="en-US" w:eastAsia="zh-CN"/>
        </w:rPr>
        <w:t>高质量发展工作</w:t>
      </w:r>
      <w:r>
        <w:rPr>
          <w:rFonts w:hint="default" w:ascii="Times New Roman" w:hAnsi="Times New Roman" w:eastAsia="方正仿宋_GBK" w:cs="Times New Roman"/>
          <w:color w:val="auto"/>
          <w:spacing w:val="11"/>
          <w:sz w:val="32"/>
          <w:szCs w:val="32"/>
          <w:u w:val="none"/>
        </w:rPr>
        <w:t>。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leftChars="0" w:right="0" w:rightChars="0" w:firstLine="684" w:firstLineChars="200"/>
        <w:jc w:val="both"/>
        <w:textAlignment w:val="auto"/>
        <w:rPr>
          <w:rFonts w:hint="default" w:ascii="Times New Roman" w:hAnsi="Times New Roman" w:eastAsia="微软雅黑" w:cs="Times New Roman"/>
          <w:i w:val="0"/>
          <w:iCs w:val="0"/>
          <w:caps w:val="0"/>
          <w:color w:val="auto"/>
          <w:spacing w:val="11"/>
          <w:sz w:val="32"/>
          <w:szCs w:val="32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lang w:val="en-US" w:eastAsia="zh-CN" w:bidi="ar-SA"/>
        </w:rPr>
        <w:t>（二）建立联动协同机制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leftChars="0" w:right="0" w:rightChars="0" w:firstLine="684" w:firstLineChars="200"/>
        <w:jc w:val="both"/>
        <w:textAlignment w:val="auto"/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highlight w:val="none"/>
          <w:u w:val="none"/>
          <w:lang w:val="en-US" w:eastAsia="zh-CN" w:bidi="ar-SA"/>
        </w:rPr>
        <w:t>成立区“百县千镇万村高质量发展工程”指挥部，定期研究重大问题，建立常态化运作机制，任务清单化，明确部门责任，实行闭环管理。各街道各部门要坚决扛起使命担当，压实工作责任，完善工作机制，实施细化量化闭环管理，形成系统集成、精准施策、一抓到底的工作体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lang w:eastAsia="zh-CN"/>
        </w:rPr>
        <w:t>）加强考核督查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华文仿宋" w:cs="Times New Roman"/>
          <w:i w:val="0"/>
          <w:iCs w:val="0"/>
          <w:caps w:val="0"/>
          <w:color w:val="auto"/>
          <w:spacing w:val="11"/>
          <w:kern w:val="0"/>
          <w:sz w:val="32"/>
          <w:szCs w:val="32"/>
          <w:highlight w:val="none"/>
          <w:lang w:bidi="ar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  <w:t>细化制定高质量发展考核指标体系，建立目标导向与过程管理相结合考核评价机制，分类加强对各部门、街道工作考核。抓好试点示范单位、阶段性检查考评，督促对标整改和巩固提升。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684" w:firstLineChars="200"/>
        <w:jc w:val="both"/>
        <w:textAlignment w:val="auto"/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sz w:val="32"/>
          <w:szCs w:val="32"/>
          <w:highlight w:val="none"/>
          <w:lang w:val="en-US" w:eastAsia="zh-CN"/>
        </w:rPr>
        <w:t>（四）加强政策支持</w:t>
      </w:r>
    </w:p>
    <w:p>
      <w:pPr>
        <w:pStyle w:val="11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leftChars="0" w:right="0" w:firstLine="684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  <w:t>积极争取上级政策支持，研究出台区级支持政策，推动形成政策合力，优化生产要素资源配置，推动重点产业发展，优化空间布局，推动发展要素向重点先进制造业平台集聚。</w:t>
      </w:r>
    </w:p>
    <w:p>
      <w:pPr>
        <w:pStyle w:val="11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leftChars="0" w:right="0" w:firstLine="684" w:firstLineChars="200"/>
        <w:jc w:val="both"/>
        <w:textAlignment w:val="auto"/>
        <w:rPr>
          <w:rFonts w:hint="default" w:ascii="Times New Roman" w:hAnsi="Times New Roman" w:eastAsia="华文仿宋" w:cs="Times New Roman"/>
          <w:b w:val="0"/>
          <w:bCs w:val="0"/>
          <w:i w:val="0"/>
          <w:iCs w:val="0"/>
          <w:caps w:val="0"/>
          <w:color w:val="auto"/>
          <w:spacing w:val="11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b w:val="0"/>
          <w:bCs w:val="0"/>
          <w:color w:val="auto"/>
          <w:spacing w:val="11"/>
          <w:kern w:val="2"/>
          <w:sz w:val="32"/>
          <w:szCs w:val="32"/>
          <w:highlight w:val="none"/>
          <w:lang w:val="en-US" w:eastAsia="zh-CN" w:bidi="ar-SA"/>
        </w:rPr>
        <w:t>（五）充分落实宣传引导</w:t>
      </w:r>
    </w:p>
    <w:p>
      <w:pPr>
        <w:pStyle w:val="11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 w:val="0"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left="0" w:leftChars="0" w:right="0" w:firstLine="684" w:firstLineChars="200"/>
        <w:jc w:val="both"/>
        <w:textAlignment w:val="auto"/>
        <w:rPr>
          <w:rFonts w:hint="default" w:ascii="Times New Roman" w:hAnsi="Times New Roman" w:eastAsia="华文仿宋" w:cs="Times New Roman"/>
          <w:i w:val="0"/>
          <w:iCs w:val="0"/>
          <w:caps w:val="0"/>
          <w:color w:val="auto"/>
          <w:spacing w:val="11"/>
          <w:sz w:val="32"/>
          <w:szCs w:val="32"/>
          <w:highlight w:val="none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pacing w:val="11"/>
          <w:kern w:val="2"/>
          <w:sz w:val="32"/>
          <w:szCs w:val="32"/>
          <w:u w:val="none"/>
          <w:lang w:val="en-US" w:eastAsia="zh-CN" w:bidi="ar-SA"/>
        </w:rPr>
        <w:t>以上率下，以点带面，大力宣传发展优惠政策措施及重要意义。实施方案制定后，要积极宣传、强化解读，通过报刊、网络等多种媒体，广泛动员全社会力量，探索可复制可推广经验做法，共同推进江海高质量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default" w:ascii="Times New Roman" w:hAnsi="Times New Roman" w:eastAsia="方正仿宋_GBK" w:cs="Times New Roman"/>
          <w:b/>
          <w:bCs/>
          <w:color w:val="auto"/>
          <w:spacing w:val="11"/>
          <w:kern w:val="0"/>
          <w:sz w:val="32"/>
          <w:szCs w:val="32"/>
          <w:highlight w:val="none"/>
          <w:u w:val="no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1927" w:leftChars="325" w:hanging="1244" w:hangingChars="364"/>
        <w:jc w:val="left"/>
        <w:textAlignment w:val="auto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kern w:val="2"/>
          <w:sz w:val="32"/>
          <w:szCs w:val="32"/>
          <w:shd w:val="clear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lang w:val="en-US" w:eastAsia="zh-CN" w:bidi="ar-SA"/>
        </w:rPr>
        <w:t>附件：1.江门高新区（江海区）全力推动“百县千镇万村高质量发展工程”任务分解表</w:t>
      </w:r>
    </w:p>
    <w:p>
      <w:pPr>
        <w:pStyle w:val="3"/>
        <w:keepNext w:val="0"/>
        <w:keepLines w:val="0"/>
        <w:pageBreakBefore w:val="0"/>
        <w:widowControl w:val="0"/>
        <w:kinsoku/>
        <w:overflowPunct w:val="0"/>
        <w:topLinePunct w:val="0"/>
        <w:autoSpaceDE/>
        <w:autoSpaceDN/>
        <w:bidi w:val="0"/>
        <w:snapToGrid/>
        <w:spacing w:after="0" w:line="578" w:lineRule="exact"/>
        <w:ind w:left="1958" w:leftChars="799" w:hanging="280" w:hangingChars="82"/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kern w:val="2"/>
          <w:sz w:val="32"/>
          <w:szCs w:val="32"/>
          <w:shd w:val="clear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kern w:val="2"/>
          <w:sz w:val="32"/>
          <w:szCs w:val="32"/>
          <w:shd w:val="clear"/>
          <w:lang w:val="en-US" w:eastAsia="zh-CN" w:bidi="ar-SA"/>
        </w:rPr>
        <w:t>2.</w:t>
      </w:r>
      <w:r>
        <w:rPr>
          <w:rFonts w:hint="default" w:ascii="Times New Roman" w:hAnsi="Times New Roman" w:eastAsia="方正仿宋_GBK" w:cs="Times New Roman"/>
          <w:color w:val="auto"/>
          <w:spacing w:val="11"/>
          <w:kern w:val="2"/>
          <w:sz w:val="32"/>
          <w:szCs w:val="32"/>
          <w:lang w:val="en-US" w:eastAsia="zh-CN" w:bidi="ar-SA"/>
        </w:rPr>
        <w:t>江门高新区（江海区）全力推动“百县千镇万村高质量发展工程”</w:t>
      </w:r>
      <w:r>
        <w:rPr>
          <w:rFonts w:hint="default" w:ascii="Times New Roman" w:hAnsi="Times New Roman" w:eastAsia="方正仿宋_GBK" w:cs="Times New Roman"/>
          <w:i w:val="0"/>
          <w:caps w:val="0"/>
          <w:color w:val="auto"/>
          <w:spacing w:val="11"/>
          <w:kern w:val="2"/>
          <w:sz w:val="32"/>
          <w:szCs w:val="32"/>
          <w:shd w:val="clear"/>
          <w:lang w:val="en-US" w:eastAsia="zh-CN" w:bidi="ar-SA"/>
        </w:rPr>
        <w:t>指标考核表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78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color w:val="auto"/>
          <w:spacing w:val="11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154" w:right="1587" w:bottom="1814" w:left="1587" w:header="851" w:footer="1134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yY2FhMDhjNzVjMzhlZWNiNGMxMTZiYjgzYTBjMWYifQ=="/>
  </w:docVars>
  <w:rsids>
    <w:rsidRoot w:val="00172A27"/>
    <w:rsid w:val="00002DAA"/>
    <w:rsid w:val="000C5119"/>
    <w:rsid w:val="000E7F6F"/>
    <w:rsid w:val="00134529"/>
    <w:rsid w:val="00242437"/>
    <w:rsid w:val="00297B1F"/>
    <w:rsid w:val="002E5330"/>
    <w:rsid w:val="00323EA3"/>
    <w:rsid w:val="00364C71"/>
    <w:rsid w:val="003849C5"/>
    <w:rsid w:val="003C7F98"/>
    <w:rsid w:val="00431360"/>
    <w:rsid w:val="00445EC8"/>
    <w:rsid w:val="005D308D"/>
    <w:rsid w:val="005E712C"/>
    <w:rsid w:val="0094341A"/>
    <w:rsid w:val="00956EF2"/>
    <w:rsid w:val="00977DCC"/>
    <w:rsid w:val="009D2857"/>
    <w:rsid w:val="00A22249"/>
    <w:rsid w:val="00A70A46"/>
    <w:rsid w:val="00BD6D5F"/>
    <w:rsid w:val="00C039C4"/>
    <w:rsid w:val="00CE414C"/>
    <w:rsid w:val="00D41F28"/>
    <w:rsid w:val="00F14073"/>
    <w:rsid w:val="00F1509A"/>
    <w:rsid w:val="00F21319"/>
    <w:rsid w:val="00F90DCE"/>
    <w:rsid w:val="00FE365C"/>
    <w:rsid w:val="00FF5425"/>
    <w:rsid w:val="013C2DFC"/>
    <w:rsid w:val="01526DD9"/>
    <w:rsid w:val="0409126F"/>
    <w:rsid w:val="0494198B"/>
    <w:rsid w:val="04F93FFF"/>
    <w:rsid w:val="04FF42E7"/>
    <w:rsid w:val="05715E3E"/>
    <w:rsid w:val="05D14E4A"/>
    <w:rsid w:val="05F4718F"/>
    <w:rsid w:val="06313BD0"/>
    <w:rsid w:val="071C4BFB"/>
    <w:rsid w:val="07E244F1"/>
    <w:rsid w:val="088C0F01"/>
    <w:rsid w:val="09037176"/>
    <w:rsid w:val="092A0945"/>
    <w:rsid w:val="095B3388"/>
    <w:rsid w:val="097A49FD"/>
    <w:rsid w:val="099E7D0E"/>
    <w:rsid w:val="0AC579BF"/>
    <w:rsid w:val="0B0679CE"/>
    <w:rsid w:val="0B8C51E1"/>
    <w:rsid w:val="0BF15E86"/>
    <w:rsid w:val="0C404398"/>
    <w:rsid w:val="0C524A2D"/>
    <w:rsid w:val="0C5409D0"/>
    <w:rsid w:val="0D7F02AE"/>
    <w:rsid w:val="0DCB52A1"/>
    <w:rsid w:val="0F761607"/>
    <w:rsid w:val="0FCC4DC1"/>
    <w:rsid w:val="10166F36"/>
    <w:rsid w:val="10183CE3"/>
    <w:rsid w:val="10541F88"/>
    <w:rsid w:val="105A066C"/>
    <w:rsid w:val="10BB33AB"/>
    <w:rsid w:val="10D4256B"/>
    <w:rsid w:val="115542E9"/>
    <w:rsid w:val="11BC32EE"/>
    <w:rsid w:val="12520246"/>
    <w:rsid w:val="129E280B"/>
    <w:rsid w:val="12B01108"/>
    <w:rsid w:val="13832C34"/>
    <w:rsid w:val="138B2C7C"/>
    <w:rsid w:val="14003347"/>
    <w:rsid w:val="1440660C"/>
    <w:rsid w:val="1498759C"/>
    <w:rsid w:val="14E36648"/>
    <w:rsid w:val="157C0C8E"/>
    <w:rsid w:val="164764C5"/>
    <w:rsid w:val="165C2E17"/>
    <w:rsid w:val="16703A07"/>
    <w:rsid w:val="16F632D2"/>
    <w:rsid w:val="17780248"/>
    <w:rsid w:val="17CE57C4"/>
    <w:rsid w:val="188F0C0F"/>
    <w:rsid w:val="18A80A71"/>
    <w:rsid w:val="19285C93"/>
    <w:rsid w:val="19E6342A"/>
    <w:rsid w:val="1B561EBA"/>
    <w:rsid w:val="1B944BB5"/>
    <w:rsid w:val="1C201754"/>
    <w:rsid w:val="1CE00524"/>
    <w:rsid w:val="1CFF1ED8"/>
    <w:rsid w:val="1D331818"/>
    <w:rsid w:val="1D7160DC"/>
    <w:rsid w:val="1DB645F8"/>
    <w:rsid w:val="1E1D35CD"/>
    <w:rsid w:val="1E8E5148"/>
    <w:rsid w:val="1E9F4460"/>
    <w:rsid w:val="1ECF00B7"/>
    <w:rsid w:val="1EE835D5"/>
    <w:rsid w:val="20386BB8"/>
    <w:rsid w:val="20996D8A"/>
    <w:rsid w:val="209A23E8"/>
    <w:rsid w:val="20A647D5"/>
    <w:rsid w:val="22330946"/>
    <w:rsid w:val="22631850"/>
    <w:rsid w:val="227B78B8"/>
    <w:rsid w:val="2288643C"/>
    <w:rsid w:val="23057B3F"/>
    <w:rsid w:val="23AC2BC7"/>
    <w:rsid w:val="23F51D5C"/>
    <w:rsid w:val="23FD577A"/>
    <w:rsid w:val="24472BFB"/>
    <w:rsid w:val="24994064"/>
    <w:rsid w:val="249B596D"/>
    <w:rsid w:val="24A23F4D"/>
    <w:rsid w:val="24B820A9"/>
    <w:rsid w:val="25813E13"/>
    <w:rsid w:val="25930B5B"/>
    <w:rsid w:val="26766097"/>
    <w:rsid w:val="26D07AE4"/>
    <w:rsid w:val="277F032D"/>
    <w:rsid w:val="27AC151F"/>
    <w:rsid w:val="28320FA7"/>
    <w:rsid w:val="284F0D96"/>
    <w:rsid w:val="285B75B4"/>
    <w:rsid w:val="290406DC"/>
    <w:rsid w:val="29934504"/>
    <w:rsid w:val="29DC3445"/>
    <w:rsid w:val="2A7626DA"/>
    <w:rsid w:val="2AB43A2A"/>
    <w:rsid w:val="2B14031D"/>
    <w:rsid w:val="2B6413EE"/>
    <w:rsid w:val="2B9B7B06"/>
    <w:rsid w:val="2BA04BF0"/>
    <w:rsid w:val="2BAD2780"/>
    <w:rsid w:val="2C0025BE"/>
    <w:rsid w:val="2C13775F"/>
    <w:rsid w:val="2CF93773"/>
    <w:rsid w:val="2D250CD9"/>
    <w:rsid w:val="2D7560A5"/>
    <w:rsid w:val="2E4822E7"/>
    <w:rsid w:val="2ED566C7"/>
    <w:rsid w:val="2EE15509"/>
    <w:rsid w:val="2F097580"/>
    <w:rsid w:val="2F2A4743"/>
    <w:rsid w:val="2FBE0488"/>
    <w:rsid w:val="301C3FA0"/>
    <w:rsid w:val="30DB5D0A"/>
    <w:rsid w:val="31727F3E"/>
    <w:rsid w:val="318D4D9A"/>
    <w:rsid w:val="31FB2FD1"/>
    <w:rsid w:val="322E0676"/>
    <w:rsid w:val="33C460E8"/>
    <w:rsid w:val="34661B0D"/>
    <w:rsid w:val="346F49F0"/>
    <w:rsid w:val="34B10FAE"/>
    <w:rsid w:val="359C036A"/>
    <w:rsid w:val="35B00D69"/>
    <w:rsid w:val="35BD501E"/>
    <w:rsid w:val="367E7C6D"/>
    <w:rsid w:val="369F4DA5"/>
    <w:rsid w:val="36C847B8"/>
    <w:rsid w:val="370725CD"/>
    <w:rsid w:val="381E7AF3"/>
    <w:rsid w:val="387B3D9B"/>
    <w:rsid w:val="38E058C7"/>
    <w:rsid w:val="393E3CCA"/>
    <w:rsid w:val="3961690F"/>
    <w:rsid w:val="3AFB3D31"/>
    <w:rsid w:val="3B10463F"/>
    <w:rsid w:val="3B8F350A"/>
    <w:rsid w:val="3BA91EC3"/>
    <w:rsid w:val="3BE067BC"/>
    <w:rsid w:val="3D2C4052"/>
    <w:rsid w:val="3D587AE6"/>
    <w:rsid w:val="3DF250A7"/>
    <w:rsid w:val="3E3233AA"/>
    <w:rsid w:val="3E83329E"/>
    <w:rsid w:val="3E980B7E"/>
    <w:rsid w:val="3FB11D9E"/>
    <w:rsid w:val="3FCF1764"/>
    <w:rsid w:val="3FDF0A25"/>
    <w:rsid w:val="405F6F36"/>
    <w:rsid w:val="40B03CFF"/>
    <w:rsid w:val="4115600B"/>
    <w:rsid w:val="42261341"/>
    <w:rsid w:val="429F0D4A"/>
    <w:rsid w:val="42CB3A44"/>
    <w:rsid w:val="43907759"/>
    <w:rsid w:val="4498193B"/>
    <w:rsid w:val="44A37DE4"/>
    <w:rsid w:val="45B36B85"/>
    <w:rsid w:val="4752455C"/>
    <w:rsid w:val="47586720"/>
    <w:rsid w:val="47BD1F80"/>
    <w:rsid w:val="47BF31C7"/>
    <w:rsid w:val="47E275C6"/>
    <w:rsid w:val="49172C58"/>
    <w:rsid w:val="496806B6"/>
    <w:rsid w:val="49CE4994"/>
    <w:rsid w:val="49D360C9"/>
    <w:rsid w:val="4A626A88"/>
    <w:rsid w:val="4B8C7858"/>
    <w:rsid w:val="4B9149A7"/>
    <w:rsid w:val="4BAD4194"/>
    <w:rsid w:val="4C0F5952"/>
    <w:rsid w:val="4CAB700F"/>
    <w:rsid w:val="4CB94B58"/>
    <w:rsid w:val="4E4355F8"/>
    <w:rsid w:val="4E8F0C2F"/>
    <w:rsid w:val="4EF43213"/>
    <w:rsid w:val="4EF671FC"/>
    <w:rsid w:val="4F0B176C"/>
    <w:rsid w:val="4FBA65B0"/>
    <w:rsid w:val="4FCD042A"/>
    <w:rsid w:val="51204589"/>
    <w:rsid w:val="51941F08"/>
    <w:rsid w:val="520270E2"/>
    <w:rsid w:val="52410922"/>
    <w:rsid w:val="526A0E60"/>
    <w:rsid w:val="532F08FD"/>
    <w:rsid w:val="534A529B"/>
    <w:rsid w:val="53AB323E"/>
    <w:rsid w:val="53B06543"/>
    <w:rsid w:val="53D63625"/>
    <w:rsid w:val="55EE31DE"/>
    <w:rsid w:val="56DB8BFA"/>
    <w:rsid w:val="58171681"/>
    <w:rsid w:val="58226E39"/>
    <w:rsid w:val="597534C6"/>
    <w:rsid w:val="5995B2D3"/>
    <w:rsid w:val="59F00F55"/>
    <w:rsid w:val="5A0B600F"/>
    <w:rsid w:val="5A1B795D"/>
    <w:rsid w:val="5AE15050"/>
    <w:rsid w:val="5B117396"/>
    <w:rsid w:val="5B70610D"/>
    <w:rsid w:val="5C96187B"/>
    <w:rsid w:val="5CDE093E"/>
    <w:rsid w:val="5D3D74F4"/>
    <w:rsid w:val="5D9C318E"/>
    <w:rsid w:val="5DF636AD"/>
    <w:rsid w:val="5E0D1D9C"/>
    <w:rsid w:val="5E2D7601"/>
    <w:rsid w:val="5EB064D5"/>
    <w:rsid w:val="5EB513FD"/>
    <w:rsid w:val="5ECE5541"/>
    <w:rsid w:val="5EDF211B"/>
    <w:rsid w:val="5FBA0872"/>
    <w:rsid w:val="5FEB600D"/>
    <w:rsid w:val="6016583C"/>
    <w:rsid w:val="606D5F3B"/>
    <w:rsid w:val="609A599C"/>
    <w:rsid w:val="60D00C11"/>
    <w:rsid w:val="610112E9"/>
    <w:rsid w:val="61240919"/>
    <w:rsid w:val="612A60DF"/>
    <w:rsid w:val="619C3852"/>
    <w:rsid w:val="61C40943"/>
    <w:rsid w:val="61D83133"/>
    <w:rsid w:val="61DB62CD"/>
    <w:rsid w:val="62742275"/>
    <w:rsid w:val="62DB4CF4"/>
    <w:rsid w:val="63330948"/>
    <w:rsid w:val="63970A3F"/>
    <w:rsid w:val="63A85CDA"/>
    <w:rsid w:val="63B7676B"/>
    <w:rsid w:val="642E6224"/>
    <w:rsid w:val="64A96092"/>
    <w:rsid w:val="65011937"/>
    <w:rsid w:val="651C0F65"/>
    <w:rsid w:val="652423E6"/>
    <w:rsid w:val="6530391D"/>
    <w:rsid w:val="65866769"/>
    <w:rsid w:val="658C31BC"/>
    <w:rsid w:val="66AD428D"/>
    <w:rsid w:val="66AE7107"/>
    <w:rsid w:val="670536B1"/>
    <w:rsid w:val="67142BB2"/>
    <w:rsid w:val="673712C4"/>
    <w:rsid w:val="67623CA0"/>
    <w:rsid w:val="67920233"/>
    <w:rsid w:val="68126E3F"/>
    <w:rsid w:val="68165820"/>
    <w:rsid w:val="696A2707"/>
    <w:rsid w:val="69AA76E0"/>
    <w:rsid w:val="69AD6245"/>
    <w:rsid w:val="6A475646"/>
    <w:rsid w:val="6A5825B4"/>
    <w:rsid w:val="6ABA2868"/>
    <w:rsid w:val="6B1E54F0"/>
    <w:rsid w:val="6BA82E5C"/>
    <w:rsid w:val="6C3C0BE7"/>
    <w:rsid w:val="6C7D4DA0"/>
    <w:rsid w:val="6CE102B7"/>
    <w:rsid w:val="6D15482A"/>
    <w:rsid w:val="6DA278F1"/>
    <w:rsid w:val="6DBD02E8"/>
    <w:rsid w:val="6ED41DF3"/>
    <w:rsid w:val="6FB660CA"/>
    <w:rsid w:val="6FCC1C73"/>
    <w:rsid w:val="6FD70D7C"/>
    <w:rsid w:val="70371302"/>
    <w:rsid w:val="704D3AA1"/>
    <w:rsid w:val="70D475C3"/>
    <w:rsid w:val="710D155A"/>
    <w:rsid w:val="71576DA6"/>
    <w:rsid w:val="71EC3DD5"/>
    <w:rsid w:val="72536B24"/>
    <w:rsid w:val="72734820"/>
    <w:rsid w:val="72BB7B3F"/>
    <w:rsid w:val="73332DC5"/>
    <w:rsid w:val="73B32AE1"/>
    <w:rsid w:val="73BE38DE"/>
    <w:rsid w:val="73DB2D2F"/>
    <w:rsid w:val="73FC1D8B"/>
    <w:rsid w:val="73FF4A4C"/>
    <w:rsid w:val="75214796"/>
    <w:rsid w:val="767B1EC3"/>
    <w:rsid w:val="768A2321"/>
    <w:rsid w:val="76C969BE"/>
    <w:rsid w:val="77357B80"/>
    <w:rsid w:val="77470EBF"/>
    <w:rsid w:val="77813C70"/>
    <w:rsid w:val="77F07695"/>
    <w:rsid w:val="782125E8"/>
    <w:rsid w:val="797B37B9"/>
    <w:rsid w:val="79D3087F"/>
    <w:rsid w:val="7A26235D"/>
    <w:rsid w:val="7A282899"/>
    <w:rsid w:val="7A9F5E5C"/>
    <w:rsid w:val="7ADB32E2"/>
    <w:rsid w:val="7BF942D2"/>
    <w:rsid w:val="7C2056D9"/>
    <w:rsid w:val="7CA40100"/>
    <w:rsid w:val="7D535D69"/>
    <w:rsid w:val="7D6E041B"/>
    <w:rsid w:val="7DB320E2"/>
    <w:rsid w:val="7DBB1B3F"/>
    <w:rsid w:val="7DFC5225"/>
    <w:rsid w:val="7EBD4FFD"/>
    <w:rsid w:val="7F7B29FD"/>
    <w:rsid w:val="7F9FC6AD"/>
    <w:rsid w:val="7FBD26B1"/>
    <w:rsid w:val="7FE261DB"/>
    <w:rsid w:val="7FF76C79"/>
    <w:rsid w:val="7FFBBC34"/>
    <w:rsid w:val="BEDD0D0A"/>
    <w:rsid w:val="BFDFDD39"/>
    <w:rsid w:val="C1DE17F6"/>
    <w:rsid w:val="D3FB0EAD"/>
    <w:rsid w:val="DB7F9B5F"/>
    <w:rsid w:val="EF9E9BBE"/>
    <w:rsid w:val="F7DF817A"/>
    <w:rsid w:val="FCDEBB42"/>
    <w:rsid w:val="FD6FC722"/>
    <w:rsid w:val="FEF31056"/>
    <w:rsid w:val="FF5E7F41"/>
    <w:rsid w:val="FF5F630B"/>
    <w:rsid w:val="FF5FBFB4"/>
    <w:rsid w:val="FFD3F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 w:val="32"/>
    </w:rPr>
  </w:style>
  <w:style w:type="paragraph" w:styleId="4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5">
    <w:name w:val="Body Text Indent"/>
    <w:basedOn w:val="1"/>
    <w:next w:val="6"/>
    <w:qFormat/>
    <w:uiPriority w:val="99"/>
    <w:pPr>
      <w:spacing w:after="120"/>
      <w:ind w:left="420" w:leftChars="200"/>
    </w:pPr>
  </w:style>
  <w:style w:type="paragraph" w:styleId="6">
    <w:name w:val="Body Text Indent 2"/>
    <w:basedOn w:val="1"/>
    <w:unhideWhenUsed/>
    <w:qFormat/>
    <w:uiPriority w:val="99"/>
    <w:pPr>
      <w:ind w:firstLine="630"/>
    </w:pPr>
    <w:rPr>
      <w:b/>
    </w:rPr>
  </w:style>
  <w:style w:type="paragraph" w:styleId="7">
    <w:name w:val="Balloon Text"/>
    <w:basedOn w:val="1"/>
    <w:link w:val="20"/>
    <w:qFormat/>
    <w:uiPriority w:val="0"/>
    <w:rPr>
      <w:sz w:val="18"/>
      <w:szCs w:val="18"/>
    </w:rPr>
  </w:style>
  <w:style w:type="paragraph" w:styleId="8">
    <w:name w:val="footer"/>
    <w:basedOn w:val="1"/>
    <w:next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索引 51"/>
    <w:basedOn w:val="1"/>
    <w:next w:val="1"/>
    <w:qFormat/>
    <w:uiPriority w:val="0"/>
    <w:pPr>
      <w:ind w:left="1680"/>
    </w:p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2">
    <w:name w:val="Body Text First Indent 2"/>
    <w:basedOn w:val="5"/>
    <w:next w:val="1"/>
    <w:qFormat/>
    <w:uiPriority w:val="0"/>
    <w:pPr>
      <w:ind w:firstLine="420" w:firstLineChars="200"/>
    </w:p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0"/>
    <w:rPr>
      <w:b/>
    </w:rPr>
  </w:style>
  <w:style w:type="character" w:styleId="17">
    <w:name w:val="Emphasis"/>
    <w:basedOn w:val="15"/>
    <w:qFormat/>
    <w:uiPriority w:val="0"/>
    <w:rPr>
      <w:i/>
    </w:rPr>
  </w:style>
  <w:style w:type="paragraph" w:customStyle="1" w:styleId="18">
    <w:name w:val="BodyText"/>
    <w:basedOn w:val="1"/>
    <w:next w:val="4"/>
    <w:qFormat/>
    <w:uiPriority w:val="0"/>
    <w:pPr>
      <w:spacing w:after="120"/>
      <w:textAlignment w:val="baseline"/>
    </w:pPr>
  </w:style>
  <w:style w:type="character" w:customStyle="1" w:styleId="19">
    <w:name w:val="font81"/>
    <w:basedOn w:val="1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0">
    <w:name w:val="批注框文本 Char"/>
    <w:basedOn w:val="15"/>
    <w:link w:val="7"/>
    <w:qFormat/>
    <w:uiPriority w:val="0"/>
    <w:rPr>
      <w:kern w:val="2"/>
      <w:sz w:val="18"/>
      <w:szCs w:val="18"/>
    </w:rPr>
  </w:style>
  <w:style w:type="paragraph" w:customStyle="1" w:styleId="21">
    <w:name w:val="固定格式"/>
    <w:basedOn w:val="1"/>
    <w:qFormat/>
    <w:uiPriority w:val="0"/>
    <w:pPr>
      <w:spacing w:line="600" w:lineRule="exact"/>
    </w:pPr>
    <w:rPr>
      <w:rFonts w:ascii="Calibri" w:hAnsi="Calibri" w:eastAsia="华文仿宋" w:cs="Times New Roman"/>
      <w:sz w:val="36"/>
    </w:rPr>
  </w:style>
  <w:style w:type="paragraph" w:customStyle="1" w:styleId="22">
    <w:name w:val="正文文本缩进 21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江门市发展改革局</Company>
  <Pages>15</Pages>
  <Words>7608</Words>
  <Characters>7794</Characters>
  <Lines>128</Lines>
  <Paragraphs>36</Paragraphs>
  <TotalTime>0</TotalTime>
  <ScaleCrop>false</ScaleCrop>
  <LinksUpToDate>false</LinksUpToDate>
  <CharactersWithSpaces>7795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2021-09-17T19:25:00Z</dcterms:created>
  <dc:creator>WPS_1618799468</dc:creator>
  <cp:lastModifiedBy>Administrator</cp:lastModifiedBy>
  <cp:lastPrinted>2023-03-06T08:39:00Z</cp:lastPrinted>
  <dcterms:modified xsi:type="dcterms:W3CDTF">2023-11-13T09:01:44Z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8D7144093C7646688B377E1A5D7F9BAB</vt:lpwstr>
  </property>
</Properties>
</file>