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2023年江门市江海区巩固国家卫生城市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zh-CN" w:eastAsia="zh-CN"/>
        </w:rPr>
        <w:t>病媒生物防制设施及服务项目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  <w:t>报价单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18"/>
        <w:gridCol w:w="2060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设施及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金额</w:t>
            </w: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备注/依据/要求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四防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装置</w:t>
            </w: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药剂</w:t>
            </w: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毒鼠屋（含安装）</w:t>
            </w: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毒鼠屋（不含安装）</w:t>
            </w: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60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0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注：（1）无服务机构公章或报价专用章无效。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（2）本单仅用作采购报价，涂改无效，双方权益须签订合同。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报价单位名称（盖章）：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地址：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邮编：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联系人：</w:t>
      </w:r>
    </w:p>
    <w:p>
      <w:pPr>
        <w:widowControl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联系电话：</w:t>
      </w:r>
    </w:p>
    <w:p>
      <w:pPr>
        <w:widowControl/>
        <w:spacing w:line="240" w:lineRule="auto"/>
        <w:ind w:right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ODBmOWUyYzgzNjUzY2VmY2MyY2U3NDNmNGNmZjUifQ=="/>
  </w:docVars>
  <w:rsids>
    <w:rsidRoot w:val="71A505C2"/>
    <w:rsid w:val="71A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2023-11-07T02:37:00Z</dcterms:created>
  <dc:creator>vivi</dc:creator>
  <cp:lastModifiedBy>vivi</cp:lastModifiedBy>
  <dcterms:modified xsi:type="dcterms:W3CDTF">2023-11-07T02:37:41Z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8FC51E0C9DF2440D8FEC33B31E7E8203_11</vt:lpwstr>
  </property>
</Properties>
</file>