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6 -->
  <w:body>
    <w:p>
      <w:pPr>
        <w:tabs>
          <w:tab w:val="left" w:pos="2580"/>
          <w:tab w:val="left" w:pos="3846"/>
          <w:tab w:val="left" w:pos="5832"/>
          <w:tab w:val="left" w:pos="7797"/>
          <w:tab w:val="left" w:pos="9763"/>
          <w:tab w:val="left" w:pos="11221"/>
          <w:tab w:val="left" w:pos="12918"/>
        </w:tabs>
        <w:rPr>
          <w:rFonts w:ascii="黑体" w:eastAsia="黑体" w:hAnsi="黑体" w:cs="黑体" w:hint="default"/>
          <w:b w:val="0"/>
          <w:bCs w:val="0"/>
          <w:i w:val="0"/>
          <w:color w:val="000000"/>
          <w:kern w:val="0"/>
          <w:sz w:val="30"/>
          <w:szCs w:val="30"/>
          <w:u w:val="none"/>
          <w:lang w:eastAsia="zh-CN" w:bidi="ar"/>
        </w:rPr>
      </w:pPr>
      <w:r>
        <w:rPr>
          <w:rFonts w:ascii="黑体" w:eastAsia="黑体" w:hAnsi="黑体" w:cs="黑体" w:hint="default"/>
          <w:b w:val="0"/>
          <w:bCs w:val="0"/>
          <w:i w:val="0"/>
          <w:color w:val="000000"/>
          <w:kern w:val="0"/>
          <w:sz w:val="30"/>
          <w:szCs w:val="30"/>
          <w:u w:val="none"/>
          <w:lang w:eastAsia="zh-CN" w:bidi="ar"/>
        </w:rPr>
        <w:t>附件3：</w:t>
      </w:r>
    </w:p>
    <w:p>
      <w:pPr>
        <w:tabs>
          <w:tab w:val="left" w:pos="2580"/>
          <w:tab w:val="left" w:pos="3846"/>
          <w:tab w:val="left" w:pos="5832"/>
          <w:tab w:val="left" w:pos="7797"/>
          <w:tab w:val="left" w:pos="9763"/>
          <w:tab w:val="left" w:pos="11221"/>
          <w:tab w:val="left" w:pos="12918"/>
        </w:tabs>
        <w:ind w:firstLine="4160" w:firstLineChars="1300"/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</w:pPr>
      <w:r>
        <w:rPr>
          <w:rFonts w:ascii="Times New Roman" w:eastAsia="黑体" w:hAnsi="Times New Roman" w:cs="Times New Roman" w:hint="default"/>
          <w:i w:val="0"/>
          <w:color w:val="000000"/>
          <w:sz w:val="32"/>
          <w:szCs w:val="32"/>
          <w:u w:val="none"/>
        </w:rPr>
        <w:t>已入账市政基础设施明细情况一览表</w:t>
      </w:r>
      <w:r>
        <w:rPr>
          <w:rFonts w:ascii="Times New Roman" w:eastAsia="黑体" w:hAnsi="Times New Roman" w:cs="Times New Roman" w:hint="default"/>
          <w:i w:val="0"/>
          <w:color w:val="000000"/>
          <w:sz w:val="32"/>
          <w:szCs w:val="32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2580"/>
          <w:tab w:val="left" w:pos="3846"/>
          <w:tab w:val="left" w:pos="5832"/>
          <w:tab w:val="left" w:pos="7797"/>
          <w:tab w:val="left" w:pos="9763"/>
          <w:tab w:val="left" w:pos="12918"/>
        </w:tabs>
        <w:rPr>
          <w:rFonts w:ascii="Times New Roman" w:eastAsia="仿宋_GB2312" w:hAnsi="Times New Roman" w:cs="Times New Roman" w:hint="default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tabs>
          <w:tab w:val="left" w:pos="2580"/>
          <w:tab w:val="left" w:pos="3846"/>
          <w:tab w:val="left" w:pos="5832"/>
          <w:tab w:val="left" w:pos="7797"/>
          <w:tab w:val="left" w:pos="9763"/>
          <w:tab w:val="left" w:pos="12918"/>
        </w:tabs>
        <w:rPr>
          <w:rFonts w:ascii="Times New Roman" w:eastAsia="仿宋_GB2312" w:hAnsi="Times New Roman" w:cs="Times New Roman" w:hint="default"/>
          <w:i w:val="0"/>
          <w:color w:val="000000"/>
          <w:sz w:val="32"/>
          <w:szCs w:val="32"/>
          <w:u w:val="none"/>
        </w:rPr>
      </w:pPr>
      <w:r>
        <w:rPr>
          <w:rFonts w:ascii="Times New Roman" w:eastAsia="仿宋_GB2312" w:hAnsi="Times New Roman" w:cs="Times New Roman" w:hint="default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报送单位：（盖章）</w:t>
      </w:r>
      <w:r>
        <w:rPr>
          <w:rFonts w:ascii="Times New Roman" w:eastAsia="仿宋_GB2312" w:hAnsi="Times New Roman" w:cs="Times New Roman" w:hint="default"/>
          <w:i w:val="0"/>
          <w:color w:val="000000"/>
          <w:sz w:val="21"/>
          <w:szCs w:val="21"/>
          <w:u w:val="none"/>
        </w:rPr>
        <w:tab/>
      </w:r>
      <w:r>
        <w:rPr>
          <w:rFonts w:ascii="Times New Roman" w:eastAsia="仿宋_GB2312" w:hAnsi="Times New Roman" w:cs="Times New Roman" w:hint="default"/>
          <w:i w:val="0"/>
          <w:color w:val="000000"/>
          <w:sz w:val="21"/>
          <w:szCs w:val="21"/>
          <w:u w:val="none"/>
        </w:rPr>
        <w:tab/>
      </w:r>
      <w:r>
        <w:rPr>
          <w:rFonts w:ascii="Times New Roman" w:eastAsia="仿宋_GB2312" w:hAnsi="Times New Roman" w:cs="Times New Roman" w:hint="default"/>
          <w:i w:val="0"/>
          <w:color w:val="000000"/>
          <w:sz w:val="21"/>
          <w:szCs w:val="21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1"/>
          <w:szCs w:val="21"/>
          <w:u w:val="none"/>
        </w:rPr>
        <w:tab/>
      </w:r>
      <w:r>
        <w:rPr>
          <w:rFonts w:ascii="Times New Roman" w:eastAsia="宋体" w:hAnsi="Times New Roman" w:cs="Times New Roman" w:hint="default"/>
          <w:i w:val="0"/>
          <w:color w:val="000000"/>
          <w:sz w:val="21"/>
          <w:szCs w:val="21"/>
          <w:u w:val="none"/>
        </w:rPr>
        <w:tab/>
      </w:r>
      <w:r>
        <w:rPr>
          <w:rFonts w:ascii="Times New Roman" w:eastAsia="仿宋_GB2312" w:hAnsi="Times New Roman" w:cs="Times New Roman" w:hint="default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报送时间：</w:t>
      </w:r>
      <w:r>
        <w:rPr>
          <w:rFonts w:ascii="Times New Roman" w:eastAsia="仿宋_GB2312" w:hAnsi="Times New Roman" w:cs="Times New Roman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 xml:space="preserve">     年  月  日</w:t>
      </w:r>
      <w:r>
        <w:rPr>
          <w:rFonts w:ascii="Times New Roman" w:eastAsia="仿宋_GB2312" w:hAnsi="Times New Roman" w:cs="Times New Roman" w:hint="default"/>
          <w:i w:val="0"/>
          <w:color w:val="000000"/>
          <w:sz w:val="28"/>
          <w:szCs w:val="28"/>
          <w:u w:val="none"/>
        </w:rPr>
        <w:tab/>
      </w:r>
    </w:p>
    <w:tbl>
      <w:tblPr>
        <w:tblStyle w:val="TableNormal"/>
        <w:tblW w:w="13735" w:type="dxa"/>
        <w:jc w:val="center"/>
        <w:tblInd w:w="-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91"/>
        <w:gridCol w:w="1546"/>
        <w:gridCol w:w="1517"/>
        <w:gridCol w:w="1583"/>
        <w:gridCol w:w="1470"/>
        <w:gridCol w:w="1580"/>
        <w:gridCol w:w="1500"/>
        <w:gridCol w:w="1329"/>
        <w:gridCol w:w="1119"/>
      </w:tblGrid>
      <w:tr>
        <w:tblPrEx>
          <w:tblW w:w="13735" w:type="dxa"/>
          <w:jc w:val="center"/>
          <w:tblInd w:w="-2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资产名称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三级科目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四级科目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入账金额（单位：万元）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入账价值确定依据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记账单位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所属</w:t>
            </w: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eastAsia="zh-CN"/>
              </w:rPr>
              <w:t>镇街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sz w:val="21"/>
                <w:szCs w:val="21"/>
                <w:lang w:val="en-US" w:eastAsia="zh-CN"/>
              </w:rPr>
              <w:t>所属县（市、区）</w:t>
            </w:r>
          </w:p>
        </w:tc>
      </w:tr>
      <w:tr>
        <w:tblPrEx>
          <w:tblW w:w="13735" w:type="dxa"/>
          <w:jc w:val="center"/>
          <w:tblInd w:w="-29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例：XX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桥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交通设施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城市桥梁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100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竣工决算金额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XX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（市、区）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桥梁管理处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XX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县交通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运输局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XX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eastAsia="zh-CN"/>
              </w:rPr>
              <w:t>XX</w:t>
            </w:r>
            <w:r>
              <w:rPr>
                <w:rFonts w:ascii="Times New Roman" w:eastAsia="仿宋_GB2312" w:hAnsi="Times New Roman" w:cs="Times New Roman" w:hint="default"/>
                <w:sz w:val="21"/>
                <w:szCs w:val="21"/>
                <w:lang w:val="en-US" w:eastAsia="zh-CN"/>
              </w:rPr>
              <w:t>县</w:t>
            </w:r>
          </w:p>
        </w:tc>
      </w:tr>
      <w:tr>
        <w:tblPrEx>
          <w:tblW w:w="13735" w:type="dxa"/>
          <w:jc w:val="center"/>
          <w:tblInd w:w="-29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</w:tr>
      <w:tr>
        <w:tblPrEx>
          <w:tblW w:w="13735" w:type="dxa"/>
          <w:jc w:val="center"/>
          <w:tblInd w:w="-29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</w:tr>
      <w:tr>
        <w:tblPrEx>
          <w:tblW w:w="13735" w:type="dxa"/>
          <w:jc w:val="center"/>
          <w:tblInd w:w="-29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eastAsia="仿宋_GB2312" w:hAnsi="Times New Roman" w:cs="Times New Roman" w:hint="default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0" w:hanging="420" w:leftChars="0" w:hangingChars="200"/>
        <w:jc w:val="left"/>
        <w:textAlignment w:val="center"/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</w:pP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 xml:space="preserve"> 填表人：                                       联系电话：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0" w:hanging="420" w:leftChars="0" w:hangingChars="200"/>
        <w:jc w:val="left"/>
        <w:textAlignment w:val="center"/>
        <w:rPr>
          <w:rFonts w:ascii="仿宋_GB2312" w:eastAsia="仿宋_GB2312" w:hAnsi="仿宋_GB2312" w:cs="仿宋_GB2312" w:hint="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30" w:hanging="420" w:leftChars="100" w:hangingChars="200"/>
        <w:jc w:val="left"/>
        <w:textAlignment w:val="center"/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</w:pPr>
      <w:r>
        <w:rPr>
          <w:rFonts w:ascii="仿宋_GB2312" w:eastAsia="仿宋_GB2312" w:hAnsi="仿宋_GB2312" w:cs="仿宋_GB2312" w:hint="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</w:t>
      </w: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>1.本表所列三级科目、四级科目对照《</w:t>
      </w:r>
      <w:r>
        <w:rPr>
          <w:rFonts w:ascii="仿宋_GB2312" w:eastAsia="仿宋_GB2312" w:hAnsi="黑体" w:hint="eastAsia"/>
          <w:szCs w:val="32"/>
        </w:rPr>
        <w:t>财政部 住房城乡建设部 工业和信息化部 公安部 交通运输部 水利部关于进一步加强市政基础设施政府会计核算的通知》（财会〔2022〕38号</w:t>
      </w: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>）附件2的明细科目填列。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firstLine="210" w:leftChars="200" w:firstLineChars="100"/>
        <w:jc w:val="left"/>
        <w:textAlignment w:val="center"/>
        <w:rPr>
          <w:rFonts w:ascii="仿宋_GB2312" w:eastAsia="仿宋_GB2312" w:hAnsi="仿宋_GB2312" w:cs="仿宋_GB2312" w:hint="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>2.</w:t>
      </w:r>
      <w:r>
        <w:rPr>
          <w:rFonts w:ascii="仿宋_GB2312" w:eastAsia="仿宋_GB2312" w:hAnsi="仿宋_GB2312" w:cs="仿宋_GB2312" w:hint="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本表填列截至2023年12月31日的市政基础设施入账情况。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06" w:hanging="76" w:leftChars="300" w:hangingChars="36"/>
        <w:jc w:val="left"/>
        <w:textAlignment w:val="center"/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sectPr>
          <w:type w:val="nextPage"/>
          <w:pgSz w:w="16838" w:h="11906" w:orient="landscape"/>
          <w:pgMar w:top="1134" w:right="1417" w:bottom="1134" w:left="1417" w:header="851" w:footer="1304" w:gutter="0"/>
          <w:pgNumType w:fmt="numberInDash"/>
          <w:cols w:space="720"/>
          <w:rtlGutter w:val="0"/>
          <w:docGrid w:type="lines" w:linePitch="312" w:charSpace="0"/>
        </w:sectPr>
      </w:pP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>3.</w:t>
      </w:r>
      <w:r>
        <w:rPr>
          <w:rFonts w:ascii="仿宋_GB2312" w:eastAsia="仿宋_GB2312" w:hAnsi="仿宋_GB2312" w:cs="仿宋_GB2312" w:hint="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入账价值确定依据为：竣工决算金额、工程结算审核金额、工程结算金额、工程合同造价金额、工程设计预算金额、工程概算金额、资产评估金额、重置成本等</w:t>
      </w:r>
      <w:r>
        <w:rPr>
          <w:rFonts w:ascii="仿宋_GB2312" w:eastAsia="仿宋_GB2312" w:hAnsi="仿宋_GB2312" w:cs="仿宋_GB2312" w:hint="default"/>
          <w:i w:val="0"/>
          <w:color w:val="000000"/>
          <w:kern w:val="0"/>
          <w:sz w:val="21"/>
          <w:szCs w:val="21"/>
          <w:u w:val="none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9DFF0320"/>
    <w:rsid w:val="B5ED19FA"/>
    <w:rsid w:val="E35F2BE4"/>
    <w:rsid w:val="FA3DC99A"/>
    <w:rsid w:val="FE7E3041"/>
    <w:rsid w:val="FFFAE1DD"/>
    <w:rsid w:val="3EAB0813"/>
    <w:rsid w:val="5DDCE449"/>
    <w:rsid w:val="5F2FDBB1"/>
    <w:rsid w:val="78FF4ABE"/>
    <w:rsid w:val="7F7FFB8C"/>
    <w:rsid w:val="7FFFBC2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157260000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施海平</cp:lastModifiedBy>
  <cp:revision>0</cp:revision>
  <dcterms:created xsi:type="dcterms:W3CDTF">2014-10-31T20:08:00Z</dcterms:created>
  <dcterms:modified xsi:type="dcterms:W3CDTF">2023-09-28T15:52:24Z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