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公文小标宋" w:hAnsi="方正公文小标宋" w:eastAsia="方正公文小标宋" w:cs="方正公文小标宋"/>
          <w:sz w:val="36"/>
          <w:szCs w:val="36"/>
        </w:rPr>
      </w:pPr>
    </w:p>
    <w:p>
      <w:pPr>
        <w:spacing w:line="580" w:lineRule="exact"/>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江门</w:t>
      </w:r>
      <w:r>
        <w:rPr>
          <w:rFonts w:hint="eastAsia" w:ascii="方正小标宋_GBK" w:hAnsi="方正小标宋_GBK" w:eastAsia="方正小标宋_GBK" w:cs="方正小标宋_GBK"/>
          <w:sz w:val="40"/>
          <w:szCs w:val="40"/>
          <w:lang w:eastAsia="zh-CN"/>
        </w:rPr>
        <w:t>高新区（</w:t>
      </w:r>
      <w:r>
        <w:rPr>
          <w:rFonts w:hint="eastAsia" w:ascii="方正小标宋_GBK" w:hAnsi="方正小标宋_GBK" w:eastAsia="方正小标宋_GBK" w:cs="方正小标宋_GBK"/>
          <w:sz w:val="40"/>
          <w:szCs w:val="40"/>
          <w:lang w:val="en-US" w:eastAsia="zh-CN"/>
        </w:rPr>
        <w:t>江海区）</w:t>
      </w:r>
      <w:r>
        <w:rPr>
          <w:rFonts w:hint="eastAsia" w:ascii="方正小标宋_GBK" w:hAnsi="方正小标宋_GBK" w:eastAsia="方正小标宋_GBK" w:cs="方正小标宋_GBK"/>
          <w:sz w:val="40"/>
          <w:szCs w:val="40"/>
        </w:rPr>
        <w:t>消防工作“十四五”规划</w:t>
      </w:r>
    </w:p>
    <w:p>
      <w:pPr>
        <w:spacing w:line="580" w:lineRule="exact"/>
        <w:jc w:val="center"/>
        <w:rPr>
          <w:rFonts w:hint="eastAsia" w:ascii="仿宋" w:hAnsi="仿宋" w:eastAsia="仿宋" w:cs="仿宋"/>
          <w:sz w:val="32"/>
          <w:szCs w:val="32"/>
          <w:lang w:eastAsia="zh-CN"/>
        </w:rPr>
      </w:pPr>
      <w:r>
        <w:rPr>
          <w:rFonts w:hint="eastAsia" w:ascii="方正仿宋_GBK" w:hAnsi="方正仿宋_GBK" w:eastAsia="方正仿宋_GBK" w:cs="方正仿宋_GBK"/>
          <w:sz w:val="32"/>
          <w:szCs w:val="32"/>
          <w:lang w:eastAsia="zh-CN"/>
        </w:rPr>
        <w:t>（征求意见稿）</w:t>
      </w: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b/>
          <w:bCs w:val="0"/>
          <w:sz w:val="32"/>
          <w:szCs w:val="32"/>
          <w:lang w:val="en-US" w:eastAsia="zh-CN"/>
        </w:rPr>
      </w:pPr>
    </w:p>
    <w:p>
      <w:pPr>
        <w:spacing w:line="580" w:lineRule="exact"/>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32"/>
          <w:szCs w:val="32"/>
          <w:lang w:val="en-US" w:eastAsia="zh-CN"/>
        </w:rPr>
        <w:t>2021年12月</w:t>
      </w:r>
    </w:p>
    <w:p>
      <w:pPr>
        <w:spacing w:line="580" w:lineRule="exact"/>
        <w:ind w:firstLine="883" w:firstLineChars="200"/>
        <w:jc w:val="center"/>
        <w:rPr>
          <w:b/>
          <w:sz w:val="44"/>
          <w:szCs w:val="44"/>
        </w:rPr>
      </w:pPr>
    </w:p>
    <w:p>
      <w:pPr>
        <w:pStyle w:val="8"/>
      </w:pPr>
    </w:p>
    <w:p>
      <w:pPr>
        <w:pStyle w:val="8"/>
      </w:pPr>
    </w:p>
    <w:p>
      <w:pPr>
        <w:pStyle w:val="8"/>
      </w:pPr>
    </w:p>
    <w:p>
      <w:pPr>
        <w:spacing w:line="580" w:lineRule="exact"/>
        <w:jc w:val="center"/>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目 录</w:t>
      </w:r>
    </w:p>
    <w:p>
      <w:pPr>
        <w:pStyle w:val="8"/>
        <w:rPr>
          <w:rFonts w:hint="eastAsia" w:ascii="宋体" w:hAnsi="宋体" w:eastAsia="宋体" w:cs="宋体"/>
          <w:b w:val="0"/>
          <w:sz w:val="32"/>
          <w:szCs w:val="32"/>
        </w:rPr>
      </w:pPr>
    </w:p>
    <w:p>
      <w:pPr>
        <w:keepNext w:val="0"/>
        <w:keepLines w:val="0"/>
        <w:widowControl/>
        <w:suppressLineNumbers w:val="0"/>
        <w:jc w:val="both"/>
        <w:rPr>
          <w:rFonts w:ascii="方正仿宋_GBK" w:hAnsi="方正仿宋_GBK" w:eastAsia="方正仿宋_GBK" w:cs="方正仿宋_GBK"/>
          <w:color w:val="000000"/>
          <w:kern w:val="0"/>
          <w:sz w:val="30"/>
          <w:szCs w:val="30"/>
          <w:lang w:val="en-US" w:eastAsia="zh-CN" w:bidi="ar"/>
        </w:rPr>
      </w:pPr>
      <w:r>
        <w:rPr>
          <w:rFonts w:ascii="方正黑体_GBK" w:hAnsi="方正黑体_GBK" w:eastAsia="方正黑体_GBK" w:cs="方正黑体_GBK"/>
          <w:color w:val="000000"/>
          <w:kern w:val="0"/>
          <w:sz w:val="30"/>
          <w:szCs w:val="30"/>
          <w:lang w:val="en-US" w:eastAsia="zh-CN" w:bidi="ar"/>
        </w:rPr>
        <w:t>第一章形势分析</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1</w:t>
      </w:r>
    </w:p>
    <w:p>
      <w:pPr>
        <w:keepNext w:val="0"/>
        <w:keepLines w:val="0"/>
        <w:widowControl/>
        <w:suppressLineNumbers w:val="0"/>
        <w:ind w:firstLine="600" w:firstLineChars="200"/>
        <w:jc w:val="both"/>
        <w:rPr>
          <w:rFonts w:hint="eastAsia" w:ascii="方正仿宋_GBK" w:hAnsi="方正仿宋_GBK" w:eastAsia="方正仿宋_GBK" w:cs="方正仿宋_GBK"/>
          <w:color w:val="000000"/>
          <w:kern w:val="0"/>
          <w:sz w:val="30"/>
          <w:szCs w:val="30"/>
          <w:lang w:val="en-US" w:eastAsia="zh-CN" w:bidi="ar"/>
        </w:rPr>
      </w:pPr>
      <w:r>
        <w:rPr>
          <w:rFonts w:ascii="方正仿宋_GBK" w:hAnsi="方正仿宋_GBK" w:eastAsia="方正仿宋_GBK" w:cs="方正仿宋_GBK"/>
          <w:color w:val="000000"/>
          <w:kern w:val="0"/>
          <w:sz w:val="30"/>
          <w:szCs w:val="30"/>
          <w:lang w:val="en-US" w:eastAsia="zh-CN" w:bidi="ar"/>
        </w:rPr>
        <w:t>第一节“十三五”时期工作成效</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2</w:t>
      </w:r>
    </w:p>
    <w:p>
      <w:pPr>
        <w:keepNext w:val="0"/>
        <w:keepLines w:val="0"/>
        <w:widowControl/>
        <w:suppressLineNumbers w:val="0"/>
        <w:ind w:firstLine="600" w:firstLineChars="200"/>
        <w:jc w:val="both"/>
        <w:rPr>
          <w:rFonts w:hint="eastAsia" w:ascii="方正仿宋_GBK" w:hAnsi="方正仿宋_GBK" w:eastAsia="方正仿宋_GBK" w:cs="方正仿宋_GBK"/>
          <w:color w:val="000000"/>
          <w:kern w:val="0"/>
          <w:sz w:val="30"/>
          <w:szCs w:val="30"/>
          <w:lang w:val="en-US" w:eastAsia="zh-CN" w:bidi="ar"/>
        </w:rPr>
      </w:pPr>
      <w:r>
        <w:rPr>
          <w:rFonts w:ascii="方正仿宋_GBK" w:hAnsi="方正仿宋_GBK" w:eastAsia="方正仿宋_GBK" w:cs="方正仿宋_GBK"/>
          <w:color w:val="000000"/>
          <w:kern w:val="0"/>
          <w:sz w:val="30"/>
          <w:szCs w:val="30"/>
          <w:lang w:val="en-US" w:eastAsia="zh-CN" w:bidi="ar"/>
        </w:rPr>
        <w:t>第二节“十四五”时期面临的形势</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5</w:t>
      </w:r>
    </w:p>
    <w:p>
      <w:pPr>
        <w:keepNext w:val="0"/>
        <w:keepLines w:val="0"/>
        <w:widowControl/>
        <w:suppressLineNumbers w:val="0"/>
        <w:jc w:val="both"/>
        <w:rPr>
          <w:rFonts w:hint="default" w:ascii="方正仿宋_GBK" w:hAnsi="方正仿宋_GBK" w:eastAsia="方正仿宋_GBK" w:cs="方正仿宋_GBK"/>
          <w:color w:val="000000"/>
          <w:kern w:val="0"/>
          <w:sz w:val="30"/>
          <w:szCs w:val="30"/>
          <w:lang w:val="en-US" w:eastAsia="zh-CN" w:bidi="ar"/>
        </w:rPr>
      </w:pPr>
      <w:r>
        <w:rPr>
          <w:rFonts w:ascii="方正黑体_GBK" w:hAnsi="方正黑体_GBK" w:eastAsia="方正黑体_GBK" w:cs="方正黑体_GBK"/>
          <w:color w:val="000000"/>
          <w:kern w:val="0"/>
          <w:sz w:val="30"/>
          <w:szCs w:val="30"/>
          <w:lang w:val="en-US" w:eastAsia="zh-CN" w:bidi="ar"/>
        </w:rPr>
        <w:t>第二章总体要求</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eastAsia" w:ascii="Times New Roman" w:hAnsi="Times New Roman" w:eastAsia="宋体" w:cs="Times New Roman"/>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9</w:t>
      </w:r>
    </w:p>
    <w:p>
      <w:pPr>
        <w:keepNext w:val="0"/>
        <w:keepLines w:val="0"/>
        <w:widowControl/>
        <w:suppressLineNumbers w:val="0"/>
        <w:ind w:firstLine="600" w:firstLineChars="200"/>
        <w:jc w:val="both"/>
        <w:rPr>
          <w:rFonts w:hint="eastAsia" w:ascii="方正仿宋_GBK" w:hAnsi="方正仿宋_GBK" w:eastAsia="方正仿宋_GBK" w:cs="方正仿宋_GBK"/>
          <w:color w:val="000000"/>
          <w:kern w:val="0"/>
          <w:sz w:val="30"/>
          <w:szCs w:val="30"/>
          <w:lang w:val="en-US" w:eastAsia="zh-CN" w:bidi="ar"/>
        </w:rPr>
      </w:pPr>
      <w:r>
        <w:rPr>
          <w:rFonts w:ascii="方正仿宋_GBK" w:hAnsi="方正仿宋_GBK" w:eastAsia="方正仿宋_GBK" w:cs="方正仿宋_GBK"/>
          <w:color w:val="000000"/>
          <w:kern w:val="0"/>
          <w:sz w:val="30"/>
          <w:szCs w:val="30"/>
          <w:lang w:val="en-US" w:eastAsia="zh-CN" w:bidi="ar"/>
        </w:rPr>
        <w:t>第一节指导思想</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9</w:t>
      </w:r>
    </w:p>
    <w:p>
      <w:pPr>
        <w:keepNext w:val="0"/>
        <w:keepLines w:val="0"/>
        <w:widowControl/>
        <w:suppressLineNumbers w:val="0"/>
        <w:ind w:firstLine="600" w:firstLineChars="200"/>
        <w:jc w:val="both"/>
        <w:rPr>
          <w:rFonts w:hint="default" w:ascii="方正仿宋_GBK" w:hAnsi="方正仿宋_GBK" w:eastAsia="方正仿宋_GBK" w:cs="方正仿宋_GBK"/>
          <w:color w:val="000000"/>
          <w:kern w:val="0"/>
          <w:sz w:val="30"/>
          <w:szCs w:val="30"/>
          <w:lang w:val="en-US" w:eastAsia="zh-CN" w:bidi="ar"/>
        </w:rPr>
      </w:pPr>
      <w:r>
        <w:rPr>
          <w:rFonts w:ascii="方正仿宋_GBK" w:hAnsi="方正仿宋_GBK" w:eastAsia="方正仿宋_GBK" w:cs="方正仿宋_GBK"/>
          <w:color w:val="000000"/>
          <w:kern w:val="0"/>
          <w:sz w:val="30"/>
          <w:szCs w:val="30"/>
          <w:lang w:val="en-US" w:eastAsia="zh-CN" w:bidi="ar"/>
        </w:rPr>
        <w:t>第</w:t>
      </w:r>
      <w:r>
        <w:rPr>
          <w:rFonts w:hint="eastAsia" w:ascii="方正仿宋_GBK" w:hAnsi="方正仿宋_GBK" w:eastAsia="方正仿宋_GBK" w:cs="方正仿宋_GBK"/>
          <w:color w:val="000000"/>
          <w:kern w:val="0"/>
          <w:sz w:val="30"/>
          <w:szCs w:val="30"/>
          <w:lang w:val="en-US" w:eastAsia="zh-CN" w:bidi="ar"/>
        </w:rPr>
        <w:t>二</w:t>
      </w:r>
      <w:r>
        <w:rPr>
          <w:rFonts w:ascii="方正仿宋_GBK" w:hAnsi="方正仿宋_GBK" w:eastAsia="方正仿宋_GBK" w:cs="方正仿宋_GBK"/>
          <w:color w:val="000000"/>
          <w:kern w:val="0"/>
          <w:sz w:val="30"/>
          <w:szCs w:val="30"/>
          <w:lang w:val="en-US" w:eastAsia="zh-CN" w:bidi="ar"/>
        </w:rPr>
        <w:t>节基本原则</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eastAsia"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10</w:t>
      </w:r>
    </w:p>
    <w:p>
      <w:pPr>
        <w:keepNext w:val="0"/>
        <w:keepLines w:val="0"/>
        <w:widowControl/>
        <w:suppressLineNumbers w:val="0"/>
        <w:ind w:firstLine="600" w:firstLineChars="200"/>
        <w:jc w:val="both"/>
        <w:rPr>
          <w:rFonts w:hint="default" w:ascii="方正仿宋_GBK" w:hAnsi="方正仿宋_GBK" w:eastAsia="方正仿宋_GBK" w:cs="方正仿宋_GBK"/>
          <w:color w:val="000000"/>
          <w:kern w:val="0"/>
          <w:sz w:val="30"/>
          <w:szCs w:val="30"/>
          <w:lang w:val="en-US" w:eastAsia="zh-CN" w:bidi="ar"/>
        </w:rPr>
      </w:pPr>
      <w:r>
        <w:rPr>
          <w:rFonts w:ascii="方正仿宋_GBK" w:hAnsi="方正仿宋_GBK" w:eastAsia="方正仿宋_GBK" w:cs="方正仿宋_GBK"/>
          <w:color w:val="000000"/>
          <w:kern w:val="0"/>
          <w:sz w:val="30"/>
          <w:szCs w:val="30"/>
          <w:lang w:val="en-US" w:eastAsia="zh-CN" w:bidi="ar"/>
        </w:rPr>
        <w:t>第</w:t>
      </w:r>
      <w:r>
        <w:rPr>
          <w:rFonts w:hint="eastAsia" w:ascii="方正仿宋_GBK" w:hAnsi="方正仿宋_GBK" w:eastAsia="方正仿宋_GBK" w:cs="方正仿宋_GBK"/>
          <w:color w:val="000000"/>
          <w:kern w:val="0"/>
          <w:sz w:val="30"/>
          <w:szCs w:val="30"/>
          <w:lang w:val="en-US" w:eastAsia="zh-CN" w:bidi="ar"/>
        </w:rPr>
        <w:t>三节</w:t>
      </w:r>
      <w:r>
        <w:rPr>
          <w:rFonts w:ascii="方正仿宋_GBK" w:hAnsi="方正仿宋_GBK" w:eastAsia="方正仿宋_GBK" w:cs="方正仿宋_GBK"/>
          <w:color w:val="000000"/>
          <w:kern w:val="0"/>
          <w:sz w:val="30"/>
          <w:szCs w:val="30"/>
          <w:lang w:val="en-US" w:eastAsia="zh-CN" w:bidi="ar"/>
        </w:rPr>
        <w:t>总体目标</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10</w:t>
      </w:r>
    </w:p>
    <w:p>
      <w:pPr>
        <w:keepNext w:val="0"/>
        <w:keepLines w:val="0"/>
        <w:widowControl/>
        <w:suppressLineNumbers w:val="0"/>
        <w:ind w:firstLine="600" w:firstLineChars="200"/>
        <w:jc w:val="both"/>
        <w:rPr>
          <w:rFonts w:hint="default" w:ascii="方正仿宋_GBK" w:hAnsi="方正仿宋_GBK" w:eastAsia="方正仿宋_GBK" w:cs="方正仿宋_GBK"/>
          <w:color w:val="000000"/>
          <w:kern w:val="0"/>
          <w:sz w:val="30"/>
          <w:szCs w:val="30"/>
          <w:lang w:val="en-US" w:eastAsia="zh-CN" w:bidi="ar"/>
        </w:rPr>
      </w:pPr>
      <w:r>
        <w:rPr>
          <w:rFonts w:ascii="方正仿宋_GBK" w:hAnsi="方正仿宋_GBK" w:eastAsia="方正仿宋_GBK" w:cs="方正仿宋_GBK"/>
          <w:color w:val="000000"/>
          <w:kern w:val="0"/>
          <w:sz w:val="30"/>
          <w:szCs w:val="30"/>
          <w:lang w:val="en-US" w:eastAsia="zh-CN" w:bidi="ar"/>
        </w:rPr>
        <w:t>第四节规划依据</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13</w:t>
      </w:r>
    </w:p>
    <w:p>
      <w:pPr>
        <w:keepNext w:val="0"/>
        <w:keepLines w:val="0"/>
        <w:widowControl/>
        <w:suppressLineNumbers w:val="0"/>
        <w:jc w:val="both"/>
        <w:rPr>
          <w:rFonts w:ascii="方正仿宋_GBK" w:hAnsi="方正仿宋_GBK" w:eastAsia="方正仿宋_GBK" w:cs="方正仿宋_GBK"/>
          <w:color w:val="000000"/>
          <w:kern w:val="0"/>
          <w:sz w:val="30"/>
          <w:szCs w:val="30"/>
          <w:lang w:val="en-US" w:eastAsia="zh-CN" w:bidi="ar"/>
        </w:rPr>
      </w:pPr>
      <w:r>
        <w:rPr>
          <w:rFonts w:ascii="方正黑体_GBK" w:hAnsi="方正黑体_GBK" w:eastAsia="方正黑体_GBK" w:cs="方正黑体_GBK"/>
          <w:color w:val="000000"/>
          <w:kern w:val="0"/>
          <w:sz w:val="30"/>
          <w:szCs w:val="30"/>
          <w:lang w:val="en-US" w:eastAsia="zh-CN" w:bidi="ar"/>
        </w:rPr>
        <w:t>第三章“十四五”时期消防工作主要任务</w:t>
      </w:r>
      <w:r>
        <w:rPr>
          <w:rFonts w:hint="default" w:ascii="Times New Roman" w:hAnsi="Times New Roman" w:eastAsia="宋体" w:cs="Times New Roman"/>
          <w:color w:val="000000"/>
          <w:kern w:val="0"/>
          <w:sz w:val="30"/>
          <w:szCs w:val="30"/>
          <w:lang w:val="en-US" w:eastAsia="zh-CN" w:bidi="ar"/>
        </w:rPr>
        <w:t>..................................</w:t>
      </w:r>
      <w:r>
        <w:rPr>
          <w:rFonts w:hint="eastAsia" w:ascii="Times New Roman" w:hAnsi="Times New Roman" w:eastAsia="宋体" w:cs="Times New Roman"/>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ascii="方正仿宋_GBK" w:hAnsi="方正仿宋_GBK" w:eastAsia="方正仿宋_GBK" w:cs="方正仿宋_GBK"/>
          <w:color w:val="000000"/>
          <w:kern w:val="0"/>
          <w:sz w:val="30"/>
          <w:szCs w:val="30"/>
          <w:lang w:val="en-US" w:eastAsia="zh-CN" w:bidi="ar"/>
        </w:rPr>
        <w:t>1</w:t>
      </w:r>
      <w:r>
        <w:rPr>
          <w:rFonts w:hint="eastAsia" w:ascii="方正仿宋_GBK" w:hAnsi="方正仿宋_GBK" w:eastAsia="方正仿宋_GBK" w:cs="方正仿宋_GBK"/>
          <w:color w:val="000000"/>
          <w:kern w:val="0"/>
          <w:sz w:val="30"/>
          <w:szCs w:val="30"/>
          <w:lang w:val="en-US" w:eastAsia="zh-CN" w:bidi="ar"/>
        </w:rPr>
        <w:t>5</w:t>
      </w:r>
    </w:p>
    <w:p>
      <w:pPr>
        <w:keepNext w:val="0"/>
        <w:keepLines w:val="0"/>
        <w:widowControl/>
        <w:suppressLineNumbers w:val="0"/>
        <w:ind w:firstLine="600" w:firstLineChars="200"/>
        <w:jc w:val="both"/>
      </w:pPr>
      <w:r>
        <w:rPr>
          <w:rFonts w:ascii="方正仿宋_GBK" w:hAnsi="方正仿宋_GBK" w:eastAsia="方正仿宋_GBK" w:cs="方正仿宋_GBK"/>
          <w:color w:val="000000"/>
          <w:kern w:val="0"/>
          <w:sz w:val="30"/>
          <w:szCs w:val="30"/>
          <w:lang w:val="en-US" w:eastAsia="zh-CN" w:bidi="ar"/>
        </w:rPr>
        <w:t>第一节健全和完善消防安全责任体系</w:t>
      </w:r>
      <w:r>
        <w:rPr>
          <w:rFonts w:hint="default" w:ascii="Times New Roman" w:hAnsi="Times New Roman" w:eastAsia="宋体" w:cs="Times New Roman"/>
          <w:color w:val="000000"/>
          <w:kern w:val="0"/>
          <w:sz w:val="30"/>
          <w:szCs w:val="30"/>
          <w:lang w:val="en-US" w:eastAsia="zh-CN" w:bidi="ar"/>
        </w:rPr>
        <w:t>........................................</w:t>
      </w:r>
      <w:r>
        <w:rPr>
          <w:rFonts w:ascii="方正仿宋_GBK" w:hAnsi="方正仿宋_GBK" w:eastAsia="方正仿宋_GBK" w:cs="方正仿宋_GBK"/>
          <w:color w:val="000000"/>
          <w:kern w:val="0"/>
          <w:sz w:val="30"/>
          <w:szCs w:val="30"/>
          <w:lang w:val="en-US" w:eastAsia="zh-CN" w:bidi="ar"/>
        </w:rPr>
        <w:t>1</w:t>
      </w:r>
      <w:r>
        <w:rPr>
          <w:rFonts w:hint="eastAsia" w:ascii="方正仿宋_GBK" w:hAnsi="方正仿宋_GBK" w:eastAsia="方正仿宋_GBK" w:cs="方正仿宋_GBK"/>
          <w:color w:val="000000"/>
          <w:kern w:val="0"/>
          <w:sz w:val="30"/>
          <w:szCs w:val="30"/>
          <w:lang w:val="en-US" w:eastAsia="zh-CN" w:bidi="ar"/>
        </w:rPr>
        <w:t>5</w:t>
      </w:r>
    </w:p>
    <w:p>
      <w:pPr>
        <w:keepNext w:val="0"/>
        <w:keepLines w:val="0"/>
        <w:widowControl/>
        <w:suppressLineNumbers w:val="0"/>
        <w:ind w:firstLine="600" w:firstLineChars="200"/>
        <w:jc w:val="both"/>
      </w:pPr>
      <w:r>
        <w:rPr>
          <w:rFonts w:ascii="方正仿宋_GBK" w:hAnsi="方正仿宋_GBK" w:eastAsia="方正仿宋_GBK" w:cs="方正仿宋_GBK"/>
          <w:color w:val="000000"/>
          <w:kern w:val="0"/>
          <w:sz w:val="30"/>
          <w:szCs w:val="30"/>
          <w:lang w:val="en-US" w:eastAsia="zh-CN" w:bidi="ar"/>
        </w:rPr>
        <w:t>第二节健全和完善消防执法服务体系</w:t>
      </w:r>
      <w:r>
        <w:rPr>
          <w:rFonts w:hint="default" w:ascii="Times New Roman" w:hAnsi="Times New Roman" w:eastAsia="宋体" w:cs="Times New Roman"/>
          <w:color w:val="000000"/>
          <w:kern w:val="0"/>
          <w:sz w:val="30"/>
          <w:szCs w:val="30"/>
          <w:lang w:val="en-US" w:eastAsia="zh-CN" w:bidi="ar"/>
        </w:rPr>
        <w:t>........................................</w:t>
      </w:r>
      <w:r>
        <w:rPr>
          <w:rFonts w:ascii="方正仿宋_GBK" w:hAnsi="方正仿宋_GBK" w:eastAsia="方正仿宋_GBK" w:cs="方正仿宋_GBK"/>
          <w:color w:val="000000"/>
          <w:kern w:val="0"/>
          <w:sz w:val="30"/>
          <w:szCs w:val="30"/>
          <w:lang w:val="en-US" w:eastAsia="zh-CN" w:bidi="ar"/>
        </w:rPr>
        <w:t>1</w:t>
      </w:r>
      <w:r>
        <w:rPr>
          <w:rFonts w:hint="eastAsia" w:ascii="方正仿宋_GBK" w:hAnsi="方正仿宋_GBK" w:eastAsia="方正仿宋_GBK" w:cs="方正仿宋_GBK"/>
          <w:color w:val="000000"/>
          <w:kern w:val="0"/>
          <w:sz w:val="30"/>
          <w:szCs w:val="30"/>
          <w:lang w:val="en-US" w:eastAsia="zh-CN" w:bidi="ar"/>
        </w:rPr>
        <w:t>8</w:t>
      </w:r>
    </w:p>
    <w:p>
      <w:pPr>
        <w:keepNext w:val="0"/>
        <w:keepLines w:val="0"/>
        <w:widowControl/>
        <w:suppressLineNumbers w:val="0"/>
        <w:ind w:firstLine="600" w:firstLineChars="200"/>
        <w:jc w:val="both"/>
        <w:rPr>
          <w:rFonts w:hint="default"/>
          <w:lang w:val="en-US"/>
        </w:rPr>
      </w:pPr>
      <w:r>
        <w:rPr>
          <w:rFonts w:ascii="方正仿宋_GBK" w:hAnsi="方正仿宋_GBK" w:eastAsia="方正仿宋_GBK" w:cs="方正仿宋_GBK"/>
          <w:color w:val="000000"/>
          <w:kern w:val="0"/>
          <w:sz w:val="30"/>
          <w:szCs w:val="30"/>
          <w:lang w:val="en-US" w:eastAsia="zh-CN" w:bidi="ar"/>
        </w:rPr>
        <w:t>第三节健全和完善火灾风险防控体系</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22</w:t>
      </w:r>
    </w:p>
    <w:p>
      <w:pPr>
        <w:keepNext w:val="0"/>
        <w:keepLines w:val="0"/>
        <w:widowControl/>
        <w:suppressLineNumbers w:val="0"/>
        <w:ind w:firstLine="600" w:firstLineChars="200"/>
        <w:jc w:val="both"/>
      </w:pPr>
      <w:r>
        <w:rPr>
          <w:rFonts w:ascii="方正仿宋_GBK" w:hAnsi="方正仿宋_GBK" w:eastAsia="方正仿宋_GBK" w:cs="方正仿宋_GBK"/>
          <w:color w:val="000000"/>
          <w:kern w:val="0"/>
          <w:sz w:val="30"/>
          <w:szCs w:val="30"/>
          <w:lang w:val="en-US" w:eastAsia="zh-CN" w:bidi="ar"/>
        </w:rPr>
        <w:t>第四节健全和完善消防综合救援力量体系</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26</w:t>
      </w:r>
    </w:p>
    <w:p>
      <w:pPr>
        <w:keepNext w:val="0"/>
        <w:keepLines w:val="0"/>
        <w:widowControl/>
        <w:suppressLineNumbers w:val="0"/>
        <w:ind w:firstLine="600" w:firstLineChars="200"/>
        <w:jc w:val="both"/>
        <w:rPr>
          <w:rFonts w:hint="default"/>
          <w:lang w:val="en-US"/>
        </w:rPr>
      </w:pPr>
      <w:r>
        <w:rPr>
          <w:rFonts w:ascii="方正仿宋_GBK" w:hAnsi="方正仿宋_GBK" w:eastAsia="方正仿宋_GBK" w:cs="方正仿宋_GBK"/>
          <w:color w:val="000000"/>
          <w:kern w:val="0"/>
          <w:sz w:val="30"/>
          <w:szCs w:val="30"/>
          <w:lang w:val="en-US" w:eastAsia="zh-CN" w:bidi="ar"/>
        </w:rPr>
        <w:t>第五节健全和完善消防治理和应急救援保障体系</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31</w:t>
      </w:r>
    </w:p>
    <w:p>
      <w:pPr>
        <w:keepNext w:val="0"/>
        <w:keepLines w:val="0"/>
        <w:widowControl/>
        <w:suppressLineNumbers w:val="0"/>
        <w:ind w:firstLine="600" w:firstLineChars="200"/>
        <w:jc w:val="both"/>
        <w:rPr>
          <w:rFonts w:hint="default"/>
          <w:lang w:val="en-US"/>
        </w:rPr>
      </w:pPr>
      <w:r>
        <w:rPr>
          <w:rFonts w:ascii="方正仿宋_GBK" w:hAnsi="方正仿宋_GBK" w:eastAsia="方正仿宋_GBK" w:cs="方正仿宋_GBK"/>
          <w:color w:val="000000"/>
          <w:kern w:val="0"/>
          <w:sz w:val="30"/>
          <w:szCs w:val="30"/>
          <w:lang w:val="en-US" w:eastAsia="zh-CN" w:bidi="ar"/>
        </w:rPr>
        <w:t>第六节健全和完善消防宣传教育体系</w:t>
      </w:r>
      <w:r>
        <w:rPr>
          <w:rFonts w:hint="default" w:ascii="Times New Roman" w:hAnsi="Times New Roman" w:eastAsia="宋体" w:cs="Times New Roman"/>
          <w:color w:val="000000"/>
          <w:kern w:val="0"/>
          <w:sz w:val="30"/>
          <w:szCs w:val="30"/>
          <w:lang w:val="en-US" w:eastAsia="zh-CN" w:bidi="ar"/>
        </w:rPr>
        <w:t>........................................</w:t>
      </w:r>
      <w:r>
        <w:rPr>
          <w:rFonts w:hint="eastAsia"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35</w:t>
      </w:r>
    </w:p>
    <w:p>
      <w:pPr>
        <w:keepNext w:val="0"/>
        <w:keepLines w:val="0"/>
        <w:widowControl/>
        <w:suppressLineNumbers w:val="0"/>
        <w:jc w:val="both"/>
        <w:rPr>
          <w:rFonts w:hint="eastAsia" w:ascii="方正仿宋_GBK" w:hAnsi="方正仿宋_GBK" w:eastAsia="方正仿宋_GBK" w:cs="方正仿宋_GBK"/>
          <w:color w:val="000000"/>
          <w:kern w:val="0"/>
          <w:sz w:val="30"/>
          <w:szCs w:val="30"/>
          <w:lang w:val="en-US" w:eastAsia="zh-CN" w:bidi="ar"/>
        </w:rPr>
      </w:pPr>
      <w:r>
        <w:rPr>
          <w:rFonts w:ascii="方正黑体_GBK" w:hAnsi="方正黑体_GBK" w:eastAsia="方正黑体_GBK" w:cs="方正黑体_GBK"/>
          <w:color w:val="000000"/>
          <w:kern w:val="0"/>
          <w:sz w:val="30"/>
          <w:szCs w:val="30"/>
          <w:lang w:val="en-US" w:eastAsia="zh-CN" w:bidi="ar"/>
        </w:rPr>
        <w:t>第四章重点建设目</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default" w:ascii="方正仿宋_GBK" w:hAnsi="方正仿宋_GBK" w:eastAsia="方正仿宋_GBK" w:cs="方正仿宋_GBK"/>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37</w:t>
      </w:r>
      <w:r>
        <w:rPr>
          <w:rFonts w:hint="eastAsia" w:ascii="方正黑体_GBK" w:hAnsi="方正黑体_GBK" w:eastAsia="方正黑体_GBK" w:cs="方正黑体_GBK"/>
          <w:color w:val="000000"/>
          <w:kern w:val="0"/>
          <w:sz w:val="30"/>
          <w:szCs w:val="30"/>
          <w:lang w:val="en-US" w:eastAsia="zh-CN" w:bidi="ar"/>
        </w:rPr>
        <w:t>第五章保障</w:t>
      </w:r>
      <w:r>
        <w:rPr>
          <w:rFonts w:ascii="方正黑体_GBK" w:hAnsi="方正黑体_GBK" w:eastAsia="方正黑体_GBK" w:cs="方正黑体_GBK"/>
          <w:color w:val="000000"/>
          <w:kern w:val="0"/>
          <w:sz w:val="30"/>
          <w:szCs w:val="30"/>
          <w:lang w:val="en-US" w:eastAsia="zh-CN" w:bidi="ar"/>
        </w:rPr>
        <w:t>措施</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38</w:t>
      </w:r>
    </w:p>
    <w:p>
      <w:pPr>
        <w:keepNext w:val="0"/>
        <w:keepLines w:val="0"/>
        <w:widowControl/>
        <w:suppressLineNumbers w:val="0"/>
        <w:ind w:left="596" w:leftChars="284" w:firstLine="0" w:firstLineChars="0"/>
        <w:jc w:val="both"/>
        <w:rPr>
          <w:rFonts w:hint="default"/>
          <w:lang w:val="en-US"/>
        </w:rPr>
      </w:pPr>
      <w:r>
        <w:rPr>
          <w:rFonts w:hint="eastAsia" w:ascii="方正仿宋_GBK" w:hAnsi="方正仿宋_GBK" w:eastAsia="方正仿宋_GBK" w:cs="方正仿宋_GBK"/>
          <w:color w:val="000000"/>
          <w:kern w:val="0"/>
          <w:sz w:val="30"/>
          <w:szCs w:val="30"/>
          <w:lang w:val="en-US" w:eastAsia="zh-CN" w:bidi="ar"/>
        </w:rPr>
        <w:t>第一节加强党的全面领导</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38第二节完善制度保障</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39第三节落实资金保障</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39</w:t>
      </w:r>
      <w:r>
        <w:rPr>
          <w:rFonts w:ascii="方正仿宋_GBK" w:hAnsi="方正仿宋_GBK" w:eastAsia="方正仿宋_GBK" w:cs="方正仿宋_GBK"/>
          <w:color w:val="000000"/>
          <w:kern w:val="0"/>
          <w:sz w:val="30"/>
          <w:szCs w:val="30"/>
          <w:lang w:val="en-US" w:eastAsia="zh-CN" w:bidi="ar"/>
        </w:rPr>
        <w:t>第四节完善用地保障</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40第五节完善监督考评</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40附表1江门市江海区“十四五”期间城市消防站建设规划表</w:t>
      </w:r>
      <w:r>
        <w:rPr>
          <w:rFonts w:hint="default" w:ascii="方正仿宋_GBK" w:hAnsi="方正仿宋_GBK" w:eastAsia="方正仿宋_GBK" w:cs="方正仿宋_GBK"/>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42</w:t>
      </w:r>
    </w:p>
    <w:p>
      <w:pPr>
        <w:keepNext w:val="0"/>
        <w:keepLines w:val="0"/>
        <w:widowControl/>
        <w:suppressLineNumbers w:val="0"/>
        <w:ind w:firstLine="600" w:firstLineChars="200"/>
        <w:jc w:val="both"/>
        <w:rPr>
          <w:rFonts w:hint="default"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附表2江门市江海区“十四五”期间政府专职消防员招收规划表</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43</w:t>
      </w:r>
    </w:p>
    <w:p>
      <w:pPr>
        <w:pStyle w:val="2"/>
        <w:ind w:left="0" w:leftChars="0" w:firstLine="600" w:firstLineChars="200"/>
        <w:jc w:val="both"/>
        <w:rPr>
          <w:rFonts w:hint="default"/>
          <w:lang w:val="en-US"/>
        </w:rPr>
      </w:pPr>
      <w:r>
        <w:rPr>
          <w:rFonts w:hint="eastAsia" w:ascii="方正仿宋_GBK" w:hAnsi="方正仿宋_GBK" w:eastAsia="方正仿宋_GBK" w:cs="方正仿宋_GBK"/>
          <w:color w:val="000000"/>
          <w:kern w:val="0"/>
          <w:sz w:val="30"/>
          <w:szCs w:val="30"/>
          <w:lang w:val="en-US" w:eastAsia="zh-CN" w:bidi="ar"/>
        </w:rPr>
        <w:t>附表3江门市江海区“十四五”期间政府专职消防队站建设规划表</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44</w:t>
      </w:r>
    </w:p>
    <w:p>
      <w:pPr>
        <w:keepNext w:val="0"/>
        <w:keepLines w:val="0"/>
        <w:widowControl/>
        <w:suppressLineNumbers w:val="0"/>
        <w:ind w:firstLine="600" w:firstLineChars="200"/>
        <w:jc w:val="both"/>
        <w:rPr>
          <w:rFonts w:hint="default"/>
          <w:lang w:val="en-US"/>
        </w:rPr>
      </w:pPr>
      <w:r>
        <w:rPr>
          <w:rFonts w:hint="eastAsia" w:ascii="方正仿宋_GBK" w:hAnsi="方正仿宋_GBK" w:eastAsia="方正仿宋_GBK" w:cs="方正仿宋_GBK"/>
          <w:color w:val="000000"/>
          <w:kern w:val="0"/>
          <w:sz w:val="30"/>
          <w:szCs w:val="30"/>
          <w:lang w:val="en-US" w:eastAsia="zh-CN" w:bidi="ar"/>
        </w:rPr>
        <w:t>附表4江门市江海区“十四五”期间消防志愿者服务队建设达标规划表</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45</w:t>
      </w:r>
    </w:p>
    <w:p>
      <w:pPr>
        <w:keepNext w:val="0"/>
        <w:keepLines w:val="0"/>
        <w:widowControl/>
        <w:suppressLineNumbers w:val="0"/>
        <w:ind w:firstLine="600" w:firstLineChars="200"/>
        <w:jc w:val="both"/>
        <w:rPr>
          <w:rFonts w:hint="default"/>
          <w:lang w:val="en-US"/>
        </w:rPr>
      </w:pPr>
      <w:r>
        <w:rPr>
          <w:rFonts w:hint="eastAsia" w:ascii="方正仿宋_GBK" w:hAnsi="方正仿宋_GBK" w:eastAsia="方正仿宋_GBK" w:cs="方正仿宋_GBK"/>
          <w:color w:val="000000"/>
          <w:kern w:val="0"/>
          <w:sz w:val="30"/>
          <w:szCs w:val="30"/>
          <w:lang w:val="en-US" w:eastAsia="zh-CN" w:bidi="ar"/>
        </w:rPr>
        <w:t>附表5江门市江海区“十四五”期间微型消防站达标建设规划表</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46</w:t>
      </w:r>
    </w:p>
    <w:p>
      <w:pPr>
        <w:keepNext w:val="0"/>
        <w:keepLines w:val="0"/>
        <w:widowControl/>
        <w:suppressLineNumbers w:val="0"/>
        <w:ind w:firstLine="600" w:firstLineChars="200"/>
        <w:jc w:val="both"/>
        <w:rPr>
          <w:rFonts w:hint="default"/>
          <w:lang w:val="en-US"/>
        </w:rPr>
      </w:pPr>
      <w:r>
        <w:rPr>
          <w:rFonts w:hint="eastAsia" w:ascii="方正仿宋_GBK" w:hAnsi="方正仿宋_GBK" w:eastAsia="方正仿宋_GBK" w:cs="方正仿宋_GBK"/>
          <w:color w:val="000000"/>
          <w:kern w:val="0"/>
          <w:sz w:val="30"/>
          <w:szCs w:val="30"/>
          <w:lang w:val="en-US" w:eastAsia="zh-CN" w:bidi="ar"/>
        </w:rPr>
        <w:t>附表6江门市江海区“十四五”期间市政消火栓和消防取水平台建设规划表</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47</w:t>
      </w:r>
    </w:p>
    <w:p>
      <w:pPr>
        <w:keepNext w:val="0"/>
        <w:keepLines w:val="0"/>
        <w:widowControl/>
        <w:suppressLineNumbers w:val="0"/>
        <w:ind w:firstLine="600" w:firstLineChars="200"/>
        <w:jc w:val="both"/>
        <w:rPr>
          <w:rFonts w:hint="default"/>
          <w:lang w:val="en-US"/>
        </w:rPr>
      </w:pPr>
      <w:r>
        <w:rPr>
          <w:rFonts w:hint="eastAsia" w:ascii="方正仿宋_GBK" w:hAnsi="方正仿宋_GBK" w:eastAsia="方正仿宋_GBK" w:cs="方正仿宋_GBK"/>
          <w:color w:val="000000"/>
          <w:kern w:val="0"/>
          <w:sz w:val="30"/>
          <w:szCs w:val="30"/>
          <w:lang w:val="en-US" w:eastAsia="zh-CN" w:bidi="ar"/>
        </w:rPr>
        <w:t>附表7江门市江海区“十四五”期间消防车辆配置规划表</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48</w:t>
      </w:r>
    </w:p>
    <w:p>
      <w:pPr>
        <w:keepNext w:val="0"/>
        <w:keepLines w:val="0"/>
        <w:widowControl/>
        <w:suppressLineNumbers w:val="0"/>
        <w:ind w:left="596" w:leftChars="284" w:firstLine="0" w:firstLineChars="0"/>
        <w:jc w:val="both"/>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附表8江门市江海区“十四五”期间消防车辆配备汇总表</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50附表9江门市江海区“十四五”期间消防器材装备配备汇总</w:t>
      </w:r>
    </w:p>
    <w:p>
      <w:pPr>
        <w:keepNext w:val="0"/>
        <w:keepLines w:val="0"/>
        <w:widowControl/>
        <w:suppressLineNumbers w:val="0"/>
        <w:jc w:val="both"/>
        <w:rPr>
          <w:rFonts w:hint="default"/>
          <w:lang w:val="en-US"/>
        </w:rPr>
      </w:pPr>
      <w:r>
        <w:rPr>
          <w:rFonts w:hint="eastAsia" w:ascii="方正仿宋_GBK" w:hAnsi="方正仿宋_GBK" w:eastAsia="方正仿宋_GBK" w:cs="方正仿宋_GBK"/>
          <w:color w:val="000000"/>
          <w:kern w:val="0"/>
          <w:sz w:val="30"/>
          <w:szCs w:val="30"/>
          <w:lang w:val="en-US" w:eastAsia="zh-CN" w:bidi="ar"/>
        </w:rPr>
        <w:t>表</w:t>
      </w:r>
      <w:r>
        <w:rPr>
          <w:rFonts w:hint="default" w:ascii="Times New Roman" w:hAnsi="Times New Roman" w:eastAsia="宋体" w:cs="Times New Roman"/>
          <w:color w:val="000000"/>
          <w:kern w:val="0"/>
          <w:sz w:val="30"/>
          <w:szCs w:val="30"/>
          <w:lang w:val="en-US" w:eastAsia="zh-CN" w:bidi="ar"/>
        </w:rPr>
        <w:t>.....................................................................................................</w:t>
      </w:r>
      <w:r>
        <w:rPr>
          <w:rFonts w:hint="eastAsia"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51</w:t>
      </w:r>
    </w:p>
    <w:p>
      <w:pPr>
        <w:keepNext w:val="0"/>
        <w:keepLines w:val="0"/>
        <w:widowControl/>
        <w:suppressLineNumbers w:val="0"/>
        <w:ind w:firstLine="600" w:firstLineChars="200"/>
        <w:jc w:val="both"/>
        <w:rPr>
          <w:rFonts w:hint="default"/>
          <w:lang w:val="en-US"/>
        </w:rPr>
      </w:pPr>
      <w:r>
        <w:rPr>
          <w:rFonts w:hint="eastAsia" w:ascii="方正仿宋_GBK" w:hAnsi="方正仿宋_GBK" w:eastAsia="方正仿宋_GBK" w:cs="方正仿宋_GBK"/>
          <w:color w:val="000000"/>
          <w:kern w:val="0"/>
          <w:sz w:val="30"/>
          <w:szCs w:val="30"/>
          <w:lang w:val="en-US" w:eastAsia="zh-CN" w:bidi="ar"/>
        </w:rPr>
        <w:t>附表10江门市江海区“十四五”期间消防通信设备建设规划表</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52</w:t>
      </w:r>
    </w:p>
    <w:p>
      <w:pPr>
        <w:keepNext w:val="0"/>
        <w:keepLines w:val="0"/>
        <w:widowControl/>
        <w:suppressLineNumbers w:val="0"/>
        <w:ind w:firstLine="600" w:firstLineChars="200"/>
        <w:jc w:val="both"/>
        <w:rPr>
          <w:rFonts w:hint="default"/>
          <w:lang w:val="en-US"/>
        </w:rPr>
      </w:pPr>
      <w:r>
        <w:rPr>
          <w:rFonts w:hint="eastAsia" w:ascii="方正仿宋_GBK" w:hAnsi="方正仿宋_GBK" w:eastAsia="方正仿宋_GBK" w:cs="方正仿宋_GBK"/>
          <w:color w:val="000000"/>
          <w:kern w:val="0"/>
          <w:sz w:val="30"/>
          <w:szCs w:val="30"/>
          <w:lang w:val="en-US" w:eastAsia="zh-CN" w:bidi="ar"/>
        </w:rPr>
        <w:t>附表11消防救援站配置标准</w:t>
      </w:r>
      <w:r>
        <w:rPr>
          <w:rFonts w:hint="default" w:ascii="Times New Roman" w:hAnsi="Times New Roman" w:eastAsia="宋体" w:cs="Times New Roman"/>
          <w:color w:val="000000"/>
          <w:kern w:val="0"/>
          <w:sz w:val="30"/>
          <w:szCs w:val="30"/>
          <w:lang w:val="en-US" w:eastAsia="zh-CN" w:bidi="ar"/>
        </w:rPr>
        <w:t>............................................</w:t>
      </w:r>
      <w:r>
        <w:rPr>
          <w:rFonts w:hint="eastAsia" w:ascii="Times New Roman" w:hAnsi="Times New Roman" w:eastAsia="宋体" w:cs="Times New Roman"/>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color w:val="000000"/>
          <w:kern w:val="0"/>
          <w:sz w:val="30"/>
          <w:szCs w:val="30"/>
          <w:lang w:val="en-US" w:eastAsia="zh-CN" w:bidi="ar"/>
        </w:rPr>
        <w:t>52</w:t>
      </w:r>
    </w:p>
    <w:p>
      <w:pPr>
        <w:keepNext w:val="0"/>
        <w:keepLines w:val="0"/>
        <w:widowControl/>
        <w:suppressLineNumbers w:val="0"/>
        <w:ind w:firstLine="600" w:firstLineChars="200"/>
        <w:jc w:val="both"/>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color w:val="000000"/>
          <w:kern w:val="0"/>
          <w:sz w:val="30"/>
          <w:szCs w:val="30"/>
          <w:lang w:val="en-US" w:eastAsia="zh-CN" w:bidi="ar"/>
        </w:rPr>
        <w:t>附表12消防救援专业队类型及配置标准</w:t>
      </w:r>
      <w:r>
        <w:rPr>
          <w:rFonts w:hint="default" w:ascii="Times New Roman" w:hAnsi="Times New Roman" w:eastAsia="宋体" w:cs="Times New Roman"/>
          <w:color w:val="000000"/>
          <w:kern w:val="0"/>
          <w:sz w:val="30"/>
          <w:szCs w:val="30"/>
          <w:lang w:val="en-US" w:eastAsia="zh-CN" w:bidi="ar"/>
        </w:rPr>
        <w:t>............................</w:t>
      </w:r>
      <w:r>
        <w:rPr>
          <w:rFonts w:hint="eastAsia" w:ascii="Times New Roman" w:hAnsi="Times New Roman" w:eastAsia="宋体" w:cs="Times New Roman"/>
          <w:color w:val="000000"/>
          <w:kern w:val="0"/>
          <w:sz w:val="30"/>
          <w:szCs w:val="30"/>
          <w:lang w:val="en-US" w:eastAsia="zh-CN" w:bidi="ar"/>
        </w:rPr>
        <w:t>.</w:t>
      </w:r>
      <w:r>
        <w:rPr>
          <w:rFonts w:hint="default" w:ascii="Times New Roman" w:hAnsi="Times New Roman" w:eastAsia="宋体" w:cs="Times New Roman"/>
          <w:color w:val="000000"/>
          <w:kern w:val="0"/>
          <w:sz w:val="30"/>
          <w:szCs w:val="30"/>
          <w:lang w:val="en-US" w:eastAsia="zh-CN" w:bidi="ar"/>
        </w:rPr>
        <w:t>...</w:t>
      </w:r>
      <w:r>
        <w:rPr>
          <w:rFonts w:hint="eastAsia" w:ascii="方正仿宋_GBK" w:hAnsi="方正仿宋_GBK" w:eastAsia="方正仿宋_GBK" w:cs="方正仿宋_GBK"/>
          <w:sz w:val="30"/>
          <w:szCs w:val="30"/>
          <w:lang w:val="en-US" w:eastAsia="zh-CN"/>
        </w:rPr>
        <w:t>..54</w:t>
      </w:r>
    </w:p>
    <w:p>
      <w:pPr>
        <w:keepNext w:val="0"/>
        <w:keepLines w:val="0"/>
        <w:widowControl/>
        <w:suppressLineNumbers w:val="0"/>
        <w:ind w:firstLine="600" w:firstLineChars="200"/>
        <w:jc w:val="both"/>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附表13消防科普教育基地（场所）建设标准......................</w:t>
      </w:r>
      <w:r>
        <w:rPr>
          <w:rFonts w:hint="eastAsia" w:ascii="方正仿宋_GBK" w:hAnsi="方正仿宋_GBK" w:eastAsia="方正仿宋_GBK" w:cs="方正仿宋_GBK"/>
          <w:sz w:val="30"/>
          <w:szCs w:val="30"/>
          <w:lang w:val="en-US" w:eastAsia="zh-CN"/>
        </w:rPr>
        <w:t>55</w:t>
      </w:r>
    </w:p>
    <w:p>
      <w:pPr>
        <w:pStyle w:val="8"/>
        <w:rPr>
          <w:rFonts w:hint="eastAsia" w:ascii="黑体" w:hAnsi="黑体" w:eastAsia="黑体" w:cs="黑体"/>
          <w:b w:val="0"/>
          <w:sz w:val="32"/>
          <w:szCs w:val="32"/>
          <w:lang w:val="en-US" w:eastAsia="zh-CN"/>
        </w:rPr>
        <w:sectPr>
          <w:footerReference r:id="rId3" w:type="default"/>
          <w:pgSz w:w="11906" w:h="16838"/>
          <w:pgMar w:top="1757" w:right="1587" w:bottom="1440" w:left="1531"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8"/>
        <w:keepNext w:val="0"/>
        <w:keepLines w:val="0"/>
        <w:pageBreakBefore w:val="0"/>
        <w:kinsoku/>
        <w:wordWrap/>
        <w:overflowPunct/>
        <w:topLinePunct w:val="0"/>
        <w:bidi w:val="0"/>
        <w:spacing w:line="560" w:lineRule="exact"/>
        <w:rPr>
          <w:rFonts w:hint="eastAsia" w:ascii="黑体" w:hAnsi="黑体" w:eastAsia="黑体" w:cs="黑体"/>
          <w:b w:val="0"/>
          <w:sz w:val="32"/>
          <w:szCs w:val="32"/>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江门</w:t>
      </w:r>
      <w:r>
        <w:rPr>
          <w:rFonts w:hint="eastAsia" w:ascii="方正小标宋_GBK" w:hAnsi="方正小标宋_GBK" w:eastAsia="方正小标宋_GBK" w:cs="方正小标宋_GBK"/>
          <w:color w:val="000000"/>
          <w:sz w:val="36"/>
          <w:szCs w:val="36"/>
          <w:lang w:eastAsia="zh-CN"/>
        </w:rPr>
        <w:t>高新区（</w:t>
      </w:r>
      <w:r>
        <w:rPr>
          <w:rFonts w:hint="eastAsia" w:ascii="方正小标宋_GBK" w:hAnsi="方正小标宋_GBK" w:eastAsia="方正小标宋_GBK" w:cs="方正小标宋_GBK"/>
          <w:color w:val="000000"/>
          <w:sz w:val="36"/>
          <w:szCs w:val="36"/>
          <w:lang w:val="en-US" w:eastAsia="zh-CN"/>
        </w:rPr>
        <w:t>江海区）</w:t>
      </w:r>
      <w:r>
        <w:rPr>
          <w:rFonts w:hint="eastAsia" w:ascii="方正小标宋_GBK" w:hAnsi="方正小标宋_GBK" w:eastAsia="方正小标宋_GBK" w:cs="方正小标宋_GBK"/>
          <w:color w:val="000000"/>
          <w:sz w:val="36"/>
          <w:szCs w:val="36"/>
        </w:rPr>
        <w:t>消防工作“十四五”规划</w:t>
      </w:r>
    </w:p>
    <w:p>
      <w:pPr>
        <w:keepNext w:val="0"/>
        <w:keepLines w:val="0"/>
        <w:pageBreakBefore w:val="0"/>
        <w:kinsoku/>
        <w:wordWrap/>
        <w:overflowPunct/>
        <w:topLinePunct w:val="0"/>
        <w:bidi w:val="0"/>
        <w:spacing w:line="560" w:lineRule="exact"/>
        <w:jc w:val="left"/>
        <w:outlineLvl w:val="0"/>
        <w:rPr>
          <w:rFonts w:hint="eastAsia" w:ascii="仿宋" w:hAnsi="仿宋" w:eastAsia="仿宋" w:cs="仿宋"/>
          <w:sz w:val="32"/>
          <w:szCs w:val="32"/>
        </w:rPr>
      </w:pPr>
    </w:p>
    <w:p>
      <w:pPr>
        <w:keepNext w:val="0"/>
        <w:keepLines w:val="0"/>
        <w:pageBreakBefore w:val="0"/>
        <w:widowControl/>
        <w:suppressLineNumbers w:val="0"/>
        <w:kinsoku/>
        <w:wordWrap/>
        <w:overflowPunct/>
        <w:topLinePunct w:val="0"/>
        <w:bidi w:val="0"/>
        <w:spacing w:line="560" w:lineRule="exact"/>
        <w:ind w:firstLine="640" w:firstLineChars="2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为认真贯彻落实中央、省、市关于应急管理和消防救援工作重大决策部署，加快推进</w:t>
      </w:r>
      <w:r>
        <w:rPr>
          <w:rFonts w:hint="eastAsia" w:ascii="方正仿宋_GBK" w:hAnsi="方正仿宋_GBK" w:eastAsia="方正仿宋_GBK" w:cs="方正仿宋_GBK"/>
          <w:sz w:val="32"/>
          <w:szCs w:val="32"/>
          <w:lang w:eastAsia="zh-CN"/>
        </w:rPr>
        <w:t>江海</w:t>
      </w:r>
      <w:r>
        <w:rPr>
          <w:rFonts w:hint="eastAsia" w:ascii="方正仿宋_GBK" w:hAnsi="方正仿宋_GBK" w:eastAsia="方正仿宋_GBK" w:cs="方正仿宋_GBK"/>
          <w:sz w:val="32"/>
          <w:szCs w:val="32"/>
        </w:rPr>
        <w:t>区消防治理体系和治理能力现代化建设，切实提高防范化解重大消防安全风险、应对处置各类灾害事故能力，根据《</w:t>
      </w:r>
      <w:r>
        <w:rPr>
          <w:rFonts w:hint="eastAsia" w:ascii="方正仿宋_GBK" w:hAnsi="方正仿宋_GBK" w:eastAsia="方正仿宋_GBK" w:cs="方正仿宋_GBK"/>
          <w:sz w:val="32"/>
          <w:szCs w:val="32"/>
          <w:lang w:val="en-US" w:eastAsia="zh-CN"/>
        </w:rPr>
        <w:t>中华</w:t>
      </w:r>
      <w:r>
        <w:rPr>
          <w:rFonts w:hint="eastAsia" w:ascii="方正仿宋_GBK" w:hAnsi="方正仿宋_GBK" w:eastAsia="方正仿宋_GBK" w:cs="方正仿宋_GBK"/>
          <w:sz w:val="32"/>
          <w:szCs w:val="32"/>
        </w:rPr>
        <w:t>人民共和国消防法》《消防安全责任制实施办法》《广东省实施&lt;中华人民共和国消防法&gt;办法》《粤港澳大湾区（广东）消防救援规划（2020年-2035年）》《广东省消防“十四五”规划》</w:t>
      </w:r>
      <w:r>
        <w:rPr>
          <w:rFonts w:hint="eastAsia" w:ascii="方正仿宋_GBK" w:hAnsi="方正仿宋_GBK" w:eastAsia="方正仿宋_GBK" w:cs="方正仿宋_GBK"/>
          <w:sz w:val="32"/>
          <w:szCs w:val="32"/>
          <w:lang w:eastAsia="zh-CN"/>
        </w:rPr>
        <w:t>《</w:t>
      </w:r>
      <w:bookmarkStart w:id="0" w:name="_Toc27582"/>
      <w:bookmarkStart w:id="1" w:name="_Toc1273"/>
      <w:bookmarkStart w:id="2" w:name="_Toc11772"/>
      <w:bookmarkStart w:id="3" w:name="_Toc75795142"/>
      <w:bookmarkStart w:id="4" w:name="_Toc75793888"/>
      <w:bookmarkStart w:id="5" w:name="_Toc81918591"/>
      <w:bookmarkStart w:id="6" w:name="_Toc75795212"/>
      <w:bookmarkStart w:id="7" w:name="_Toc11833"/>
      <w:bookmarkStart w:id="8" w:name="_Toc29229"/>
      <w:bookmarkStart w:id="9" w:name="_Toc75793834"/>
      <w:bookmarkStart w:id="10" w:name="_Toc22742"/>
      <w:bookmarkStart w:id="11" w:name="_Toc7156"/>
      <w:bookmarkStart w:id="12" w:name="_Toc22818"/>
      <w:bookmarkStart w:id="13" w:name="_Toc4154"/>
      <w:bookmarkStart w:id="14" w:name="_Toc24268"/>
      <w:bookmarkStart w:id="15" w:name="_Toc1883"/>
      <w:r>
        <w:rPr>
          <w:rFonts w:hint="eastAsia" w:ascii="方正仿宋_GBK" w:hAnsi="方正仿宋_GBK" w:eastAsia="方正仿宋_GBK" w:cs="方正仿宋_GBK"/>
          <w:sz w:val="32"/>
          <w:szCs w:val="32"/>
        </w:rPr>
        <w:t>江门市消防工作“十四五”规划</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《江门高新区（江海区）“十四五”规划编制工作方案》</w:t>
      </w:r>
      <w:r>
        <w:rPr>
          <w:rFonts w:hint="eastAsia" w:ascii="方正仿宋_GBK" w:hAnsi="方正仿宋_GBK" w:eastAsia="方正仿宋_GBK" w:cs="方正仿宋_GBK"/>
          <w:sz w:val="32"/>
          <w:szCs w:val="32"/>
        </w:rPr>
        <w:t>等法律法规和政策文件，结合《江门高新区（江海区）国民经济和社会发展第十四个五年规划和2035年远景目标纲要》《江门市国土空间总体规划（2020-2035年）》，制定《江门</w:t>
      </w:r>
      <w:r>
        <w:rPr>
          <w:rFonts w:hint="eastAsia" w:ascii="方正仿宋_GBK" w:hAnsi="方正仿宋_GBK" w:eastAsia="方正仿宋_GBK" w:cs="方正仿宋_GBK"/>
          <w:sz w:val="32"/>
          <w:szCs w:val="32"/>
          <w:lang w:eastAsia="zh-CN"/>
        </w:rPr>
        <w:t>高新区（</w:t>
      </w:r>
      <w:r>
        <w:rPr>
          <w:rFonts w:hint="eastAsia" w:ascii="方正仿宋_GBK" w:hAnsi="方正仿宋_GBK" w:eastAsia="方正仿宋_GBK" w:cs="方正仿宋_GBK"/>
          <w:sz w:val="32"/>
          <w:szCs w:val="32"/>
          <w:lang w:val="en-US" w:eastAsia="zh-CN"/>
        </w:rPr>
        <w:t>江海区）</w:t>
      </w:r>
      <w:r>
        <w:rPr>
          <w:rFonts w:hint="eastAsia" w:ascii="方正仿宋_GBK" w:hAnsi="方正仿宋_GBK" w:eastAsia="方正仿宋_GBK" w:cs="方正仿宋_GBK"/>
          <w:sz w:val="32"/>
          <w:szCs w:val="32"/>
        </w:rPr>
        <w:t>消防工作“十四五”规划》，规划期为2021-2025年。</w:t>
      </w: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黑体" w:hAnsi="黑体" w:eastAsia="黑体" w:cs="黑体"/>
          <w:b w:val="0"/>
          <w:sz w:val="32"/>
          <w:szCs w:val="32"/>
          <w:lang w:eastAsia="zh-CN"/>
        </w:rPr>
      </w:pPr>
      <w:bookmarkStart w:id="16" w:name="_Toc42270655"/>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方正小标宋_GBK" w:hAnsi="方正小标宋_GBK" w:eastAsia="方正小标宋_GBK" w:cs="方正小标宋_GBK"/>
          <w:b w:val="0"/>
          <w:sz w:val="32"/>
          <w:szCs w:val="32"/>
          <w:lang w:val="en-US" w:eastAsia="zh-CN"/>
        </w:rPr>
      </w:pPr>
      <w:r>
        <w:rPr>
          <w:rFonts w:hint="eastAsia" w:ascii="方正小标宋_GBK" w:hAnsi="方正小标宋_GBK" w:eastAsia="方正小标宋_GBK" w:cs="方正小标宋_GBK"/>
          <w:b w:val="0"/>
          <w:sz w:val="32"/>
          <w:szCs w:val="32"/>
          <w:lang w:eastAsia="zh-CN"/>
        </w:rPr>
        <w:t>第一章</w:t>
      </w:r>
      <w:r>
        <w:rPr>
          <w:rFonts w:hint="eastAsia" w:ascii="方正小标宋_GBK" w:hAnsi="方正小标宋_GBK" w:eastAsia="方正小标宋_GBK" w:cs="方正小标宋_GBK"/>
          <w:b w:val="0"/>
          <w:sz w:val="32"/>
          <w:szCs w:val="32"/>
          <w:lang w:val="en-US" w:eastAsia="zh-CN"/>
        </w:rPr>
        <w:t xml:space="preserve"> 形势分析</w:t>
      </w:r>
    </w:p>
    <w:p>
      <w:pPr>
        <w:keepNext w:val="0"/>
        <w:keepLines w:val="0"/>
        <w:pageBreakBefore w:val="0"/>
        <w:widowControl/>
        <w:suppressLineNumbers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三五”时期，我区消防工作取得了长足发展，社会抵御火灾能力和综合应急救援能力明显增强，为服务经济发展、保障社会和谐稳定发挥了重要作用。“十四五”时期，在推进国家治理体系和治理能力现代化、省委省政府“一核一带一区”区域发展新格局和江门市加快打造成为珠江西岸新增长极和沿海经济带上的江海门户新背景下，我区消防工作迎来了新的机遇和挑战。</w:t>
      </w:r>
    </w:p>
    <w:p>
      <w:pPr>
        <w:pStyle w:val="2"/>
        <w:rPr>
          <w:rFonts w:hint="eastAsia"/>
          <w:lang w:eastAsia="zh-CN"/>
        </w:rPr>
      </w:pP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方正黑体_GBK" w:hAnsi="方正黑体_GBK" w:eastAsia="方正黑体_GBK" w:cs="方正黑体_GBK"/>
          <w:b w:val="0"/>
          <w:sz w:val="32"/>
          <w:szCs w:val="32"/>
          <w:lang w:val="en-US" w:eastAsia="zh-CN"/>
        </w:rPr>
      </w:pPr>
      <w:r>
        <w:rPr>
          <w:rFonts w:hint="eastAsia" w:ascii="方正黑体_GBK" w:hAnsi="方正黑体_GBK" w:eastAsia="方正黑体_GBK" w:cs="方正黑体_GBK"/>
          <w:b w:val="0"/>
          <w:sz w:val="32"/>
          <w:szCs w:val="32"/>
          <w:lang w:val="en-US" w:eastAsia="zh-CN"/>
        </w:rPr>
        <w:t>第一节 “十三五”时期消防工作成效</w:t>
      </w:r>
      <w:bookmarkEnd w:id="16"/>
    </w:p>
    <w:p>
      <w:pPr>
        <w:keepNext w:val="0"/>
        <w:keepLines w:val="0"/>
        <w:pageBreakBefore w:val="0"/>
        <w:widowControl/>
        <w:suppressLineNumbers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三五”时期，全区各级党委、政府高度重视消防工作，深入贯彻《中华人民共和国消防法》《中华人民共和国安全生产法》和党中央、国务院，省委、省政府、市委、市政府关于安全生产及消防安全的重要决策部署，不断健全消防安全责任制，提高公共消防安全水平，预防火灾和减少火灾危害，保障人民群众生命财产安全。期间，全区共发生火灾458起，死亡0人，受伤1人，直接财产损失352万元，火灾形势相对平稳，为全区经济社会又好又快发展提供了可靠保障。</w:t>
      </w:r>
    </w:p>
    <w:p>
      <w:pPr>
        <w:keepNext w:val="0"/>
        <w:keepLines w:val="0"/>
        <w:pageBreakBefore w:val="0"/>
        <w:widowControl/>
        <w:numPr>
          <w:ilvl w:val="0"/>
          <w:numId w:val="0"/>
        </w:numPr>
        <w:suppressLineNumbers w:val="0"/>
        <w:kinsoku/>
        <w:wordWrap/>
        <w:overflowPunct/>
        <w:topLinePunct w:val="0"/>
        <w:bidi w:val="0"/>
        <w:spacing w:line="560" w:lineRule="exact"/>
        <w:ind w:firstLine="640" w:firstLineChars="200"/>
        <w:jc w:val="both"/>
        <w:rPr>
          <w:rFonts w:hint="eastAsia" w:ascii="方正楷体_GBK" w:hAnsi="方正楷体_GBK" w:eastAsia="方正楷体_GBK" w:cs="方正楷体_GBK"/>
          <w:sz w:val="32"/>
          <w:szCs w:val="32"/>
          <w:lang w:val="en-US" w:eastAsia="zh-CN"/>
        </w:rPr>
      </w:pPr>
      <w:bookmarkStart w:id="17" w:name="_Toc42270656"/>
      <w:r>
        <w:rPr>
          <w:rFonts w:hint="eastAsia" w:ascii="方正楷体_GBK" w:hAnsi="方正楷体_GBK" w:eastAsia="方正楷体_GBK" w:cs="方正楷体_GBK"/>
          <w:sz w:val="32"/>
          <w:szCs w:val="32"/>
          <w:lang w:val="en-US" w:eastAsia="zh-CN"/>
        </w:rPr>
        <w:t>（一）各级消防安全责任进一步落实</w:t>
      </w:r>
      <w:bookmarkEnd w:id="17"/>
    </w:p>
    <w:p>
      <w:pPr>
        <w:keepNext w:val="0"/>
        <w:keepLines w:val="0"/>
        <w:pageBreakBefore w:val="0"/>
        <w:widowControl/>
        <w:numPr>
          <w:ilvl w:val="0"/>
          <w:numId w:val="0"/>
        </w:numPr>
        <w:suppressLineNumbers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三五”期间，我区各级党委、政府高度重视消防工作，将消防工作作为重点任务、民生工程来抓。出台《江门市江海区消防安全委员会成员单位工作职责》，形成政府统一领导、部门依法监管、单位全面负责、公民积极参与的工作机制，推动“党政同责、一岗双责、齐抓共管、失职追责”的责任体系逐步完善；消防安全委员会实现实体化运作，每季度召开会议，研究部署消防工作。各级人民政府逐级逐年签订消防工作责任状，消防工作纳入区党政领导班子、平安建设、安全生产三大考核指标，纳入政务督查内容。推广“消防+X”联合执法机制，进一步实现部门工作和消防工作一体化工作局面，顺利推进消防安全网格化管理。</w:t>
      </w:r>
    </w:p>
    <w:p>
      <w:pPr>
        <w:pStyle w:val="6"/>
        <w:keepNext w:val="0"/>
        <w:keepLines w:val="0"/>
        <w:pageBreakBefore w:val="0"/>
        <w:widowControl w:val="0"/>
        <w:numPr>
          <w:ilvl w:val="0"/>
          <w:numId w:val="0"/>
        </w:numPr>
        <w:kinsoku/>
        <w:wordWrap/>
        <w:overflowPunct/>
        <w:topLinePunct w:val="0"/>
        <w:autoSpaceDE/>
        <w:autoSpaceDN/>
        <w:bidi w:val="0"/>
        <w:spacing w:before="0" w:after="0" w:line="560" w:lineRule="exact"/>
        <w:ind w:firstLine="640" w:firstLineChars="200"/>
        <w:jc w:val="both"/>
        <w:textAlignment w:val="auto"/>
        <w:rPr>
          <w:rFonts w:hint="eastAsia" w:ascii="方正楷体_GBK" w:hAnsi="方正楷体_GBK" w:eastAsia="方正楷体_GBK" w:cs="方正楷体_GBK"/>
          <w:b w:val="0"/>
          <w:bCs w:val="0"/>
          <w:kern w:val="2"/>
          <w:sz w:val="32"/>
          <w:szCs w:val="32"/>
          <w:lang w:val="en-US" w:eastAsia="zh-CN" w:bidi="ar-SA"/>
        </w:rPr>
      </w:pPr>
      <w:bookmarkStart w:id="18" w:name="_Toc42270657"/>
      <w:r>
        <w:rPr>
          <w:rFonts w:hint="eastAsia" w:ascii="方正楷体_GBK" w:hAnsi="方正楷体_GBK" w:eastAsia="方正楷体_GBK" w:cs="方正楷体_GBK"/>
          <w:b w:val="0"/>
          <w:bCs w:val="0"/>
          <w:kern w:val="2"/>
          <w:sz w:val="32"/>
          <w:szCs w:val="32"/>
          <w:lang w:val="en-US" w:eastAsia="zh-CN" w:bidi="ar-SA"/>
        </w:rPr>
        <w:t>（二）社会消防安全环境进一步优化</w:t>
      </w:r>
      <w:bookmarkEnd w:id="18"/>
      <w:bookmarkStart w:id="19" w:name="_Toc42270658"/>
    </w:p>
    <w:p>
      <w:pPr>
        <w:pStyle w:val="6"/>
        <w:keepNext w:val="0"/>
        <w:keepLines w:val="0"/>
        <w:pageBreakBefore w:val="0"/>
        <w:widowControl w:val="0"/>
        <w:numPr>
          <w:ilvl w:val="0"/>
          <w:numId w:val="0"/>
        </w:numPr>
        <w:kinsoku/>
        <w:wordWrap/>
        <w:overflowPunct/>
        <w:topLinePunct w:val="0"/>
        <w:autoSpaceDE/>
        <w:autoSpaceDN/>
        <w:bidi w:val="0"/>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十三五”期间，我区集中开展多项消防安全隐患排查整治，每年定期开展冬春和夏季火灾防控工作，重点开展了电动自行车、高层住宅、“多合一”、大型商业综合体等20余项消防安全治理；政府挂牌整治火灾隐患重点地区5个，挂牌督办重大火灾隐患单位10家；检查单位9300家，发现和督促整改隐患8256处，下发责令改正通知书3446份，临时查封113家，三停83家，罚款189.78万元，拘留23人。</w:t>
      </w:r>
    </w:p>
    <w:p>
      <w:pPr>
        <w:pStyle w:val="6"/>
        <w:keepNext w:val="0"/>
        <w:keepLines w:val="0"/>
        <w:pageBreakBefore w:val="0"/>
        <w:widowControl w:val="0"/>
        <w:numPr>
          <w:ilvl w:val="0"/>
          <w:numId w:val="0"/>
        </w:numPr>
        <w:kinsoku/>
        <w:wordWrap/>
        <w:overflowPunct/>
        <w:topLinePunct w:val="0"/>
        <w:autoSpaceDE/>
        <w:autoSpaceDN/>
        <w:bidi w:val="0"/>
        <w:spacing w:before="0" w:after="0" w:line="560" w:lineRule="exact"/>
        <w:ind w:firstLine="640" w:firstLineChars="200"/>
        <w:jc w:val="both"/>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（三）消防宣传格局进一步完善</w:t>
      </w:r>
    </w:p>
    <w:p>
      <w:pPr>
        <w:pStyle w:val="6"/>
        <w:keepNext w:val="0"/>
        <w:keepLines w:val="0"/>
        <w:pageBreakBefore w:val="0"/>
        <w:widowControl w:val="0"/>
        <w:numPr>
          <w:ilvl w:val="0"/>
          <w:numId w:val="0"/>
        </w:numPr>
        <w:kinsoku/>
        <w:wordWrap/>
        <w:overflowPunct/>
        <w:topLinePunct w:val="0"/>
        <w:autoSpaceDE/>
        <w:autoSpaceDN/>
        <w:bidi w:val="0"/>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十三五”期间，我区每年定期举办“119”消防宣传月、“消防知识进军训”、“开学第一课”等活动。推动消防安全纳入地方党政领导干部培训内容，提高党政领导干部履行消防工作能力。采取集中约谈、专门培训等方式，强化社会单位消防安全责任人、管理人培训。大力开展消防宣传“七进”、“青春你我他、消防进万家”、以及“敲门行动”等消防公益行动。建立消防宣传示范街3条、主题公园1个、教育基地3个；通过电视台、网络等平台开设宣传阵地3个，为村（社区）委选聘“消防宣传大使”200名。畅通“96119”、来信来访等火灾隐患举报投诉渠道，完善查处机制，积极构建全民消防宣传格局。</w:t>
      </w:r>
    </w:p>
    <w:p>
      <w:pPr>
        <w:pStyle w:val="6"/>
        <w:keepNext w:val="0"/>
        <w:keepLines w:val="0"/>
        <w:pageBreakBefore w:val="0"/>
        <w:widowControl w:val="0"/>
        <w:numPr>
          <w:ilvl w:val="0"/>
          <w:numId w:val="0"/>
        </w:numPr>
        <w:kinsoku/>
        <w:wordWrap/>
        <w:overflowPunct/>
        <w:topLinePunct w:val="0"/>
        <w:autoSpaceDE/>
        <w:autoSpaceDN/>
        <w:bidi w:val="0"/>
        <w:spacing w:before="0" w:after="0" w:line="560" w:lineRule="exact"/>
        <w:ind w:firstLine="640" w:firstLineChars="200"/>
        <w:jc w:val="both"/>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（四）消防安全基础建设进一步夯实</w:t>
      </w:r>
      <w:bookmarkEnd w:id="19"/>
      <w:bookmarkStart w:id="20" w:name="_Toc42270659"/>
    </w:p>
    <w:p>
      <w:pPr>
        <w:pStyle w:val="6"/>
        <w:keepNext w:val="0"/>
        <w:keepLines w:val="0"/>
        <w:pageBreakBefore w:val="0"/>
        <w:widowControl w:val="0"/>
        <w:numPr>
          <w:ilvl w:val="0"/>
          <w:numId w:val="0"/>
        </w:numPr>
        <w:kinsoku/>
        <w:wordWrap/>
        <w:overflowPunct/>
        <w:topLinePunct w:val="0"/>
        <w:autoSpaceDE/>
        <w:autoSpaceDN/>
        <w:bidi w:val="0"/>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十三五”期间，全区不断强化消防基础建设，按照《江门市消防工作责任清单（2018-2020）》《关于进一步加强全市专职消防队伍建设的意见》以及《江门市消防救援装备建设三年行动计划》等文件要求，投入3063万元启动礼乐一级城市消防救援站建设，3个街道建成政府专职消防队。将消防网格纳入村（社区）已有综合网格一并推进，推动村（社区）和重点单位建成微型消防站123个，村（社区）委购置消防三轮摩托车及消防器材一批，推进全区消防安全“网格化”管理工作。在全区范围内建立完善“互联网+监管”，推广安装联网式火灾报警器2500个，推动设有自动消防设施的重点单位、大型城市综合体、文物保护单位等61家社会单位接入社会消防安全管理平台物联网系统，运用物联网和大数据技术，全时段、可视化监测消防安全状况，消防安全基础建设得到有效夯实</w:t>
      </w:r>
    </w:p>
    <w:p>
      <w:pPr>
        <w:pStyle w:val="6"/>
        <w:keepNext w:val="0"/>
        <w:keepLines w:val="0"/>
        <w:pageBreakBefore w:val="0"/>
        <w:widowControl w:val="0"/>
        <w:numPr>
          <w:ilvl w:val="0"/>
          <w:numId w:val="0"/>
        </w:numPr>
        <w:kinsoku/>
        <w:wordWrap/>
        <w:overflowPunct/>
        <w:topLinePunct w:val="0"/>
        <w:autoSpaceDE/>
        <w:autoSpaceDN/>
        <w:bidi w:val="0"/>
        <w:spacing w:before="0" w:after="0" w:line="560" w:lineRule="exact"/>
        <w:ind w:firstLine="640" w:firstLineChars="200"/>
        <w:jc w:val="both"/>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（五）消防灭火救援能力进一步提升</w:t>
      </w:r>
      <w:bookmarkEnd w:id="20"/>
      <w:r>
        <w:rPr>
          <w:rFonts w:hint="eastAsia" w:ascii="方正楷体_GBK" w:hAnsi="方正楷体_GBK" w:eastAsia="方正楷体_GBK" w:cs="方正楷体_GBK"/>
          <w:b w:val="0"/>
          <w:bCs w:val="0"/>
          <w:kern w:val="2"/>
          <w:sz w:val="32"/>
          <w:szCs w:val="32"/>
          <w:lang w:val="en-US" w:eastAsia="zh-CN" w:bidi="ar-SA"/>
        </w:rPr>
        <w:t>。</w:t>
      </w:r>
    </w:p>
    <w:p>
      <w:pPr>
        <w:pStyle w:val="6"/>
        <w:keepNext w:val="0"/>
        <w:keepLines w:val="0"/>
        <w:pageBreakBefore w:val="0"/>
        <w:widowControl w:val="0"/>
        <w:numPr>
          <w:ilvl w:val="0"/>
          <w:numId w:val="0"/>
        </w:numPr>
        <w:kinsoku/>
        <w:wordWrap/>
        <w:overflowPunct/>
        <w:topLinePunct w:val="0"/>
        <w:autoSpaceDE/>
        <w:autoSpaceDN/>
        <w:bidi w:val="0"/>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十三五”期间，江海消防站共接警出动2523起，出动车辆5268辆次，出动警力28520人次，抢救被困人126人次，疏散被困人员900人次，抢救财产价值4453万元。成功处置“2.9”礼乐木料场火灾、“2.24”南山隧道坍塌救援、“5.12”诺华电子厂化工火灾、“6.10”东宁工业区火灾、“11.06”卓越仪表公司火灾、“11.12”外海世纪新像住宅火灾、佛山高明森林火灾增援、抗击台风“艾云尼”、“山竹”等灭火和抢险救援急难险重任务；圆满完成十九大安保、“观音开库”、重阳登高、“70周年国庆”等安保任务。制定各类灭火救援预案82份，参与省级跨区域演练15次，参与市级演练26次，区级演练63次，开展辖区“六熟悉”演练503次。培养出“优秀人民警察”、“中国好人”、“广东省青年五四奖章”、“江门好人”等一大批先进典型；3人被评为优秀警官（总队优秀警官2人，支队优秀警官1人），5人被记三等功（总队三等功1人，支队三等功4人），荣获先进大队5次，先进中队3次，优秀士官3人，优秀士兵6人，优秀基层干部3人，先进个人7人，嘉奖32人,优秀共产党员1人，最美退役军人1人。</w:t>
      </w:r>
    </w:p>
    <w:p>
      <w:pPr>
        <w:pStyle w:val="5"/>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sz w:val="32"/>
          <w:szCs w:val="32"/>
          <w:lang w:eastAsia="zh-CN"/>
        </w:rPr>
      </w:pPr>
      <w:bookmarkStart w:id="21" w:name="_Toc42270661"/>
    </w:p>
    <w:p>
      <w:pPr>
        <w:pStyle w:val="5"/>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黑体_GBK" w:hAnsi="方正黑体_GBK" w:eastAsia="方正黑体_GBK" w:cs="方正黑体_GBK"/>
          <w:b w:val="0"/>
          <w:sz w:val="32"/>
          <w:szCs w:val="32"/>
          <w:lang w:val="en-US" w:eastAsia="zh-CN"/>
        </w:rPr>
      </w:pPr>
      <w:r>
        <w:rPr>
          <w:rFonts w:hint="eastAsia" w:ascii="方正黑体_GBK" w:hAnsi="方正黑体_GBK" w:eastAsia="方正黑体_GBK" w:cs="方正黑体_GBK"/>
          <w:b w:val="0"/>
          <w:sz w:val="32"/>
          <w:szCs w:val="32"/>
          <w:lang w:val="en-US" w:eastAsia="zh-CN"/>
        </w:rPr>
        <w:t>第二节</w:t>
      </w:r>
      <w:bookmarkEnd w:id="21"/>
      <w:r>
        <w:rPr>
          <w:rFonts w:hint="eastAsia" w:ascii="方正黑体_GBK" w:hAnsi="方正黑体_GBK" w:eastAsia="方正黑体_GBK" w:cs="方正黑体_GBK"/>
          <w:b w:val="0"/>
          <w:sz w:val="32"/>
          <w:szCs w:val="32"/>
          <w:lang w:val="en-US" w:eastAsia="zh-CN"/>
        </w:rPr>
        <w:t xml:space="preserve"> “十四五”时期面临的形势</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当前，粤港澳大湾区、深圳中国特色社会主义先行示范区建设加速推进，珠三角国家自主创新示范区建设整体推进，“一核一带一区”区域发展格局加快构建，将对江海“十四五”期间应对新挑战、创造新优势、实现新发展带来重大机遇。消防工作也随着工业化高速发展、现代化经济体系加快构建、各类事故灾害风险隐患叠加的影响，面临着新的机遇和挑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color w:val="000000"/>
          <w:kern w:val="0"/>
          <w:sz w:val="32"/>
          <w:szCs w:val="32"/>
          <w:lang w:val="en-US" w:eastAsia="zh-CN" w:bidi="ar"/>
        </w:rPr>
        <w:t>（一）面临的机遇</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我区重大战略定位为消防事业发展提供了前所未有的政策机遇。“十四五”时期，我区作为“五维一体”发展格局的核心区，持续优化城市品质，加快高端产业资源和创新要素集聚，人才资源、财政实力以及科技信息化等优势，为消防事业发展提供了前所未有的政策机遇。</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 w:hAnsi="仿宋" w:eastAsia="仿宋" w:cs="仿宋"/>
          <w:sz w:val="32"/>
          <w:szCs w:val="32"/>
          <w:lang w:val="en-US" w:eastAsia="zh-CN"/>
        </w:rPr>
      </w:pPr>
      <w:r>
        <w:rPr>
          <w:rFonts w:hint="eastAsia" w:ascii="方正仿宋_GBK" w:hAnsi="方正仿宋_GBK" w:eastAsia="方正仿宋_GBK" w:cs="方正仿宋_GBK"/>
          <w:b w:val="0"/>
          <w:bCs w:val="0"/>
          <w:kern w:val="2"/>
          <w:sz w:val="32"/>
          <w:szCs w:val="32"/>
          <w:lang w:val="en-US" w:eastAsia="zh-CN" w:bidi="ar-SA"/>
        </w:rPr>
        <w:t>2.经济社会发展新格局带来“全灾种、大应急”综合救援能力变革新变化。伴随我区深入推进产业链调整布局，加快形成以先进制造业为主导的现代化经济体系，现代产业发展将更加注重“质”和“量”的同步提高，有利于加强火灾防范能力、公共消防设施、消防救援力量、应急救援装备、智慧消防等建设。面对更高水平的现代化经济体系建设要求，转制后消防救援队伍职责大大拓展，全区火灾防控和应急救援任务愈加复杂艰巨，对综合应急救援工作提出了更高的要求。</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人民群众日益增长的安全需求为消防事业共建共治共享提供更大牵引力。随着经济社会安全发展理念日益深入人心，人民群众对幸福感、获得感、安全感的需求更加迫切，对消防事业基本公共服务的要求越来越高，为推动消防治理体系和能力现代化建设凝聚了共识，为建设人人有责、人人尽责、人人享有的社会治理共同体提供了更大牵引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b w:val="0"/>
          <w:bCs w:val="0"/>
          <w:color w:val="000000"/>
          <w:kern w:val="0"/>
          <w:sz w:val="32"/>
          <w:szCs w:val="32"/>
          <w:lang w:val="en-US" w:eastAsia="zh-CN" w:bidi="ar"/>
        </w:rPr>
      </w:pPr>
      <w:r>
        <w:rPr>
          <w:rFonts w:hint="eastAsia" w:ascii="方正楷体_GBK" w:hAnsi="方正楷体_GBK" w:eastAsia="方正楷体_GBK" w:cs="方正楷体_GBK"/>
          <w:b w:val="0"/>
          <w:bCs w:val="0"/>
          <w:color w:val="000000"/>
          <w:kern w:val="0"/>
          <w:sz w:val="32"/>
          <w:szCs w:val="32"/>
          <w:lang w:val="en-US" w:eastAsia="zh-CN" w:bidi="ar"/>
        </w:rPr>
        <w:t>（二）面临的挑战</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bookmarkStart w:id="22" w:name="_Toc42270667"/>
      <w:r>
        <w:rPr>
          <w:rFonts w:hint="eastAsia" w:ascii="方正仿宋_GBK" w:hAnsi="方正仿宋_GBK" w:eastAsia="方正仿宋_GBK" w:cs="方正仿宋_GBK"/>
          <w:b w:val="0"/>
          <w:bCs w:val="0"/>
          <w:kern w:val="2"/>
          <w:sz w:val="32"/>
          <w:szCs w:val="32"/>
          <w:lang w:val="en-US" w:eastAsia="zh-CN" w:bidi="ar-SA"/>
        </w:rPr>
        <w:t>1.建立新时期消防安全群防群控责任体系带来的新挑战。坚持“政府统一领导、部门依法监管、单位全面负责、公民积极参与”的原则、实行消防安全责任制和建立健全社会化的消防工作网络的总体目标尚未形成。部分街道抓消防工作的主动性不强，对本地区痛点难点问题重视不够、应对不力，消防管理工作“空壳运转”，失控漏管形势严峻；部分行业部门消防监管意识不强，“不懂干”、“不深入”、“不细致”的现象较为突出，重点行业部门联合行动效能需进一步提升；部分社会单位消防安全主体责任落实有待进一步加强，消防安全自我规范、自我管理、自查自纠不到位；群众消防安全意识薄弱，尚未形成全民关注消防、参与消防、群防群控的氛围和环境。</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存量隐患和新增致灾因素带来的新挑战。“十三五”期间，江海区不断优化空间布局、推动产业聚集，导致区域性火灾隐患不断凸显，全区火灾隐患存量大，整治难度大、防控压力大。经济社会高速发展，新技术、新材料、新工艺广泛应用，电子商务、物流业、电动汽车、电动自行车等新材料新业态火灾风险日益突出。违章建筑、“三小”场所、“城中村”等历史遗留隐患存量多，高层、地下、大型综合体、石油化工、老旧小区、家庭生产加工作坊、“三合一”场所、城乡结合部等场所火灾风险突出，各类存量和新增的致灾因素叠加放大，这些都给消防工作带来了前所未有的压力。</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公共消防设施滞后与经济社会发展的需要不平衡、不匹配带来的新挑战。我区城乡发展、地区经济发展不均衡，部门街道消防投入与经济发展不匹配，消防救援站、市政消火栓、消防通信等公共消防设施建设与现实需要仍有差距。突出表现在：一是消防站点布局需进一步优化。城市消防救援站、多种形式消防队伍等公共消防基础设施建设跟不上区域发展速度，仍存在一定的欠账，导致灭火救援行动到场的时间超过了国家标准要求。以中东村为例，该片区出租屋体量大、人口密集，周边安全应急产业园入驻、大型企业聚集，公共消防设施基础薄弱，消防安全隐患突出，按照《城市消防站建设标准》，以消防队从接到出动指令起5min内到达辖区最远点为城市消防救援站布局的原则，安全应急产业园所在的中东片区与现有的高新消防救援站距离6.6公里、到场时间15分钟，灭火救援任务重，存在队站建设缺口。二是消防水源建设仍需进一步加强。市政消火栓建设分布不均，部分区域消火栓布置间距较大，同时消火栓维护、保养及监管责任有待加强。目前我区消防天然水源缺乏统一的规划建设，至今未建设专用的消防取水点。三是人少事多，日益繁重的应急救援任务与编制实力不足的矛盾日益突出。江海区在编国家综合性消防救援队伍为27人，与常住人口配比为0.73人/万人，与全国1.19人/万人的平均水平对比仍有差距，一旦发生大的灾害事故，现有人员力量将难以应对。</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4.消防救援队伍职能使命任务带来的新挑战。随着消防救援队伍职能任务由单一的灭火救援向“全灾种、大应急”方向拓展，各类器材装备配置、执勤训练设施更新、作战遂行保障体系等各项建设需求将逐年加大。各类实战化、模拟化训练设施以及训练机制建设还无法适应“全灾种、大应急”的作战需求。火灾扑救和应急救援通信保障能力难以满足断网、断路、断电等极端复杂恶劣环境下的应急通信保障现实需要，与第一时间“组成网、随人走，不中断、联得上，听得见、看得清，能图传、能分析”的总体要求还有很大差距。火灾扑救和应急救援应急联动机制不够完善，各参战力量因领导体制和隶属关系不同、权利和义务差异等原因，在作战行动中缺乏严密的组织和有力的纪律约束，难以形成战斗合力。消防指战员能力素质与新职能新要求不相适应，街道政府专职消防队建设起点较低，建设质量和保障水平不高，人员流动性大，影响灭火救援战斗力。</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bCs/>
          <w:sz w:val="32"/>
          <w:szCs w:val="32"/>
          <w:lang w:eastAsia="zh-CN"/>
        </w:rPr>
      </w:pPr>
      <w:r>
        <w:rPr>
          <w:rFonts w:hint="eastAsia" w:ascii="方正仿宋_GBK" w:hAnsi="方正仿宋_GBK" w:eastAsia="方正仿宋_GBK" w:cs="方正仿宋_GBK"/>
          <w:b w:val="0"/>
          <w:bCs w:val="0"/>
          <w:kern w:val="2"/>
          <w:sz w:val="32"/>
          <w:szCs w:val="32"/>
          <w:lang w:val="en-US" w:eastAsia="zh-CN" w:bidi="ar-SA"/>
        </w:rPr>
        <w:t>5.社会消防安全治理的智能化管理带来的新挑战。消防公共服务信息化配置与国家改革要求存在较大差距，信息化水平参差不齐，缺乏整合，在精细化、智能化、现代化等方面还有较大提升空间。一是社会消防风险感知网尚未形成，线上线下基于消防综合大数据的态势感知体系建设滞后，缺乏灵敏真实、快速机动的全覆盖感知网络，信息采集汇聚的准确性和时效性不高；二是各部门涉及消防管理的相关数据共享程度不高、开放程度不够，并且数据采集方式相对落后，信息采集汇聚的准确性和时效性不高，导致社会治理的信息化支撑业务能力不足；三是大数据驱动的消防社会治理新体制、新平台、新应用尚未形成，使消防安全治理的智能化手段匮乏、范围有限，社会消防安全治理的智能化水平不高。</w:t>
      </w:r>
    </w:p>
    <w:p>
      <w:pPr>
        <w:pStyle w:val="2"/>
        <w:ind w:left="0" w:leftChars="0" w:firstLine="0" w:firstLineChars="0"/>
        <w:rPr>
          <w:rFonts w:hint="eastAsia"/>
          <w:lang w:eastAsia="zh-CN"/>
        </w:rPr>
      </w:pP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方正小标宋_GBK" w:hAnsi="方正小标宋_GBK" w:eastAsia="方正小标宋_GBK" w:cs="方正小标宋_GBK"/>
          <w:b w:val="0"/>
          <w:bCs w:val="0"/>
          <w:sz w:val="32"/>
          <w:szCs w:val="32"/>
          <w:lang w:eastAsia="zh-CN"/>
        </w:rPr>
      </w:pPr>
      <w:r>
        <w:rPr>
          <w:rFonts w:hint="eastAsia" w:ascii="方正小标宋_GBK" w:hAnsi="方正小标宋_GBK" w:eastAsia="方正小标宋_GBK" w:cs="方正小标宋_GBK"/>
          <w:b w:val="0"/>
          <w:bCs w:val="0"/>
          <w:sz w:val="32"/>
          <w:szCs w:val="32"/>
          <w:lang w:eastAsia="zh-CN"/>
        </w:rPr>
        <w:t>第二章</w:t>
      </w:r>
      <w:r>
        <w:rPr>
          <w:rFonts w:hint="eastAsia" w:ascii="方正小标宋_GBK" w:hAnsi="方正小标宋_GBK" w:eastAsia="方正小标宋_GBK" w:cs="方正小标宋_GBK"/>
          <w:b w:val="0"/>
          <w:bCs w:val="0"/>
          <w:sz w:val="32"/>
          <w:szCs w:val="32"/>
          <w:lang w:val="en-US" w:eastAsia="zh-CN"/>
        </w:rPr>
        <w:t xml:space="preserve"> </w:t>
      </w:r>
      <w:r>
        <w:rPr>
          <w:rFonts w:hint="eastAsia" w:ascii="方正小标宋_GBK" w:hAnsi="方正小标宋_GBK" w:eastAsia="方正小标宋_GBK" w:cs="方正小标宋_GBK"/>
          <w:b w:val="0"/>
          <w:bCs w:val="0"/>
          <w:sz w:val="32"/>
          <w:szCs w:val="32"/>
          <w:lang w:eastAsia="zh-CN"/>
        </w:rPr>
        <w:t>总体要求</w:t>
      </w:r>
    </w:p>
    <w:p>
      <w:pPr>
        <w:pStyle w:val="5"/>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rPr>
          <w:rFonts w:hint="eastAsia" w:ascii="黑体" w:hAnsi="黑体" w:eastAsia="黑体" w:cs="黑体"/>
          <w:b w:val="0"/>
          <w:bCs w:val="0"/>
          <w:sz w:val="32"/>
          <w:szCs w:val="32"/>
        </w:rPr>
      </w:pP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第一节</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eastAsia="zh-CN"/>
        </w:rPr>
        <w:t>指导思想</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以习近平新时代中国特色社会主义思想为指导，全面贯彻党的二十大精神，深入贯彻落实习近平总书记训词精神以及对广东系列重要讲话和重要指示批示精神，以《中华人民共和国消防法》和城市总体规划、土地利用规划等法律、法规为依据，坚持以人民为中心，践行安全发展理念，遵循消防工作科学规律，持续夯实消防工作基础，着力补齐消防工作短板，全力破解消防事业发展难题，努力创建全区防范化解重大火灾风险、应对处置各类灾害事故综合应急救援中坚队伍，加快推进</w:t>
      </w:r>
      <w:bookmarkStart w:id="23" w:name="_Hlk42078466"/>
      <w:r>
        <w:rPr>
          <w:rFonts w:hint="eastAsia" w:ascii="方正仿宋_GBK" w:hAnsi="方正仿宋_GBK" w:eastAsia="方正仿宋_GBK" w:cs="方正仿宋_GBK"/>
          <w:b w:val="0"/>
          <w:bCs w:val="0"/>
          <w:kern w:val="2"/>
          <w:sz w:val="32"/>
          <w:szCs w:val="32"/>
          <w:lang w:val="en-US" w:eastAsia="zh-CN" w:bidi="ar-SA"/>
        </w:rPr>
        <w:t>消防安全治理体系和治理能力现代化</w:t>
      </w:r>
      <w:bookmarkEnd w:id="23"/>
      <w:r>
        <w:rPr>
          <w:rFonts w:hint="eastAsia" w:ascii="方正仿宋_GBK" w:hAnsi="方正仿宋_GBK" w:eastAsia="方正仿宋_GBK" w:cs="方正仿宋_GBK"/>
          <w:b w:val="0"/>
          <w:bCs w:val="0"/>
          <w:kern w:val="2"/>
          <w:sz w:val="32"/>
          <w:szCs w:val="32"/>
          <w:lang w:val="en-US" w:eastAsia="zh-CN" w:bidi="ar-SA"/>
        </w:rPr>
        <w:t>，增强全社会火灾防控能力，有效维护人民群众生命财产安全和社会稳定，为经济社会高质量发展提供安全保障。</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bCs/>
          <w:sz w:val="32"/>
          <w:szCs w:val="32"/>
          <w:lang w:eastAsia="zh-CN"/>
        </w:rPr>
      </w:pP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第二节 基本原则</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黑体" w:hAnsi="黑体" w:eastAsia="黑体" w:cs="黑体"/>
          <w:b/>
          <w:bCs/>
          <w:sz w:val="32"/>
          <w:szCs w:val="32"/>
        </w:rPr>
      </w:pPr>
      <w:r>
        <w:rPr>
          <w:rFonts w:hint="eastAsia" w:ascii="方正仿宋_GBK" w:hAnsi="方正仿宋_GBK" w:eastAsia="方正仿宋_GBK" w:cs="方正仿宋_GBK"/>
          <w:b w:val="0"/>
          <w:bCs w:val="0"/>
          <w:kern w:val="2"/>
          <w:sz w:val="32"/>
          <w:szCs w:val="32"/>
          <w:lang w:val="en-US" w:eastAsia="zh-CN" w:bidi="ar-SA"/>
        </w:rPr>
        <w:t>坚持“预防为主，防消结合”的消防工作方针，逐步健全完善消防安全体系，全面提高“全灾种、大应急”的综合应急救援能力，深化消防执法改革，统筹推进区、街道消防工作协同发展，自觉把消防工作融入城市发展战略，为我区高速发展提供坚实消防安全保障，为人民美好生活营造良好消防安全环境。</w:t>
      </w: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方正黑体_GBK" w:hAnsi="方正黑体_GBK" w:eastAsia="方正黑体_GBK" w:cs="方正黑体_GBK"/>
          <w:b w:val="0"/>
          <w:bCs w:val="0"/>
          <w:sz w:val="32"/>
          <w:szCs w:val="32"/>
          <w:lang w:val="en-US" w:eastAsia="zh-CN"/>
        </w:rPr>
      </w:pP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第三节 总体目标</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以习近平新时代中国特色社会主义思想和重要训词精神为统领，健全和完善火灾防控、消防救援力量、消防基础设施、综合保障四大体系，实现消防工作与经济社会发展相匹配、相适应。全面推动我区消防事业改革创新发展，到2025年，我区抵御灾害事故的综合实力显著增强，亡人火灾和重大财产损失灾害事故得到有效遏制，火灾形势持续稳定，适应新形势下的“准军事、准现役”、“职业化、专业化”的综合应急救援队伍完成建设，群众对消防安全和灾害事故应急救援满意度进一步提升。</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开创消防安全责任体系新局面。构建“政府统一领导、部门依法监管、单位全面负责、公民积极参与”新格局，提升消防部门与其他政府部门、行业主管部门、基层政府组织之间的协同配合能力，全面形成横向到边、纵向到底的消防工作网络。</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创新消防执法服务体系新模式。深化消防执法“放、管、服”改革，严格规范消防执法行为，建立“双随机一公开”监管、重点监管、信用监管、“互联网+监管”、火灾事故责任调查处理等监管方式，推出更多便民利民举措，提升执法为民服务水平。</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促进火灾风险防控体系新发展。建立消防安全重大风险防范化解长效机制，常态开展消防安全形势分析评估。按照“量力而行、尽力而为，干一件成一件”的要求，确保专项治理工作取得成效，力争不发生较大以上火灾事故。</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推动消防宣传教育体系新跨越。全面落实各级各部门消防宣传责任，健全多样化的宣传工作机构，人民群众消防安全自防自救意识得到全面提升，社会化消防宣传教育深入人心，将消防宣传不断向小企业主，外来务工人员、农村居民等边缘化人群纵深，消防安全氛围日益浓厚。</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现灭火救援力量体系新提升。加强综合性消防救援队伍建设，大力发展多种形式消防队伍，整合各类社会救援力量，完善社会应急联动响应机制。按照“中心站+小型站”建设模式推进城市消防救援站建设，按照“反应灵敏”的工作要求建好街道专职消防队，按照“专常兼备”的工作要求建强城市消防救援站，推进特种灾害专业队伍建设，配齐配强各类车辆器材装备。</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探索灭火救援保障体系新路子。建立高效的应急通信指挥体系，确保“断网、断路、断电”等极端复杂恶劣环境下的应急通信保障能力。经费保障能力持续增强，消防业务经费逐年递增，专项资金满足建设任务需要，整体保障水平明显提升。职业保障体系有效落实，国家综合性消防队伍职业保障措施落地见效，专职消防队伍职业保障体系逐步健全。</w:t>
      </w:r>
      <w:bookmarkStart w:id="24" w:name="_Toc42270671"/>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到2035年，与江海区新发展阶段总定位总目标相适应的现代化消防治理体系逐步建立，全区消防安全形势根本好转。具有江海特色的消防救援力量体系全面构建，各类灾害事故处置应对能力达到更高水平，依法治理、科学救援水平达到新高度。</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江门市江海区“十四五”期间消防工作分类指标包括消防安全形势、综合应急救援能力、公共消防基础设施、火灾防控体系、公众消防素质五类指标：</w:t>
      </w:r>
    </w:p>
    <w:p>
      <w:pPr>
        <w:pStyle w:val="2"/>
        <w:rPr>
          <w:rFonts w:hint="eastAsia"/>
          <w:lang w:val="en-US" w:eastAsia="zh-CN"/>
        </w:rPr>
      </w:pPr>
    </w:p>
    <w:bookmarkEnd w:id="24"/>
    <w:p>
      <w:pPr>
        <w:spacing w:line="580" w:lineRule="exact"/>
        <w:jc w:val="center"/>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江门市</w:t>
      </w:r>
      <w:r>
        <w:rPr>
          <w:rFonts w:hint="eastAsia" w:ascii="方正黑体_GBK" w:hAnsi="方正黑体_GBK" w:eastAsia="方正黑体_GBK" w:cs="方正黑体_GBK"/>
          <w:b w:val="0"/>
          <w:bCs w:val="0"/>
          <w:sz w:val="28"/>
          <w:szCs w:val="28"/>
          <w:lang w:val="en-US" w:eastAsia="zh-CN"/>
        </w:rPr>
        <w:t>江海区</w:t>
      </w:r>
      <w:r>
        <w:rPr>
          <w:rFonts w:hint="eastAsia" w:ascii="方正黑体_GBK" w:hAnsi="方正黑体_GBK" w:eastAsia="方正黑体_GBK" w:cs="方正黑体_GBK"/>
          <w:b w:val="0"/>
          <w:bCs w:val="0"/>
          <w:sz w:val="28"/>
          <w:szCs w:val="28"/>
        </w:rPr>
        <w:t>“十四五”消防工作分类指标表</w:t>
      </w:r>
    </w:p>
    <w:p>
      <w:pPr>
        <w:pStyle w:val="2"/>
      </w:pPr>
    </w:p>
    <w:tbl>
      <w:tblPr>
        <w:tblStyle w:val="18"/>
        <w:tblpPr w:leftFromText="180" w:rightFromText="180" w:vertAnchor="text" w:tblpXSpec="center" w:tblpY="1"/>
        <w:tblOverlap w:val="never"/>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242"/>
        <w:gridCol w:w="5068"/>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noWrap w:val="0"/>
            <w:vAlign w:val="center"/>
          </w:tcPr>
          <w:p>
            <w:pPr>
              <w:spacing w:line="360" w:lineRule="exact"/>
              <w:jc w:val="center"/>
              <w:rPr>
                <w:rFonts w:hint="eastAsia" w:ascii="方正小标宋_GBK" w:hAnsi="方正小标宋_GBK" w:eastAsia="方正小标宋_GBK" w:cs="方正小标宋_GBK"/>
                <w:b w:val="0"/>
                <w:bCs/>
                <w:sz w:val="24"/>
              </w:rPr>
            </w:pPr>
            <w:r>
              <w:rPr>
                <w:rFonts w:hint="eastAsia" w:ascii="方正小标宋_GBK" w:hAnsi="方正小标宋_GBK" w:eastAsia="方正小标宋_GBK" w:cs="方正小标宋_GBK"/>
                <w:b w:val="0"/>
                <w:bCs/>
                <w:sz w:val="24"/>
              </w:rPr>
              <w:t>序号</w:t>
            </w:r>
          </w:p>
        </w:tc>
        <w:tc>
          <w:tcPr>
            <w:tcW w:w="1242" w:type="dxa"/>
            <w:noWrap w:val="0"/>
            <w:vAlign w:val="center"/>
          </w:tcPr>
          <w:p>
            <w:pPr>
              <w:spacing w:line="360" w:lineRule="exact"/>
              <w:jc w:val="center"/>
              <w:rPr>
                <w:rFonts w:hint="eastAsia" w:ascii="方正小标宋_GBK" w:hAnsi="方正小标宋_GBK" w:eastAsia="方正小标宋_GBK" w:cs="方正小标宋_GBK"/>
                <w:b w:val="0"/>
                <w:bCs/>
                <w:sz w:val="24"/>
              </w:rPr>
            </w:pPr>
            <w:r>
              <w:rPr>
                <w:rFonts w:hint="eastAsia" w:ascii="方正小标宋_GBK" w:hAnsi="方正小标宋_GBK" w:eastAsia="方正小标宋_GBK" w:cs="方正小标宋_GBK"/>
                <w:b w:val="0"/>
                <w:bCs/>
                <w:sz w:val="24"/>
              </w:rPr>
              <w:t>指标</w:t>
            </w:r>
          </w:p>
        </w:tc>
        <w:tc>
          <w:tcPr>
            <w:tcW w:w="5068" w:type="dxa"/>
            <w:noWrap w:val="0"/>
            <w:vAlign w:val="center"/>
          </w:tcPr>
          <w:p>
            <w:pPr>
              <w:spacing w:line="360" w:lineRule="exact"/>
              <w:jc w:val="center"/>
              <w:rPr>
                <w:rFonts w:hint="eastAsia" w:ascii="方正小标宋_GBK" w:hAnsi="方正小标宋_GBK" w:eastAsia="方正小标宋_GBK" w:cs="方正小标宋_GBK"/>
                <w:b w:val="0"/>
                <w:bCs/>
                <w:sz w:val="24"/>
              </w:rPr>
            </w:pPr>
            <w:r>
              <w:rPr>
                <w:rFonts w:hint="eastAsia" w:ascii="方正小标宋_GBK" w:hAnsi="方正小标宋_GBK" w:eastAsia="方正小标宋_GBK" w:cs="方正小标宋_GBK"/>
                <w:b w:val="0"/>
                <w:bCs/>
                <w:sz w:val="24"/>
              </w:rPr>
              <w:t>指标要求</w:t>
            </w:r>
          </w:p>
        </w:tc>
        <w:tc>
          <w:tcPr>
            <w:tcW w:w="1460" w:type="dxa"/>
            <w:noWrap w:val="0"/>
            <w:vAlign w:val="center"/>
          </w:tcPr>
          <w:p>
            <w:pPr>
              <w:spacing w:line="360" w:lineRule="exact"/>
              <w:jc w:val="center"/>
              <w:rPr>
                <w:rFonts w:hint="eastAsia" w:ascii="方正小标宋_GBK" w:hAnsi="方正小标宋_GBK" w:eastAsia="方正小标宋_GBK" w:cs="方正小标宋_GBK"/>
                <w:b w:val="0"/>
                <w:bCs/>
                <w:sz w:val="24"/>
              </w:rPr>
            </w:pPr>
            <w:r>
              <w:rPr>
                <w:rFonts w:hint="eastAsia" w:ascii="方正小标宋_GBK" w:hAnsi="方正小标宋_GBK" w:eastAsia="方正小标宋_GBK" w:cs="方正小标宋_GBK"/>
                <w:b w:val="0"/>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31" w:type="dxa"/>
            <w:noWrap w:val="0"/>
            <w:vAlign w:val="center"/>
          </w:tcPr>
          <w:p>
            <w:pPr>
              <w:spacing w:line="360" w:lineRule="exact"/>
              <w:jc w:val="center"/>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1</w:t>
            </w:r>
          </w:p>
        </w:tc>
        <w:tc>
          <w:tcPr>
            <w:tcW w:w="1242" w:type="dxa"/>
            <w:noWrap w:val="0"/>
            <w:vAlign w:val="center"/>
          </w:tcPr>
          <w:p>
            <w:pPr>
              <w:spacing w:line="360" w:lineRule="exact"/>
              <w:jc w:val="center"/>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消防安全形势</w:t>
            </w:r>
          </w:p>
        </w:tc>
        <w:tc>
          <w:tcPr>
            <w:tcW w:w="5068" w:type="dxa"/>
            <w:noWrap w:val="0"/>
            <w:vAlign w:val="center"/>
          </w:tcPr>
          <w:p>
            <w:pPr>
              <w:keepNext w:val="0"/>
              <w:keepLines w:val="0"/>
              <w:widowControl/>
              <w:suppressLineNumbers w:val="0"/>
              <w:ind w:firstLine="480" w:firstLineChars="200"/>
              <w:jc w:val="left"/>
              <w:rPr>
                <w:rFonts w:ascii="仿宋_GB2312" w:hAnsi="仿宋_GB2312" w:eastAsia="仿宋_GB2312" w:cs="仿宋_GB2312"/>
                <w:bCs/>
                <w:sz w:val="24"/>
              </w:rPr>
            </w:pPr>
            <w:r>
              <w:rPr>
                <w:rFonts w:hint="eastAsia" w:ascii="方正仿宋_GBK" w:hAnsi="方正仿宋_GBK" w:eastAsia="方正仿宋_GBK" w:cs="方正仿宋_GBK"/>
                <w:bCs/>
                <w:sz w:val="24"/>
              </w:rPr>
              <w:t>到2023年</w:t>
            </w:r>
            <w:r>
              <w:rPr>
                <w:rFonts w:hint="eastAsia" w:ascii="方正仿宋_GBK" w:hAnsi="方正仿宋_GBK" w:eastAsia="方正仿宋_GBK" w:cs="方正仿宋_GBK"/>
                <w:bCs/>
                <w:sz w:val="24"/>
                <w:lang w:eastAsia="zh-CN"/>
              </w:rPr>
              <w:t>，</w:t>
            </w:r>
            <w:r>
              <w:rPr>
                <w:rFonts w:hint="eastAsia" w:ascii="方正仿宋_GBK" w:hAnsi="方正仿宋_GBK" w:eastAsia="方正仿宋_GBK" w:cs="方正仿宋_GBK"/>
                <w:bCs/>
                <w:sz w:val="24"/>
              </w:rPr>
              <w:t>全</w:t>
            </w:r>
            <w:r>
              <w:rPr>
                <w:rFonts w:hint="eastAsia" w:ascii="方正仿宋_GBK" w:hAnsi="方正仿宋_GBK" w:eastAsia="方正仿宋_GBK" w:cs="方正仿宋_GBK"/>
                <w:bCs/>
                <w:sz w:val="24"/>
                <w:lang w:val="en-US" w:eastAsia="zh-CN"/>
              </w:rPr>
              <w:t>区</w:t>
            </w:r>
            <w:r>
              <w:rPr>
                <w:rFonts w:hint="eastAsia" w:ascii="方正仿宋_GBK" w:hAnsi="方正仿宋_GBK" w:eastAsia="方正仿宋_GBK" w:cs="方正仿宋_GBK"/>
                <w:bCs/>
                <w:sz w:val="24"/>
              </w:rPr>
              <w:t>10万人口火灾年死亡率小于0.17;到2025年,全</w:t>
            </w:r>
            <w:r>
              <w:rPr>
                <w:rFonts w:hint="eastAsia" w:ascii="方正仿宋_GBK" w:hAnsi="方正仿宋_GBK" w:eastAsia="方正仿宋_GBK" w:cs="方正仿宋_GBK"/>
                <w:bCs/>
                <w:sz w:val="24"/>
                <w:lang w:val="en-US" w:eastAsia="zh-CN"/>
              </w:rPr>
              <w:t>区</w:t>
            </w:r>
            <w:r>
              <w:rPr>
                <w:rFonts w:hint="eastAsia" w:ascii="方正仿宋_GBK" w:hAnsi="方正仿宋_GBK" w:eastAsia="方正仿宋_GBK" w:cs="方正仿宋_GBK"/>
                <w:bCs/>
                <w:sz w:val="24"/>
              </w:rPr>
              <w:t>10万人口火灾年死亡率小于0.15。</w:t>
            </w:r>
            <w:r>
              <w:rPr>
                <w:rFonts w:hint="eastAsia" w:ascii="方正仿宋_GBK" w:hAnsi="方正仿宋_GBK" w:eastAsia="方正仿宋_GBK" w:cs="方正仿宋_GBK"/>
                <w:bCs/>
                <w:sz w:val="24"/>
                <w:lang w:val="en-US" w:eastAsia="zh-CN"/>
              </w:rPr>
              <w:t>（具体要求以江门市年度安全生产和消防工作责任书为准）</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31" w:type="dxa"/>
            <w:vMerge w:val="restart"/>
            <w:noWrap w:val="0"/>
            <w:vAlign w:val="center"/>
          </w:tcPr>
          <w:p>
            <w:pPr>
              <w:spacing w:line="360" w:lineRule="exact"/>
              <w:jc w:val="center"/>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2</w:t>
            </w:r>
          </w:p>
        </w:tc>
        <w:tc>
          <w:tcPr>
            <w:tcW w:w="1242" w:type="dxa"/>
            <w:vMerge w:val="restart"/>
            <w:noWrap w:val="0"/>
            <w:vAlign w:val="center"/>
          </w:tcPr>
          <w:p>
            <w:pPr>
              <w:spacing w:line="360" w:lineRule="exact"/>
              <w:jc w:val="center"/>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综合应急救援能力</w:t>
            </w:r>
          </w:p>
        </w:tc>
        <w:tc>
          <w:tcPr>
            <w:tcW w:w="5068" w:type="dxa"/>
            <w:noWrap w:val="0"/>
            <w:vAlign w:val="center"/>
          </w:tcPr>
          <w:p>
            <w:pPr>
              <w:spacing w:line="360" w:lineRule="exact"/>
              <w:ind w:firstLine="480" w:firstLineChars="200"/>
              <w:jc w:val="left"/>
              <w:rPr>
                <w:rFonts w:ascii="仿宋_GB2312" w:hAnsi="仿宋_GB2312" w:eastAsia="仿宋_GB2312" w:cs="仿宋_GB2312"/>
                <w:bCs/>
                <w:sz w:val="24"/>
              </w:rPr>
            </w:pPr>
            <w:r>
              <w:rPr>
                <w:rFonts w:hint="eastAsia" w:ascii="方正仿宋_GBK" w:hAnsi="方正仿宋_GBK" w:eastAsia="方正仿宋_GBK" w:cs="方正仿宋_GBK"/>
                <w:bCs/>
                <w:sz w:val="24"/>
                <w:lang w:val="en-US" w:eastAsia="zh-CN"/>
              </w:rPr>
              <w:t>1.</w:t>
            </w:r>
            <w:r>
              <w:rPr>
                <w:rFonts w:hint="eastAsia" w:ascii="方正仿宋_GBK" w:hAnsi="方正仿宋_GBK" w:eastAsia="方正仿宋_GBK" w:cs="方正仿宋_GBK"/>
                <w:bCs/>
                <w:sz w:val="24"/>
              </w:rPr>
              <w:t>专职消防人员占总人口比例2023年达到0.4‰</w:t>
            </w:r>
            <w:r>
              <w:rPr>
                <w:rFonts w:hint="eastAsia" w:ascii="方正仿宋_GBK" w:hAnsi="方正仿宋_GBK" w:eastAsia="方正仿宋_GBK" w:cs="方正仿宋_GBK"/>
                <w:bCs/>
                <w:sz w:val="24"/>
                <w:lang w:eastAsia="zh-CN"/>
              </w:rPr>
              <w:t>，</w:t>
            </w:r>
            <w:r>
              <w:rPr>
                <w:rFonts w:hint="eastAsia" w:ascii="方正仿宋_GBK" w:hAnsi="方正仿宋_GBK" w:eastAsia="方正仿宋_GBK" w:cs="方正仿宋_GBK"/>
                <w:bCs/>
                <w:sz w:val="24"/>
              </w:rPr>
              <w:t>2025年达到0.45‰。</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31" w:type="dxa"/>
            <w:vMerge w:val="continue"/>
            <w:noWrap w:val="0"/>
            <w:vAlign w:val="center"/>
          </w:tcPr>
          <w:p>
            <w:pPr>
              <w:spacing w:line="360" w:lineRule="exact"/>
              <w:ind w:firstLine="480" w:firstLineChars="200"/>
              <w:jc w:val="center"/>
              <w:rPr>
                <w:rFonts w:ascii="仿宋_GB2312" w:hAnsi="仿宋_GB2312" w:eastAsia="仿宋_GB2312" w:cs="仿宋_GB2312"/>
                <w:bCs/>
                <w:sz w:val="24"/>
              </w:rPr>
            </w:pPr>
          </w:p>
        </w:tc>
        <w:tc>
          <w:tcPr>
            <w:tcW w:w="1242" w:type="dxa"/>
            <w:vMerge w:val="continue"/>
            <w:noWrap w:val="0"/>
            <w:vAlign w:val="center"/>
          </w:tcPr>
          <w:p>
            <w:pPr>
              <w:spacing w:line="360" w:lineRule="exact"/>
              <w:ind w:firstLine="480" w:firstLineChars="200"/>
              <w:jc w:val="center"/>
              <w:rPr>
                <w:rFonts w:ascii="仿宋_GB2312" w:hAnsi="仿宋_GB2312" w:eastAsia="仿宋_GB2312" w:cs="仿宋_GB2312"/>
                <w:bCs/>
                <w:sz w:val="24"/>
              </w:rPr>
            </w:pPr>
          </w:p>
        </w:tc>
        <w:tc>
          <w:tcPr>
            <w:tcW w:w="5068" w:type="dxa"/>
            <w:noWrap w:val="0"/>
            <w:vAlign w:val="center"/>
          </w:tcPr>
          <w:p>
            <w:pPr>
              <w:spacing w:line="360" w:lineRule="exact"/>
              <w:ind w:firstLine="480" w:firstLineChars="200"/>
              <w:jc w:val="left"/>
              <w:rPr>
                <w:rFonts w:ascii="仿宋_GB2312" w:hAnsi="仿宋_GB2312" w:eastAsia="仿宋_GB2312" w:cs="仿宋_GB2312"/>
                <w:bCs/>
                <w:sz w:val="24"/>
              </w:rPr>
            </w:pPr>
            <w:r>
              <w:rPr>
                <w:rFonts w:hint="eastAsia" w:ascii="方正仿宋_GBK" w:hAnsi="方正仿宋_GBK" w:eastAsia="方正仿宋_GBK" w:cs="方正仿宋_GBK"/>
                <w:bCs/>
                <w:sz w:val="24"/>
                <w:lang w:val="en-US" w:eastAsia="zh-CN"/>
              </w:rPr>
              <w:t>2.建齐建强5支灾害事故专业救援队伍。</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931" w:type="dxa"/>
            <w:vMerge w:val="continue"/>
            <w:noWrap w:val="0"/>
            <w:vAlign w:val="center"/>
          </w:tcPr>
          <w:p>
            <w:pPr>
              <w:spacing w:line="360" w:lineRule="exact"/>
              <w:ind w:firstLine="480" w:firstLineChars="200"/>
              <w:jc w:val="center"/>
              <w:rPr>
                <w:rFonts w:ascii="仿宋_GB2312" w:hAnsi="仿宋_GB2312" w:eastAsia="仿宋_GB2312" w:cs="仿宋_GB2312"/>
                <w:bCs/>
                <w:sz w:val="24"/>
              </w:rPr>
            </w:pPr>
          </w:p>
        </w:tc>
        <w:tc>
          <w:tcPr>
            <w:tcW w:w="1242" w:type="dxa"/>
            <w:vMerge w:val="continue"/>
            <w:noWrap w:val="0"/>
            <w:vAlign w:val="center"/>
          </w:tcPr>
          <w:p>
            <w:pPr>
              <w:spacing w:line="360" w:lineRule="exact"/>
              <w:ind w:firstLine="480" w:firstLineChars="200"/>
              <w:jc w:val="center"/>
              <w:rPr>
                <w:rFonts w:ascii="仿宋_GB2312" w:hAnsi="仿宋_GB2312" w:eastAsia="仿宋_GB2312" w:cs="仿宋_GB2312"/>
                <w:bCs/>
                <w:sz w:val="24"/>
              </w:rPr>
            </w:pPr>
          </w:p>
        </w:tc>
        <w:tc>
          <w:tcPr>
            <w:tcW w:w="5068" w:type="dxa"/>
            <w:noWrap w:val="0"/>
            <w:vAlign w:val="center"/>
          </w:tcPr>
          <w:p>
            <w:pPr>
              <w:keepNext w:val="0"/>
              <w:keepLines w:val="0"/>
              <w:widowControl/>
              <w:suppressLineNumbers w:val="0"/>
              <w:ind w:firstLine="480" w:firstLineChars="200"/>
              <w:jc w:val="left"/>
              <w:rPr>
                <w:rFonts w:ascii="仿宋_GB2312" w:hAnsi="仿宋_GB2312" w:eastAsia="仿宋_GB2312" w:cs="仿宋_GB2312"/>
                <w:bCs/>
                <w:sz w:val="24"/>
              </w:rPr>
            </w:pPr>
            <w:r>
              <w:rPr>
                <w:rFonts w:hint="eastAsia" w:ascii="方正仿宋_GBK" w:hAnsi="方正仿宋_GBK" w:eastAsia="方正仿宋_GBK" w:cs="方正仿宋_GBK"/>
                <w:bCs/>
                <w:sz w:val="24"/>
                <w:lang w:val="en-US" w:eastAsia="zh-CN"/>
              </w:rPr>
              <w:t>3.消防站装备配备达标率2023年到95%，2025年到100%。（明细见附表9）</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931" w:type="dxa"/>
            <w:vMerge w:val="continue"/>
            <w:noWrap w:val="0"/>
            <w:vAlign w:val="center"/>
          </w:tcPr>
          <w:p>
            <w:pPr>
              <w:spacing w:line="360" w:lineRule="exact"/>
              <w:ind w:firstLine="480" w:firstLineChars="200"/>
              <w:jc w:val="center"/>
              <w:rPr>
                <w:rFonts w:ascii="仿宋_GB2312" w:hAnsi="仿宋_GB2312" w:eastAsia="仿宋_GB2312" w:cs="仿宋_GB2312"/>
                <w:bCs/>
                <w:sz w:val="24"/>
              </w:rPr>
            </w:pPr>
          </w:p>
        </w:tc>
        <w:tc>
          <w:tcPr>
            <w:tcW w:w="1242" w:type="dxa"/>
            <w:vMerge w:val="continue"/>
            <w:noWrap w:val="0"/>
            <w:vAlign w:val="center"/>
          </w:tcPr>
          <w:p>
            <w:pPr>
              <w:spacing w:line="360" w:lineRule="exact"/>
              <w:ind w:firstLine="480" w:firstLineChars="200"/>
              <w:jc w:val="center"/>
              <w:rPr>
                <w:rFonts w:ascii="仿宋_GB2312" w:hAnsi="仿宋_GB2312" w:eastAsia="仿宋_GB2312" w:cs="仿宋_GB2312"/>
                <w:bCs/>
                <w:sz w:val="24"/>
              </w:rPr>
            </w:pPr>
          </w:p>
        </w:tc>
        <w:tc>
          <w:tcPr>
            <w:tcW w:w="5068" w:type="dxa"/>
            <w:noWrap w:val="0"/>
            <w:vAlign w:val="center"/>
          </w:tcPr>
          <w:p>
            <w:pPr>
              <w:spacing w:line="360" w:lineRule="exact"/>
              <w:ind w:firstLine="480" w:firstLineChars="200"/>
              <w:jc w:val="left"/>
              <w:rPr>
                <w:rFonts w:ascii="仿宋_GB2312" w:hAnsi="仿宋_GB2312" w:eastAsia="仿宋_GB2312" w:cs="仿宋_GB2312"/>
                <w:bCs/>
                <w:sz w:val="24"/>
              </w:rPr>
            </w:pPr>
            <w:r>
              <w:rPr>
                <w:rFonts w:hint="eastAsia" w:ascii="方正仿宋_GBK" w:hAnsi="方正仿宋_GBK" w:eastAsia="方正仿宋_GBK" w:cs="方正仿宋_GBK"/>
                <w:bCs/>
                <w:sz w:val="24"/>
                <w:lang w:val="en-US" w:eastAsia="zh-CN"/>
              </w:rPr>
              <w:t>4.按照“特勤站60人、普通站36-45人”的标准建强城市消防救援站，国家队编制无法满足要求的站应采取“国家队员+专职队员”的混编模式补齐人员缺口。（明细见附表2）</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931" w:type="dxa"/>
            <w:vMerge w:val="restart"/>
            <w:noWrap w:val="0"/>
            <w:vAlign w:val="center"/>
          </w:tcPr>
          <w:p>
            <w:pPr>
              <w:spacing w:line="360" w:lineRule="exact"/>
              <w:jc w:val="center"/>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3</w:t>
            </w:r>
          </w:p>
        </w:tc>
        <w:tc>
          <w:tcPr>
            <w:tcW w:w="1242" w:type="dxa"/>
            <w:vMerge w:val="restart"/>
            <w:noWrap w:val="0"/>
            <w:vAlign w:val="center"/>
          </w:tcPr>
          <w:p>
            <w:pPr>
              <w:spacing w:line="360" w:lineRule="exact"/>
              <w:jc w:val="center"/>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公共消防基础设施</w:t>
            </w:r>
          </w:p>
        </w:tc>
        <w:tc>
          <w:tcPr>
            <w:tcW w:w="5068" w:type="dxa"/>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1.新建1个城市消防救援站，新建1个街道政府专职消防队，完善3个街道政府专职消防队。（明细见附表3）</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31" w:type="dxa"/>
            <w:vMerge w:val="continue"/>
            <w:noWrap w:val="0"/>
            <w:vAlign w:val="center"/>
          </w:tcPr>
          <w:p>
            <w:pPr>
              <w:spacing w:line="360" w:lineRule="exact"/>
              <w:ind w:firstLine="480" w:firstLineChars="200"/>
              <w:jc w:val="center"/>
              <w:rPr>
                <w:rFonts w:hint="eastAsia" w:ascii="方正仿宋_GBK" w:hAnsi="方正仿宋_GBK" w:eastAsia="方正仿宋_GBK" w:cs="方正仿宋_GBK"/>
                <w:bCs/>
                <w:sz w:val="24"/>
                <w:lang w:val="en-US" w:eastAsia="zh-CN"/>
              </w:rPr>
            </w:pPr>
          </w:p>
        </w:tc>
        <w:tc>
          <w:tcPr>
            <w:tcW w:w="1242" w:type="dxa"/>
            <w:vMerge w:val="continue"/>
            <w:noWrap w:val="0"/>
            <w:vAlign w:val="center"/>
          </w:tcPr>
          <w:p>
            <w:pPr>
              <w:spacing w:line="360" w:lineRule="exact"/>
              <w:ind w:firstLine="480" w:firstLineChars="200"/>
              <w:jc w:val="center"/>
              <w:rPr>
                <w:rFonts w:hint="eastAsia" w:ascii="方正仿宋_GBK" w:hAnsi="方正仿宋_GBK" w:eastAsia="方正仿宋_GBK" w:cs="方正仿宋_GBK"/>
                <w:bCs/>
                <w:sz w:val="24"/>
                <w:lang w:val="en-US" w:eastAsia="zh-CN"/>
              </w:rPr>
            </w:pPr>
          </w:p>
        </w:tc>
        <w:tc>
          <w:tcPr>
            <w:tcW w:w="5068" w:type="dxa"/>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2.新建市政消火栓470个、消防取水平台5个。（明细见附表6）</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spacing w:line="360" w:lineRule="exact"/>
              <w:ind w:firstLine="480" w:firstLineChars="200"/>
              <w:jc w:val="center"/>
              <w:rPr>
                <w:rFonts w:hint="eastAsia" w:ascii="方正仿宋_GBK" w:hAnsi="方正仿宋_GBK" w:eastAsia="方正仿宋_GBK" w:cs="方正仿宋_GBK"/>
                <w:bCs/>
                <w:sz w:val="24"/>
                <w:lang w:val="en-US" w:eastAsia="zh-CN"/>
              </w:rPr>
            </w:pPr>
          </w:p>
        </w:tc>
        <w:tc>
          <w:tcPr>
            <w:tcW w:w="1242" w:type="dxa"/>
            <w:vMerge w:val="continue"/>
            <w:noWrap w:val="0"/>
            <w:vAlign w:val="center"/>
          </w:tcPr>
          <w:p>
            <w:pPr>
              <w:spacing w:line="360" w:lineRule="exact"/>
              <w:ind w:firstLine="480" w:firstLineChars="200"/>
              <w:jc w:val="center"/>
              <w:rPr>
                <w:rFonts w:hint="eastAsia" w:ascii="方正仿宋_GBK" w:hAnsi="方正仿宋_GBK" w:eastAsia="方正仿宋_GBK" w:cs="方正仿宋_GBK"/>
                <w:bCs/>
                <w:sz w:val="24"/>
                <w:lang w:val="en-US" w:eastAsia="zh-CN"/>
              </w:rPr>
            </w:pPr>
          </w:p>
        </w:tc>
        <w:tc>
          <w:tcPr>
            <w:tcW w:w="5068" w:type="dxa"/>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3.消防通信设施提档升级。（明细见附表10）</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Merge w:val="continue"/>
            <w:noWrap w:val="0"/>
            <w:vAlign w:val="center"/>
          </w:tcPr>
          <w:p>
            <w:pPr>
              <w:spacing w:line="360" w:lineRule="exact"/>
              <w:ind w:firstLine="480" w:firstLineChars="200"/>
              <w:jc w:val="center"/>
              <w:rPr>
                <w:rFonts w:hint="eastAsia" w:ascii="方正仿宋_GBK" w:hAnsi="方正仿宋_GBK" w:eastAsia="方正仿宋_GBK" w:cs="方正仿宋_GBK"/>
                <w:bCs/>
                <w:sz w:val="24"/>
                <w:lang w:val="en-US" w:eastAsia="zh-CN"/>
              </w:rPr>
            </w:pPr>
          </w:p>
        </w:tc>
        <w:tc>
          <w:tcPr>
            <w:tcW w:w="1242" w:type="dxa"/>
            <w:vMerge w:val="continue"/>
            <w:noWrap w:val="0"/>
            <w:vAlign w:val="center"/>
          </w:tcPr>
          <w:p>
            <w:pPr>
              <w:spacing w:line="360" w:lineRule="exact"/>
              <w:ind w:firstLine="480" w:firstLineChars="200"/>
              <w:jc w:val="center"/>
              <w:rPr>
                <w:rFonts w:hint="eastAsia" w:ascii="方正仿宋_GBK" w:hAnsi="方正仿宋_GBK" w:eastAsia="方正仿宋_GBK" w:cs="方正仿宋_GBK"/>
                <w:bCs/>
                <w:sz w:val="24"/>
                <w:lang w:val="en-US" w:eastAsia="zh-CN"/>
              </w:rPr>
            </w:pPr>
          </w:p>
        </w:tc>
        <w:tc>
          <w:tcPr>
            <w:tcW w:w="5068" w:type="dxa"/>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4.推进智慧消防科技支撑。</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31" w:type="dxa"/>
            <w:vMerge w:val="restart"/>
            <w:noWrap w:val="0"/>
            <w:vAlign w:val="center"/>
          </w:tcPr>
          <w:p>
            <w:pPr>
              <w:spacing w:line="360" w:lineRule="exact"/>
              <w:jc w:val="center"/>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4</w:t>
            </w:r>
          </w:p>
        </w:tc>
        <w:tc>
          <w:tcPr>
            <w:tcW w:w="1242" w:type="dxa"/>
            <w:vMerge w:val="restart"/>
            <w:noWrap w:val="0"/>
            <w:vAlign w:val="center"/>
          </w:tcPr>
          <w:p>
            <w:pPr>
              <w:spacing w:line="360" w:lineRule="exact"/>
              <w:jc w:val="center"/>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火灾防控体系</w:t>
            </w:r>
          </w:p>
        </w:tc>
        <w:tc>
          <w:tcPr>
            <w:tcW w:w="5068" w:type="dxa"/>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1.配齐配强火灾事故调查装备。</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31" w:type="dxa"/>
            <w:vMerge w:val="continue"/>
            <w:noWrap w:val="0"/>
            <w:vAlign w:val="center"/>
          </w:tcPr>
          <w:p>
            <w:pPr>
              <w:spacing w:line="360" w:lineRule="exact"/>
              <w:ind w:firstLine="480" w:firstLineChars="200"/>
              <w:jc w:val="center"/>
              <w:rPr>
                <w:rFonts w:hint="eastAsia" w:ascii="方正仿宋_GBK" w:hAnsi="方正仿宋_GBK" w:eastAsia="方正仿宋_GBK" w:cs="方正仿宋_GBK"/>
                <w:bCs/>
                <w:sz w:val="24"/>
                <w:lang w:val="en-US" w:eastAsia="zh-CN"/>
              </w:rPr>
            </w:pPr>
          </w:p>
        </w:tc>
        <w:tc>
          <w:tcPr>
            <w:tcW w:w="1242" w:type="dxa"/>
            <w:vMerge w:val="continue"/>
            <w:noWrap w:val="0"/>
            <w:vAlign w:val="center"/>
          </w:tcPr>
          <w:p>
            <w:pPr>
              <w:spacing w:line="360" w:lineRule="exact"/>
              <w:ind w:firstLine="480" w:firstLineChars="200"/>
              <w:jc w:val="center"/>
              <w:rPr>
                <w:rFonts w:hint="eastAsia" w:ascii="方正仿宋_GBK" w:hAnsi="方正仿宋_GBK" w:eastAsia="方正仿宋_GBK" w:cs="方正仿宋_GBK"/>
                <w:bCs/>
                <w:sz w:val="24"/>
                <w:lang w:val="en-US" w:eastAsia="zh-CN"/>
              </w:rPr>
            </w:pPr>
          </w:p>
        </w:tc>
        <w:tc>
          <w:tcPr>
            <w:tcW w:w="5068" w:type="dxa"/>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2.全区社区（村居）和重点单位微型消防站建设达标。（明细见附表5）</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931" w:type="dxa"/>
            <w:vMerge w:val="continue"/>
            <w:noWrap w:val="0"/>
            <w:vAlign w:val="center"/>
          </w:tcPr>
          <w:p>
            <w:pPr>
              <w:spacing w:line="360" w:lineRule="exact"/>
              <w:ind w:firstLine="480" w:firstLineChars="200"/>
              <w:jc w:val="center"/>
              <w:rPr>
                <w:rFonts w:hint="eastAsia" w:ascii="方正仿宋_GBK" w:hAnsi="方正仿宋_GBK" w:eastAsia="方正仿宋_GBK" w:cs="方正仿宋_GBK"/>
                <w:bCs/>
                <w:sz w:val="24"/>
                <w:lang w:val="en-US" w:eastAsia="zh-CN"/>
              </w:rPr>
            </w:pPr>
          </w:p>
        </w:tc>
        <w:tc>
          <w:tcPr>
            <w:tcW w:w="1242" w:type="dxa"/>
            <w:vMerge w:val="continue"/>
            <w:noWrap w:val="0"/>
            <w:vAlign w:val="center"/>
          </w:tcPr>
          <w:p>
            <w:pPr>
              <w:spacing w:line="360" w:lineRule="exact"/>
              <w:ind w:firstLine="480" w:firstLineChars="200"/>
              <w:jc w:val="center"/>
              <w:rPr>
                <w:rFonts w:hint="eastAsia" w:ascii="方正仿宋_GBK" w:hAnsi="方正仿宋_GBK" w:eastAsia="方正仿宋_GBK" w:cs="方正仿宋_GBK"/>
                <w:bCs/>
                <w:sz w:val="24"/>
                <w:lang w:val="en-US" w:eastAsia="zh-CN"/>
              </w:rPr>
            </w:pPr>
          </w:p>
        </w:tc>
        <w:tc>
          <w:tcPr>
            <w:tcW w:w="5068" w:type="dxa"/>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3.建立区、街道、社区（村居）三级火灾高风险区域整治体系。</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931" w:type="dxa"/>
            <w:vMerge w:val="restart"/>
            <w:noWrap w:val="0"/>
            <w:vAlign w:val="center"/>
          </w:tcPr>
          <w:p>
            <w:pPr>
              <w:spacing w:line="360" w:lineRule="exact"/>
              <w:jc w:val="center"/>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5</w:t>
            </w:r>
          </w:p>
        </w:tc>
        <w:tc>
          <w:tcPr>
            <w:tcW w:w="1242" w:type="dxa"/>
            <w:vMerge w:val="restart"/>
            <w:noWrap w:val="0"/>
            <w:vAlign w:val="center"/>
          </w:tcPr>
          <w:p>
            <w:pPr>
              <w:spacing w:line="360" w:lineRule="exact"/>
              <w:jc w:val="center"/>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公众消防素质</w:t>
            </w:r>
          </w:p>
        </w:tc>
        <w:tc>
          <w:tcPr>
            <w:tcW w:w="5068" w:type="dxa"/>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1.设置区级消防科普教育场所1个、可对外开放消防体验的消防救援站1个，配套建设模块化设施。</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31" w:type="dxa"/>
            <w:vMerge w:val="continue"/>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p>
        </w:tc>
        <w:tc>
          <w:tcPr>
            <w:tcW w:w="1242" w:type="dxa"/>
            <w:vMerge w:val="continue"/>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p>
        </w:tc>
        <w:tc>
          <w:tcPr>
            <w:tcW w:w="5068" w:type="dxa"/>
            <w:noWrap w:val="0"/>
            <w:vAlign w:val="center"/>
          </w:tcPr>
          <w:p>
            <w:pPr>
              <w:spacing w:line="360" w:lineRule="exact"/>
              <w:ind w:firstLine="480" w:firstLineChars="200"/>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2.建设区级消防志愿者服务队1个、街道消防志愿者服务队3个，消防志愿者2800人。（明细见附表4）</w:t>
            </w:r>
          </w:p>
        </w:tc>
        <w:tc>
          <w:tcPr>
            <w:tcW w:w="1460" w:type="dxa"/>
            <w:noWrap w:val="0"/>
            <w:vAlign w:val="center"/>
          </w:tcPr>
          <w:p>
            <w:pPr>
              <w:spacing w:line="360" w:lineRule="exact"/>
              <w:jc w:val="left"/>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预期性指标</w:t>
            </w:r>
          </w:p>
        </w:tc>
      </w:tr>
    </w:tbl>
    <w:p>
      <w:pPr>
        <w:widowControl/>
        <w:jc w:val="left"/>
        <w:rPr>
          <w:rFonts w:hint="eastAsia" w:ascii="仿宋" w:hAnsi="仿宋" w:eastAsia="仿宋" w:cs="仿宋_GB2312"/>
          <w:sz w:val="32"/>
          <w:szCs w:val="32"/>
        </w:rPr>
      </w:pPr>
      <w:r>
        <w:rPr>
          <w:rFonts w:hint="eastAsia" w:ascii="方正仿宋_GBK" w:hAnsi="方正仿宋_GBK" w:eastAsia="方正仿宋_GBK" w:cs="方正仿宋_GBK"/>
          <w:bCs/>
          <w:sz w:val="24"/>
          <w:lang w:val="en-US" w:eastAsia="zh-CN"/>
        </w:rPr>
        <w:t>注：按国家要求，自 2021 年起，火灾数据统计范围和口径实行“全口径”统计。</w:t>
      </w:r>
      <w:r>
        <w:rPr>
          <w:rFonts w:hint="eastAsia" w:ascii="宋体" w:hAnsi="宋体" w:eastAsia="宋体" w:cs="宋体"/>
          <w:color w:val="000000"/>
          <w:kern w:val="0"/>
          <w:szCs w:val="21"/>
        </w:rPr>
        <w:t xml:space="preserve"> </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b w:val="0"/>
          <w:bCs w:val="0"/>
          <w:sz w:val="32"/>
          <w:szCs w:val="32"/>
          <w:lang w:val="en-US" w:eastAsia="zh-CN"/>
        </w:rPr>
      </w:pP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第四节 规划依据</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1.《中华人民共和国消防法》（中华人民共和国主席令第二十九号）</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2.《国务院办公厅关于印发消防安全责任制实施办法的通知》（国办发﹝2017﹞87号）</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3.中共中央办公厅国务院办公厅印发《关于深化消防执法改革的意见》的通知（厅字﹝2019﹞34号）</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4.中共广东省委办公厅广东省人民政府办公厅印发《关于深化消防执法改革的若干措施》（粤办发〔2020〕2号）</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5.《广东省实施&lt;中华人民共和国消防法&gt;办法》（广东省第十一届人民代表大会常务委员会公告第48号）</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6.《广东省消防工作若干规定》（广东省人民政府令第282号）</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7.《城市消防站建设标准（建标152-2017）》</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8.《消防训练基地建设标准（建标190-2018）》</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9.《乡镇消防队》（GB/T35547-2017） </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10.《广东省专职消防队建设管理规定》 </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11.《广东省社区（村）微型消防站建设标准（试行）》</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12.《粤港澳大湾区（广东）消防救援规划（2020年-2035年）》</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13.《广东省消防工作“十四五”规划》</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14.《江门市消防工作“十四五”规划（2021-2025年）》</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15.《江门市国民经济和社会发展第十四个五年规划和2035年远景目标纲要》</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仿宋_GBK" w:hAnsi="方正仿宋_GBK" w:eastAsia="方正仿宋_GBK" w:cs="方正仿宋_GBK"/>
          <w:b w:val="0"/>
          <w:bCs w:val="0"/>
          <w:kern w:val="2"/>
          <w:sz w:val="32"/>
          <w:szCs w:val="32"/>
          <w:lang w:val="en-US" w:eastAsia="zh-CN" w:bidi="ar-SA"/>
        </w:rPr>
        <w:t>16.《江门高新区（江海区）国民经济和社会发展第十四个五年规划和2035年远景目标纲要》</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eastAsia" w:ascii="方正黑体_GBK" w:hAnsi="方正黑体_GBK" w:eastAsia="方正黑体_GBK" w:cs="方正黑体_GBK"/>
          <w:b w:val="0"/>
          <w:bCs w:val="0"/>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spacing w:before="0" w:after="0" w:line="560" w:lineRule="exact"/>
        <w:jc w:val="center"/>
        <w:textAlignment w:val="auto"/>
        <w:rPr>
          <w:rFonts w:hint="eastAsia" w:ascii="方正小标宋_GBK" w:hAnsi="方正小标宋_GBK" w:eastAsia="方正小标宋_GBK" w:cs="方正小标宋_GBK"/>
          <w:lang w:val="en-US" w:eastAsia="zh-CN"/>
        </w:rPr>
      </w:pPr>
      <w:r>
        <w:rPr>
          <w:rFonts w:hint="eastAsia" w:ascii="方正小标宋_GBK" w:hAnsi="方正小标宋_GBK" w:eastAsia="方正小标宋_GBK" w:cs="方正小标宋_GBK"/>
          <w:b w:val="0"/>
          <w:bCs w:val="0"/>
          <w:sz w:val="32"/>
          <w:szCs w:val="32"/>
          <w:lang w:val="en-US" w:eastAsia="zh-CN"/>
        </w:rPr>
        <w:t>第三章“十四五”时期消防工作主要任务</w:t>
      </w:r>
      <w:bookmarkEnd w:id="22"/>
      <w:bookmarkStart w:id="25" w:name="_Toc42270673"/>
    </w:p>
    <w:p>
      <w:pPr>
        <w:pStyle w:val="5"/>
        <w:keepNext w:val="0"/>
        <w:keepLines w:val="0"/>
        <w:pageBreakBefore w:val="0"/>
        <w:widowControl w:val="0"/>
        <w:numPr>
          <w:ilvl w:val="0"/>
          <w:numId w:val="0"/>
        </w:numPr>
        <w:kinsoku/>
        <w:wordWrap/>
        <w:overflowPunct/>
        <w:topLinePunct w:val="0"/>
        <w:autoSpaceDE/>
        <w:autoSpaceDN/>
        <w:bidi w:val="0"/>
        <w:spacing w:before="0" w:after="0" w:line="560" w:lineRule="exact"/>
        <w:jc w:val="both"/>
        <w:textAlignment w:val="auto"/>
        <w:rPr>
          <w:rFonts w:hint="eastAsia" w:ascii="方正黑体_GBK" w:hAnsi="方正黑体_GBK" w:eastAsia="方正黑体_GBK" w:cs="方正黑体_GBK"/>
          <w:b w:val="0"/>
          <w:bCs w:val="0"/>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spacing w:before="0" w:after="0" w:line="56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第一节 健全和完善消防安全责任体系</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深入贯彻落实消防法律法规以及国家和省、市关于消防安全的决策部署，按照“政府统一领导、部门依法监管、单位全面负责、公民积极参与”的原则，建立完善“明责、压责、履责、问责”的消防安全责任体系。</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（一）推动政府统一领导责任落实。</w:t>
      </w:r>
      <w:r>
        <w:rPr>
          <w:rFonts w:hint="eastAsia" w:ascii="方正仿宋_GBK" w:hAnsi="方正仿宋_GBK" w:eastAsia="方正仿宋_GBK" w:cs="方正仿宋_GBK"/>
          <w:b w:val="0"/>
          <w:bCs w:val="0"/>
          <w:kern w:val="2"/>
          <w:sz w:val="32"/>
          <w:szCs w:val="32"/>
          <w:lang w:val="en-US" w:eastAsia="zh-CN" w:bidi="ar-SA"/>
        </w:rPr>
        <w:t>按照“党政同责、一岗双责、齐抓共管、失职追责”的要求，健全定期研究部署消防工作制度，将消防工作纳入经济社会发展总体规划，将消防公共服务事项纳入政府民生工程。建立权责清晰、分工明确的消防安全管理组织架构，制定领导干部消防安全“责任清单”和年度“工作清单”，将消防安全责任履行情况列入述职内容。完善区、街道两级消安委运行机制，实行“双主任制”，区、街道消防安全委员会主任由党政主要领导担任，副主任由分管领导担任，确定2名专职工作人员负责日常消防工作，落实工作考核、警示通报、提醒约谈、挂牌督办、会商研判、联合执法等制度。</w:t>
      </w:r>
      <w:bookmarkStart w:id="26" w:name="_Toc17581"/>
      <w:bookmarkStart w:id="27" w:name="_Toc1709"/>
      <w:bookmarkStart w:id="28" w:name="_Toc2757"/>
      <w:bookmarkStart w:id="29" w:name="_Toc4194"/>
      <w:bookmarkStart w:id="30" w:name="_Toc30966"/>
      <w:bookmarkStart w:id="31" w:name="_Toc22043"/>
      <w:bookmarkStart w:id="32" w:name="_Toc6773"/>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（二）推动部门依法监管责任</w:t>
      </w:r>
      <w:bookmarkEnd w:id="26"/>
      <w:bookmarkEnd w:id="27"/>
      <w:bookmarkEnd w:id="28"/>
      <w:bookmarkEnd w:id="29"/>
      <w:bookmarkEnd w:id="30"/>
      <w:bookmarkEnd w:id="31"/>
      <w:bookmarkEnd w:id="32"/>
      <w:bookmarkStart w:id="33" w:name="_Toc7981"/>
      <w:r>
        <w:rPr>
          <w:rFonts w:hint="eastAsia" w:ascii="方正楷体_GBK" w:hAnsi="方正楷体_GBK" w:eastAsia="方正楷体_GBK" w:cs="方正楷体_GBK"/>
          <w:b w:val="0"/>
          <w:bCs w:val="0"/>
          <w:kern w:val="2"/>
          <w:sz w:val="32"/>
          <w:szCs w:val="32"/>
          <w:lang w:val="en-US" w:eastAsia="zh-CN" w:bidi="ar-SA"/>
        </w:rPr>
        <w:t>落实。</w:t>
      </w:r>
      <w:r>
        <w:rPr>
          <w:rFonts w:hint="eastAsia" w:ascii="方正仿宋_GBK" w:hAnsi="方正仿宋_GBK" w:eastAsia="方正仿宋_GBK" w:cs="方正仿宋_GBK"/>
          <w:b w:val="0"/>
          <w:bCs w:val="0"/>
          <w:kern w:val="2"/>
          <w:sz w:val="32"/>
          <w:szCs w:val="32"/>
          <w:lang w:val="en-US" w:eastAsia="zh-CN" w:bidi="ar-SA"/>
        </w:rPr>
        <w:t>各行业部门按照“三必须”要求，将消防安全与业务工作同部署、同落实、同奖惩，根据本行业、本系统业务工作特点，依法督促本行业、本系统相关单位落实消防安全责任制，提高消防安全管理水平。具有行政审批职能的部门落实消防安全法定条件审批职责，健全完善针对新型化工、新型建筑、新能源等新材料、新业态的火灾风险预估预判机制，优化落实消防安全措施。建立健全行业主管部门消防安全联合执法机制，区发改、自然资源、住建、城管、应急、市监、公安等部门，建立信息共享、执法衔接、移交查办等工作机制，加强项目审批环节、工程建设领域、火灾事故调查、危化品、工矿商贸和电气、电动车、消防产品等生产流通领域的监管，针对突出隐患问题组织集中整治。建立健全消防救援机构服务行业部门监管工作机制，实时提供技术支持，推行聘请专家或技术服务机构开展评估式检查，制定实施针对性工作措施。</w:t>
      </w:r>
      <w:bookmarkEnd w:id="33"/>
      <w:bookmarkStart w:id="34" w:name="_Toc17016"/>
      <w:bookmarkStart w:id="35" w:name="_Toc2159"/>
      <w:bookmarkStart w:id="36" w:name="_Toc30025"/>
      <w:bookmarkStart w:id="37" w:name="_Toc6515"/>
      <w:bookmarkStart w:id="38" w:name="_Toc14571"/>
      <w:bookmarkStart w:id="39" w:name="_Toc32426"/>
      <w:bookmarkStart w:id="40" w:name="_Toc6368"/>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（三）推动单位主体责任</w:t>
      </w:r>
      <w:bookmarkEnd w:id="34"/>
      <w:bookmarkEnd w:id="35"/>
      <w:bookmarkEnd w:id="36"/>
      <w:bookmarkEnd w:id="37"/>
      <w:bookmarkEnd w:id="38"/>
      <w:bookmarkEnd w:id="39"/>
      <w:bookmarkEnd w:id="40"/>
      <w:bookmarkStart w:id="41" w:name="_Toc13303"/>
      <w:r>
        <w:rPr>
          <w:rFonts w:hint="eastAsia" w:ascii="方正楷体_GBK" w:hAnsi="方正楷体_GBK" w:eastAsia="方正楷体_GBK" w:cs="方正楷体_GBK"/>
          <w:b w:val="0"/>
          <w:bCs w:val="0"/>
          <w:kern w:val="2"/>
          <w:sz w:val="32"/>
          <w:szCs w:val="32"/>
          <w:lang w:val="en-US" w:eastAsia="zh-CN" w:bidi="ar-SA"/>
        </w:rPr>
        <w:t>落实。</w:t>
      </w:r>
      <w:r>
        <w:rPr>
          <w:rFonts w:hint="eastAsia" w:ascii="方正仿宋_GBK" w:hAnsi="方正仿宋_GBK" w:eastAsia="方正仿宋_GBK" w:cs="方正仿宋_GBK"/>
          <w:b w:val="0"/>
          <w:bCs w:val="0"/>
          <w:kern w:val="2"/>
          <w:sz w:val="32"/>
          <w:szCs w:val="32"/>
          <w:lang w:val="en-US" w:eastAsia="zh-CN" w:bidi="ar-SA"/>
        </w:rPr>
        <w:t>全面推行单位风险隐患“自知、自查、自改”制度。定期开展火灾风险研判，确定火灾防范重点场所名单，深入推进火灾防范重点场所消防安全达标工程建设。分行业、分领域、分层级开展消防安全大约谈、大培训，培养消防安全明白人，提升单位自我管理水平。创新监管模式，加强部门信息共享，强化对单位法定代表人、消防安全责任人及管理人的履职监管。容易造成群死群伤火灾的人员密集场所、易燃易爆单位和高层、地下公共建筑等火灾高危单位，按照国家规定参加火灾公众责任保险，依法聘请注册消防工程师参与消防工作，提升消防安全自我管理水平。物业服务企业按照合同约定提供消防安全防范服务，对管理区域内的共用消防设施和疏散通道、安全出口、消防车通道进行维护管理。危化品、轻工等行业组织加强行业消防安全自律管理，推动本行业消防工作，引导行业单位落实消防安全主体责任。消防设施检测、维护保养和消防安全评估、咨询、监测等消防技术服务机构和执业人员依法依规提供消防安全技术服务，并对服务质量负责。连锁经营企业、集团企业建立企业消防安全管理制度标准体系，加强系统治理、规范管理。</w:t>
      </w:r>
      <w:bookmarkEnd w:id="41"/>
      <w:bookmarkStart w:id="42" w:name="_Toc18503"/>
      <w:bookmarkStart w:id="43" w:name="_Toc24399"/>
      <w:bookmarkStart w:id="44" w:name="_Toc14836"/>
      <w:bookmarkStart w:id="45" w:name="_Toc29703"/>
      <w:bookmarkStart w:id="46" w:name="_Toc19077"/>
      <w:bookmarkStart w:id="47" w:name="_Toc8174"/>
      <w:bookmarkStart w:id="48" w:name="_Toc380"/>
    </w:p>
    <w:p>
      <w:pPr>
        <w:pStyle w:val="6"/>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（四）落实履职考评倒查责任</w:t>
      </w:r>
      <w:bookmarkEnd w:id="42"/>
      <w:bookmarkEnd w:id="43"/>
      <w:bookmarkEnd w:id="44"/>
      <w:bookmarkEnd w:id="45"/>
      <w:bookmarkEnd w:id="46"/>
      <w:bookmarkEnd w:id="47"/>
      <w:bookmarkEnd w:id="48"/>
      <w:bookmarkStart w:id="49" w:name="_Toc13295"/>
      <w:bookmarkStart w:id="50" w:name="_Toc18147"/>
      <w:bookmarkStart w:id="51" w:name="_Toc12154"/>
      <w:bookmarkStart w:id="52" w:name="_Toc22834"/>
      <w:r>
        <w:rPr>
          <w:rFonts w:hint="eastAsia" w:ascii="方正楷体_GBK" w:hAnsi="方正楷体_GBK" w:eastAsia="方正楷体_GBK" w:cs="方正楷体_GBK"/>
          <w:b w:val="0"/>
          <w:bCs w:val="0"/>
          <w:kern w:val="2"/>
          <w:sz w:val="32"/>
          <w:szCs w:val="32"/>
          <w:lang w:val="en-US" w:eastAsia="zh-CN" w:bidi="ar-SA"/>
        </w:rPr>
        <w:t>。</w:t>
      </w:r>
      <w:r>
        <w:rPr>
          <w:rFonts w:hint="eastAsia" w:ascii="方正仿宋_GBK" w:hAnsi="方正仿宋_GBK" w:eastAsia="方正仿宋_GBK" w:cs="方正仿宋_GBK"/>
          <w:b w:val="0"/>
          <w:bCs w:val="0"/>
          <w:kern w:val="2"/>
          <w:sz w:val="32"/>
          <w:szCs w:val="32"/>
          <w:lang w:val="en-US" w:eastAsia="zh-CN" w:bidi="ar-SA"/>
        </w:rPr>
        <w:t>建立健全消防工作考核评价体系，明确消防工作目标责任，纳入日常检查、政务督查的重要内容，组织年度消防工作考核，确保消防安全责任落实。加强消防工作考核结果运用，建立与主要负责人、分管负责人和直接责任人履职评定、奖励惩处相挂钩的制度。区有关部门应当建立单位消防安全信用记录，依法依规纳入相关信用信息共享平台，并作为信用评价、项目核准、用地审批、金融扶持、财政奖补等方面的参考依据。各街道、相关部门在涉及消防安全领域行政审批、公共消防设施建设、重大火灾隐患整改、消防力量发展等方面工作不力、失职渎职的，依法依规追究有关人员的责任。因消防安全责任不落实发生亡人、较大以上及有影响的火灾事故的，依法依规追究单位直接责任人、法定代表人、主要负责人或实际控制人的责任，涉嫌犯罪的，移送司法机关处理。</w:t>
      </w:r>
      <w:bookmarkEnd w:id="49"/>
      <w:bookmarkEnd w:id="50"/>
      <w:bookmarkEnd w:id="51"/>
      <w:bookmarkEnd w:id="52"/>
      <w:bookmarkStart w:id="53" w:name="_Toc81918602"/>
      <w:bookmarkStart w:id="54" w:name="_Toc17497"/>
      <w:bookmarkStart w:id="55" w:name="_Toc15081"/>
      <w:bookmarkStart w:id="56" w:name="_Toc7344"/>
      <w:bookmarkStart w:id="57" w:name="_Toc26891"/>
      <w:bookmarkStart w:id="58" w:name="_Toc32477"/>
      <w:bookmarkStart w:id="59" w:name="_Toc10262"/>
      <w:bookmarkStart w:id="60" w:name="_Toc21160"/>
      <w:bookmarkStart w:id="61" w:name="_Toc19927"/>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第二节 健全和完善消防执法服务体系</w:t>
      </w:r>
      <w:bookmarkEnd w:id="53"/>
      <w:bookmarkEnd w:id="54"/>
      <w:bookmarkEnd w:id="55"/>
      <w:bookmarkEnd w:id="56"/>
      <w:bookmarkEnd w:id="57"/>
      <w:bookmarkEnd w:id="58"/>
      <w:bookmarkEnd w:id="59"/>
      <w:bookmarkEnd w:id="60"/>
      <w:bookmarkEnd w:id="61"/>
      <w:bookmarkStart w:id="62" w:name="_Toc3422"/>
      <w:bookmarkStart w:id="63" w:name="_Toc26622"/>
      <w:bookmarkStart w:id="64" w:name="_Toc15166"/>
      <w:bookmarkStart w:id="65" w:name="_Toc2135"/>
      <w:bookmarkStart w:id="66" w:name="_Toc16519"/>
      <w:bookmarkStart w:id="67" w:name="_Toc29732"/>
      <w:bookmarkStart w:id="68" w:name="_Toc28366"/>
      <w:bookmarkStart w:id="69" w:name="_Toc26933"/>
      <w:bookmarkStart w:id="70" w:name="_Toc6514"/>
      <w:bookmarkStart w:id="71" w:name="_Toc4400"/>
      <w:bookmarkStart w:id="72" w:name="_Toc19173"/>
      <w:bookmarkStart w:id="73" w:name="_Toc7446"/>
      <w:bookmarkStart w:id="74" w:name="_Toc8601"/>
      <w:bookmarkStart w:id="75" w:name="_Toc23849"/>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w:t>
      </w:r>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hint="eastAsia" w:ascii="方正楷体_GBK" w:hAnsi="方正楷体_GBK" w:eastAsia="方正楷体_GBK" w:cs="方正楷体_GBK"/>
          <w:b w:val="0"/>
          <w:bCs w:val="0"/>
          <w:sz w:val="32"/>
          <w:szCs w:val="32"/>
          <w:lang w:val="en-US" w:eastAsia="zh-CN"/>
        </w:rPr>
        <w:t>优化消防行政审批。</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简化消防行政许可办理。全面实行公众聚集场所投入使用、营业前消防安全检查告知承诺管理。在消防行政许可中推行电子印章应用，公众聚集场所作出承诺后可以在线下载和自主打印许可文书。推动消防网上服务平台与一体化网上政务服务平台、投资项目在线审批监管平台、建设工程项目审批管理平台等平台对接，实现申报资料一次提交，审批数据全网共享，法律文书互信互认，违法行为相互抄告。</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推进消防技术服务工作规范有序发展。落实消防技术服务机构从业条件和服务标准等配套制度。市场监管部门、消防救援机构共享消防技术服务机构商事登记信息，加强消防技术服务活动事中事后监管。配合上级消防救援机构出台消防技术服务行业违法违规行为处理办法。</w:t>
      </w:r>
      <w:bookmarkStart w:id="76" w:name="_Toc28272"/>
      <w:bookmarkStart w:id="77" w:name="_Toc7823"/>
      <w:bookmarkStart w:id="78" w:name="_Toc20467"/>
      <w:bookmarkStart w:id="79" w:name="_Toc19926"/>
      <w:bookmarkStart w:id="80" w:name="_Toc28758"/>
      <w:bookmarkStart w:id="81" w:name="_Toc21239"/>
      <w:bookmarkStart w:id="82" w:name="_Toc2995"/>
      <w:bookmarkStart w:id="83" w:name="_Toc870"/>
      <w:bookmarkStart w:id="84" w:name="_Toc25640"/>
      <w:bookmarkStart w:id="85" w:name="_Toc15515"/>
      <w:bookmarkStart w:id="86" w:name="_Toc24452"/>
      <w:bookmarkStart w:id="87" w:name="_Toc5075"/>
      <w:bookmarkStart w:id="88" w:name="_Toc6398"/>
      <w:bookmarkStart w:id="89" w:name="_Toc13651"/>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推进消防产品市场化。落实国家、省关于放宽消防产品市场准入限制的相关规定，消防救援机构向社会广泛宣传告知并指导规范本地消防产品技术鉴定机构的建立，市场监管部门按职责对取得认证后的消防产品认证检验机构行为进行监管，住房城乡建设部门依法查处工程建设领域违反消防技术标准、降低消防质量行为。市场监管部门、消防救援机构依职责将生产、流通、使用领域消防产品纳入“双随机、一公开”监管。</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（二）建设消防安全新型监管体系</w:t>
      </w:r>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方正楷体_GBK" w:hAnsi="方正楷体_GBK" w:eastAsia="方正楷体_GBK" w:cs="方正楷体_GBK"/>
          <w:b w:val="0"/>
          <w:bCs w:val="0"/>
          <w:sz w:val="32"/>
          <w:szCs w:val="32"/>
          <w:lang w:val="en-US" w:eastAsia="zh-CN"/>
        </w:rPr>
        <w:t>。</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落实“双随机、一公开”监管。探索采取实地检查和在线监测等非现场监管相结合的方式开展抽查，抽查事项清单和检查对象名录库实行动态管理，抽查事项清单、抽查计划和结果及时向社会公开，接受公众监督。针对不同履责状况、风险等级、信用等级的对象采取差异化分类监管措施，合理确定、浮动调整抽查频次。对检查发现的违法违规行为，依法依规严肃查处；对隐患突出、有严重违法违规记录的单位，实施重点管控。推动消防“双随机、一公开”系统与政府“双随机、一公开”监管工作平台对接。</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加强重点监管。各街道、行业主管部门结合典型火灾事故暴露出的区域性、行业性火灾风险，以及重大节日、重要活动期间消防安全保卫工作的需要，适时开展针对性消防安全专项治理。结合火灾隐患举报投诉、大数据分析等，合理确定火灾高风险区域和重大火灾隐患单位，实施重点监管和挂牌督办。落实部门联合整治，深化消防、住建、城管、公安、市监等部门的联动执法协作机制。采取购买服务的方式，委托消防技术服务机构开展火灾风险辨识，参与火灾高风险区域和重大火灾隐患单位消防安全评估，提供整治技术支持和整治验收服务。公安部门、消防救援机构建立大型群众性活动审批信息互通和联动机制。</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实施信用监管。贯彻落实《广东省社会信用条例》《广东省消防安全信用监管实施办法（试行）》等规定，将诚信管理作为城乡消防安全治理基本理念，全方位建立健全以消防信用积分为基础的消防安全信用体系，规范开展信用等级评定、信用异议处理、信用监管约束、信用修复等工作，推行信用风险预警管理。开展消防安全信用评定，评定结果通过政务服务网站和“信用中国”“信用江门”网站向社会公开。各有关部门通过签订合作备忘录，将消防安全信用植入各行业信用认证，实现互信互认消防信用记录，构建跨行业、跨领域的消防安全信用联合激励和惩戒机制。完善重点领域失信问题专项治理机制，督促社会单位落实火灾隐患整改主体责任。建立消防安全信用修复机制，及时处理消防信用评定异议和申诉，为消防安全失信单位和个人提供高效便捷的信用修复服务。</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4.提升火灾调查能力。全面构建“全链条、大火调”的新格局，加强火灾事故调查装备配备，2025年前，消防救援机构配齐配强火灾事故调查装备。探索火灾延伸调查助推依法综合监管的新路子，由区消防安全委员会牵头成立事故调查组，组织消防、应急、住建、市监、公安、纪委监委、司法等部门依法开展火灾事故调查处理，对建设工程的建设、设计、施工、监理环节和建筑物或场所的管理使用主体、消防中介服务、消防产品质量、日常监督检查等环节开展责任倒查，依法依规严肃追究责任单位、个人主体责任和政府属地管理、部门监管责任。完善火灾调查分级制度，推动消防救援站落实简易火灾登记制度。公安部门、消防救援机构建立健全消防执法与刑事司法街接工作机制，加强和规范失火案件、消防责任事故案件办理。</w:t>
      </w:r>
      <w:bookmarkStart w:id="90" w:name="_Toc4102"/>
      <w:bookmarkStart w:id="91" w:name="_Toc22164"/>
      <w:bookmarkStart w:id="92" w:name="_Toc6551"/>
      <w:bookmarkStart w:id="93" w:name="_Toc21169"/>
      <w:bookmarkStart w:id="94" w:name="_Toc15765"/>
      <w:bookmarkStart w:id="95" w:name="_Toc19122"/>
      <w:bookmarkStart w:id="96" w:name="_Toc17634"/>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5.推进“互联网+监管”。推进消防监管融入“一网统管” 政府治理新体系，推行完善“互联网+监管”工作机制，以政务服务平台、综合治理信息系统、社会消防安全管理平台为依托，建立火灾防控、监督执法分析和应用模型，建设社会消防安全管理基础数据库；依托“两中心一基地”，建立区级智慧消防运营中心，加强火灾风险监测预警、早期识别、分析研判，精准治理高风险区域场所。</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（三）提升便民利企服务</w:t>
      </w:r>
      <w:bookmarkEnd w:id="90"/>
      <w:bookmarkEnd w:id="91"/>
      <w:bookmarkEnd w:id="92"/>
      <w:bookmarkEnd w:id="93"/>
      <w:bookmarkEnd w:id="94"/>
      <w:bookmarkEnd w:id="95"/>
      <w:bookmarkEnd w:id="96"/>
      <w:r>
        <w:rPr>
          <w:rFonts w:hint="eastAsia" w:ascii="方正楷体_GBK" w:hAnsi="方正楷体_GBK" w:eastAsia="方正楷体_GBK" w:cs="方正楷体_GBK"/>
          <w:b w:val="0"/>
          <w:bCs w:val="0"/>
          <w:kern w:val="2"/>
          <w:sz w:val="32"/>
          <w:szCs w:val="32"/>
          <w:lang w:val="en-US" w:eastAsia="zh-CN" w:bidi="ar-SA"/>
        </w:rPr>
        <w:t>水平</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深化“放管服”改革，融入政府政务服务平台，共享有关部门证照、许可等信息，全面推行预约办理、容缺办理、同城通办、跨层联办、绿色通道、邮寄送达等服务方式。实施消防站开放线上预约、消防知识在线培训；拓展消防队（站）职能，为群众提供火灾风险提示、消防安全咨询、火灾隐患整改指导、受理火灾隐患举报投诉等“一站式”便民服务。</w:t>
      </w:r>
      <w:bookmarkStart w:id="97" w:name="_Toc11644"/>
      <w:bookmarkStart w:id="98" w:name="_Toc18858"/>
      <w:bookmarkStart w:id="99" w:name="_Toc17426"/>
      <w:bookmarkStart w:id="100" w:name="_Toc28047"/>
      <w:bookmarkStart w:id="101" w:name="_Toc19174"/>
      <w:bookmarkStart w:id="102" w:name="_Toc21690"/>
      <w:bookmarkStart w:id="103" w:name="_Toc32277"/>
      <w:bookmarkStart w:id="104" w:name="_Toc31709"/>
      <w:bookmarkStart w:id="105" w:name="_Toc31914"/>
      <w:bookmarkStart w:id="106" w:name="_Toc28742"/>
      <w:bookmarkStart w:id="107" w:name="_Toc30775"/>
      <w:bookmarkStart w:id="108" w:name="_Toc11076"/>
      <w:bookmarkStart w:id="109" w:name="_Toc30837"/>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（四）提升消防执法能力建设</w:t>
      </w:r>
      <w:bookmarkEnd w:id="97"/>
      <w:bookmarkEnd w:id="98"/>
      <w:bookmarkEnd w:id="99"/>
      <w:bookmarkEnd w:id="100"/>
      <w:bookmarkEnd w:id="101"/>
      <w:bookmarkEnd w:id="102"/>
      <w:bookmarkEnd w:id="103"/>
      <w:bookmarkEnd w:id="104"/>
      <w:bookmarkEnd w:id="105"/>
      <w:bookmarkEnd w:id="106"/>
      <w:bookmarkEnd w:id="107"/>
      <w:bookmarkEnd w:id="108"/>
      <w:bookmarkEnd w:id="109"/>
      <w:r>
        <w:rPr>
          <w:rFonts w:hint="eastAsia" w:ascii="方正楷体_GBK" w:hAnsi="方正楷体_GBK" w:eastAsia="方正楷体_GBK" w:cs="方正楷体_GBK"/>
          <w:b w:val="0"/>
          <w:bCs w:val="0"/>
          <w:kern w:val="2"/>
          <w:sz w:val="32"/>
          <w:szCs w:val="32"/>
          <w:lang w:val="en-US" w:eastAsia="zh-CN" w:bidi="ar-SA"/>
        </w:rPr>
        <w:t>。</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充实基层一线消防执法力量。进一步完善街道火灾防控体系，成立街道消防救援所，落实消防领域委托执法规定。全面推进消防救援站指战员参与防火工作和消防文员协助开展消防监督执法、火灾调查等辅助性工作机制。成立区消防服务中心事业机构（公益一类），承担灾情研判、指导开展消防安全隐患检查及应急处置、消防宣传培训等工作。配齐配强消防队伍力量，“十四五”期间需招录政府专职消防队员和消防文员共55人。其中，2023年，招录政府专职消防队员5人；2024年，招录政府专职消防队员26人和消防文员2人；2025年，招录政府专职消防队员20人和消防文员2人。</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严格规范消防执法行为。建设智能化监管平台，实现消防监督执法所有环节网上流转、全程留痕、闭环管理。规范执法音视频记录管理，加强对执法活动的监督，杜绝选择性执法。加快轻型化、集成化、智能化消防监督执法装备配备应用，建立快速执法机制。</w:t>
      </w:r>
      <w:bookmarkStart w:id="110" w:name="_Toc31228"/>
      <w:bookmarkStart w:id="111" w:name="_Toc31344"/>
      <w:bookmarkStart w:id="112" w:name="_Toc10350"/>
      <w:bookmarkStart w:id="113" w:name="_Toc32419"/>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健全消防执法队伍管理机制。建立消防执法队伍岗前培训、专门培训和在职培训等制度，完善执法人员个人执法档案，严格消防执法责任追究。落实消防人员职业规范，明确消防人员及近亲属从业限制，严格实行回避制度。</w:t>
      </w:r>
      <w:bookmarkEnd w:id="110"/>
      <w:bookmarkEnd w:id="111"/>
      <w:bookmarkEnd w:id="112"/>
      <w:bookmarkEnd w:id="113"/>
      <w:bookmarkStart w:id="114" w:name="_Toc81918603"/>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黑体" w:hAnsi="黑体" w:eastAsia="黑体" w:cs="黑体"/>
          <w:sz w:val="32"/>
          <w:szCs w:val="32"/>
          <w:lang w:val="en-US" w:eastAsia="zh-CN"/>
        </w:rPr>
      </w:pPr>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第三节 健全和完善火灾风险防控体系</w:t>
      </w:r>
      <w:bookmarkEnd w:id="114"/>
      <w:bookmarkStart w:id="115" w:name="_Toc22687"/>
      <w:bookmarkStart w:id="116" w:name="_Toc27436"/>
      <w:bookmarkStart w:id="117" w:name="_Toc5824"/>
      <w:bookmarkStart w:id="118" w:name="_Toc30078"/>
      <w:bookmarkStart w:id="119" w:name="_Toc30363"/>
      <w:bookmarkStart w:id="120" w:name="_Toc21237"/>
      <w:bookmarkStart w:id="121" w:name="_Toc4423"/>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（一）精准开展火灾风险评估</w:t>
      </w:r>
      <w:bookmarkEnd w:id="115"/>
      <w:bookmarkEnd w:id="116"/>
      <w:bookmarkEnd w:id="117"/>
      <w:bookmarkEnd w:id="118"/>
      <w:bookmarkEnd w:id="119"/>
      <w:bookmarkEnd w:id="120"/>
      <w:bookmarkEnd w:id="121"/>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加强风险治理决策研究，定期开展消防安全突出风险及新材料、新产品、新业态等新兴风险研判，建立早发现、早预警、早防范机制。采取政府购买服务等方式，加强高风险场所消防检查、专业评估和隐患整改。全面推行专家检查制度。鼓励引导公众聚集场所投保火灾公众责任险，并纳入消防信用报告。探索推动保险公司建立完善检查评估制度，将单位消防安全条件与保险费率、理赔标准挂钩，发挥保险机构参与火灾风险评估、火灾事故预防、辅助火灾原因调查等作用。</w:t>
      </w:r>
      <w:bookmarkStart w:id="122" w:name="_Toc32667"/>
      <w:bookmarkStart w:id="123" w:name="_Toc28053"/>
      <w:bookmarkStart w:id="124" w:name="_Toc7880"/>
      <w:bookmarkStart w:id="125" w:name="_Toc25809"/>
      <w:bookmarkStart w:id="126" w:name="_Toc23736"/>
      <w:bookmarkStart w:id="127" w:name="_Toc20338"/>
      <w:bookmarkStart w:id="128" w:name="_Toc21536"/>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（二）着力消除存量火灾隐患</w:t>
      </w:r>
      <w:bookmarkEnd w:id="122"/>
      <w:bookmarkEnd w:id="123"/>
      <w:bookmarkEnd w:id="124"/>
      <w:bookmarkEnd w:id="125"/>
      <w:bookmarkEnd w:id="126"/>
      <w:bookmarkEnd w:id="127"/>
      <w:bookmarkEnd w:id="128"/>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围绕打通生命通道、高层建筑、大型商业综合体、石油化工企业、老旧场所及新兴行业等火灾多发的行业领域和火灾高风险场所，适时组织开展消防安全专项治理。分阶段开展高层建筑消防安全综合治理，鼓励出台微型消防站队员优抚优待、激励保障等配套政策。大型商业综合体建立内部消防安全管理责任清单、建立全员消防培训制度，逐家单位实施整改实效评价，2021年，大型商业综合体消防安全管理标准化达标率达到100%；集中开展化工消防安全达标活动，化工企业分步完成重大消防安全风险管控、老旧消防设施改造、企业消防力量建设三项任务。2025年，完成150家场所消防安全标准化建设。持续推进“敲门行动”“消防安全进万家”活动。开展“打通生命通道”消防安全专项治理，结合城市基础设施建设规划，优化现有停车资源管理使用，并加快机动车执法管理信息与智慧停车系统信息互通，全力解决消防车通道占堵问题。整治老旧场所及新材料、新业态等突出风险，结合老旧小区改造、城中村整治等工作加强消防隐患整改、消防基础设施建设并优化安全防范措施。将老旧场所消防风险治理列入实事工程、民生工程，督促火灾隐患整改。2022年，以街道为单位，老旧场所、批发市场基本落实火灾风险差异化防控措施。积极应对新能源汽车充电、居民小区电动自行车充电带来的新挑战，开展电动自行车消防安全综合治理，逐个社区、行政村、住宅区、城中村建设电动车集中充放点。</w:t>
      </w:r>
      <w:bookmarkStart w:id="129" w:name="_Toc30011"/>
      <w:bookmarkStart w:id="130" w:name="_Toc20339"/>
      <w:bookmarkStart w:id="131" w:name="_Toc7114"/>
      <w:bookmarkStart w:id="132" w:name="_Toc15801"/>
      <w:bookmarkStart w:id="133" w:name="_Toc5741"/>
      <w:bookmarkStart w:id="134" w:name="_Toc28268"/>
      <w:bookmarkStart w:id="135" w:name="_Toc4587"/>
      <w:r>
        <w:rPr>
          <w:rFonts w:hint="eastAsia" w:ascii="方正仿宋_GBK" w:hAnsi="方正仿宋_GBK" w:eastAsia="方正仿宋_GBK" w:cs="方正仿宋_GBK"/>
          <w:b w:val="0"/>
          <w:bCs w:val="0"/>
          <w:kern w:val="2"/>
          <w:sz w:val="32"/>
          <w:szCs w:val="32"/>
          <w:lang w:val="en-US" w:eastAsia="zh-CN" w:bidi="ar-SA"/>
        </w:rPr>
        <w:t>2023年，居民住宅区全部落实电动自行车集中管理要求措施。持续推动开展政府挂牌整治火灾高风险区域工作，分类施策、精准治理。综合运用行业督办、联合惩戒等手段，每年定期挂牌一批、公布一批、曝光一批、处理一批重大火灾隐患单位和重大火灾隐患重点地区。建立常态化火灾隐患排查整治机制，定期开展有规划、有重点的集中专项整治。</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（三）完善群防群控机制</w:t>
      </w:r>
      <w:bookmarkEnd w:id="129"/>
      <w:bookmarkEnd w:id="130"/>
      <w:bookmarkEnd w:id="131"/>
      <w:bookmarkEnd w:id="132"/>
      <w:bookmarkEnd w:id="133"/>
      <w:bookmarkEnd w:id="134"/>
      <w:bookmarkEnd w:id="135"/>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提升行业部门协同治理。建立完善行业系统消防安全管理规定，全面推行行业消防安全标准化管理。具有行业领域监管职能的部门，分别建立健全教育机构、养老机构、在建工地、宾馆酒店、民宿、医疗机构、商市场、大型商业综合体、危化品企业、工厂仓库、物流仓储、文博建筑等火灾防范重点场所联合监管机制，明确监管职责分工。</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加强基层网格管理。街道建立完善基层消防工作组织、消防工作机制，明确专（兼）职工作人员，建立落实制度、经费、人才、考核和科技等保障机制，强化末端消防管理。深度融合“综合网格”建设，规范基础网格划分，细化职责分工，健全任务分配、绩效考核、隐患整改等工作机制，充分发挥综治、公安派出所、综合执法队伍等作用，加强基层消防安全管理。推行全区消防大数据管理，建设消防物联网监控系统，加强基层消防管理信息化共建共治，与网格化管理平台融合。</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拓展社会专业力量。发展壮大注册消防工程师等社会消防专业人才队伍，规范消防技术服务机构发展，加大社会消防服务供给，提升消防技术服务质量。大型商业综合体等火灾高风险场所按规定聘用注册消防工程师参与消防安全管理，提升单位消防安全管理水平。引导和支持高等学校、行业协会等积极开展消防安全社会化服务工作。推进消防产品、电气产品等认证检验市场化改革，培育消防产品认证检验机构。深化行业协会（商会）消防安全自律管理组织建设，鼓励实施自我管理、自我检查、自我评价、自我整改，建立健全行业领域自律管理行规会规。</w:t>
      </w:r>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4.发动群众参与治理。提倡公民积极参与，围绕建设“人人有责、人人尽责、人人享有”的社会治理共同体，将消防工作融入基层自治、网格管理、联防联控等机制，充分发挥消防安全职业经理人、公益宣传大使、社区宣传大使、消防志愿者、保安等力量作用，筑牢社会火灾防控人民防线。建立适用于不同场所、不同人群的火灾风险隐患“自知、自查、自改”治理体系，指导各单位、不同人群开展火灾隐患自知、自查、自改。健全火灾隐患“吹哨人”、火灾隐患有奖举报等制度，动员全社会参与隐患整改、宣传培训、消防公益。</w:t>
      </w:r>
      <w:bookmarkStart w:id="136" w:name="_Toc5801"/>
      <w:bookmarkStart w:id="137" w:name="_Toc10667"/>
      <w:bookmarkStart w:id="138" w:name="_Toc32692"/>
      <w:bookmarkStart w:id="139" w:name="_Toc14093"/>
      <w:bookmarkStart w:id="140" w:name="_Toc8687"/>
      <w:bookmarkStart w:id="141" w:name="_Toc4472"/>
      <w:bookmarkStart w:id="142" w:name="_Toc8"/>
      <w:bookmarkStart w:id="143" w:name="_Toc10192"/>
      <w:bookmarkStart w:id="144" w:name="_Toc30"/>
      <w:bookmarkStart w:id="145" w:name="_Toc18671"/>
      <w:bookmarkStart w:id="146" w:name="_Toc3029"/>
      <w:bookmarkStart w:id="147" w:name="_Toc5129"/>
      <w:bookmarkStart w:id="148" w:name="_Toc3957"/>
      <w:bookmarkStart w:id="149" w:name="_Toc2489"/>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（四）改善农村地区消防安全条件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加强对村级工业园、小微企业等乡村新兴产业消防安全评估和管理，结合乡村振兴战略、“三旧”改造等工作，推进用火用电安全改造，降低火灾风险，持续开展城中村、小微工业企业消防安全综合治理。健全农村消防组织和消防队伍建设，完善农村消防基础设施建设，提升农村火灾防控能力。强化农村地区落实消防安全管理责任，推行包保责任制，持续开展农村地区消防安全隐患排查治理。推动有条件的农村建立小型消防救援站，推广组建农村志愿消防队，发动社会力量和广大群众共同参与火灾防控工作。增设消防设施，推动农村家庭特别是鳏寡孤独、老弱病残家庭安装火灾探测报警器等技防设施；依法将消防水源建设纳入乡村振兴战略和农村基础设施建设工程项目同步实施，依托农村自备井及供水管道，推进农村消防水源改造，建设消防水池、消火栓和简易取水点，在有条件的地方将周边农村与市政供水管网进行衔接，使用两路消防供水市政管网，推进城乡管网延伸合并；强化农家乐（民宿）消防安全管理，推动农村民宿配置消防设施器材，落实日常消防安全制度，严格明火管理，履行消防安全职责。</w:t>
      </w:r>
      <w:bookmarkStart w:id="150" w:name="_Toc30528"/>
      <w:bookmarkStart w:id="151" w:name="_Toc29535"/>
      <w:bookmarkStart w:id="152" w:name="_Toc27758"/>
      <w:bookmarkStart w:id="153" w:name="_Toc5125"/>
      <w:bookmarkStart w:id="154" w:name="_Toc17503"/>
      <w:bookmarkStart w:id="155" w:name="_Toc10179"/>
      <w:bookmarkStart w:id="156" w:name="_Toc81918604"/>
      <w:bookmarkStart w:id="157" w:name="_Toc27857"/>
      <w:bookmarkStart w:id="158" w:name="_Toc28530"/>
    </w:p>
    <w:p>
      <w:pPr>
        <w:keepNext w:val="0"/>
        <w:keepLines w:val="0"/>
        <w:pageBreakBefore w:val="0"/>
        <w:widowControl w:val="0"/>
        <w:pBdr>
          <w:top w:val="single" w:color="FFFFFF" w:sz="4" w:space="1"/>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第四节 健全和完善消防综合救援力量体系</w:t>
      </w:r>
      <w:bookmarkEnd w:id="150"/>
      <w:bookmarkEnd w:id="151"/>
      <w:bookmarkEnd w:id="152"/>
      <w:bookmarkEnd w:id="153"/>
      <w:bookmarkEnd w:id="154"/>
      <w:bookmarkEnd w:id="155"/>
      <w:bookmarkEnd w:id="156"/>
      <w:bookmarkEnd w:id="157"/>
      <w:bookmarkEnd w:id="158"/>
    </w:p>
    <w:p>
      <w:p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rPr>
      </w:pPr>
      <w:bookmarkStart w:id="159" w:name="_Toc11202"/>
      <w:bookmarkStart w:id="160" w:name="_Toc778"/>
      <w:bookmarkStart w:id="161" w:name="_Toc9942"/>
      <w:bookmarkStart w:id="162" w:name="_Toc12407"/>
      <w:bookmarkStart w:id="163" w:name="_Toc14952"/>
      <w:bookmarkStart w:id="164" w:name="_Toc4656"/>
      <w:bookmarkStart w:id="165" w:name="_Toc23032"/>
      <w:r>
        <w:rPr>
          <w:rFonts w:hint="eastAsia" w:ascii="方正楷体_GB2312" w:hAnsi="方正楷体_GB2312" w:eastAsia="方正楷体_GB2312" w:cs="方正楷体_GB2312"/>
          <w:b w:val="0"/>
          <w:bCs w:val="0"/>
          <w:sz w:val="32"/>
          <w:szCs w:val="32"/>
          <w:lang w:eastAsia="zh-CN"/>
        </w:rPr>
        <w:t>（一）</w:t>
      </w:r>
      <w:r>
        <w:rPr>
          <w:rFonts w:hint="eastAsia" w:ascii="方正楷体_GB2312" w:hAnsi="方正楷体_GB2312" w:eastAsia="方正楷体_GB2312" w:cs="方正楷体_GB2312"/>
          <w:b w:val="0"/>
          <w:bCs w:val="0"/>
          <w:sz w:val="32"/>
          <w:szCs w:val="32"/>
        </w:rPr>
        <w:t>夯实消防基础设施建设</w:t>
      </w:r>
      <w:bookmarkEnd w:id="159"/>
      <w:bookmarkEnd w:id="160"/>
      <w:bookmarkEnd w:id="161"/>
      <w:bookmarkEnd w:id="162"/>
      <w:bookmarkEnd w:id="163"/>
      <w:bookmarkEnd w:id="164"/>
      <w:bookmarkEnd w:id="165"/>
    </w:p>
    <w:p>
      <w:p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结合安全应急产业园等区重点项目、重大产业发展平台，科学谋划布局，同步规划智慧消防、消防救援站、消防水源等消防基础设施并纳入国土空间规划。  </w:t>
      </w:r>
    </w:p>
    <w:p>
      <w:p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加强消防供水建设。按照消防专项规划，结合城市道路改造修建市政消火栓、消防水池和取水点，满足消防用水需要，补齐欠账。工业园区消火栓与市政建设同步规划、同步建设。结合五邑路、金瓯路、胜利南路、连海路等主干道路建设和改造，配套完善市政消火栓。全区“十四五”期间新建市政消火栓470个，消防取水平台5个。将公共消防设施规划、建设、管理和维护经费纳入区级财政预算，确保市政消火栓完好率达98%以上。</w:t>
      </w:r>
    </w:p>
    <w:p>
      <w:p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加强消防车通道系统建设。结合城市路网建设，消除断头路、尽端路，城市道路、桥梁、隧道、渡口、地下管沟的设置应符合消防车通道宽度、间距、限高、承载力以及回车场地等方面的要求；建立完善弹性停车、错时开放、潮汐停车、共享停车等政策机制，规范老旧住宅小区等停车管理。</w:t>
      </w:r>
    </w:p>
    <w:p>
      <w:p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加强公共消防设施维护管理。将市政消防水源养护纳入智慧城管创新工程，落实消防水源建设、养护主体责任。同时，进一步加强我区传统风貌区、文物保护区等区域的消防基础设施改造和建设，确保补齐旧账、不欠新账，提升消防水源管护水平。</w:t>
      </w:r>
      <w:bookmarkStart w:id="166" w:name="_Toc10516"/>
      <w:bookmarkStart w:id="167" w:name="_Toc13027"/>
      <w:bookmarkStart w:id="168" w:name="_Toc29377"/>
      <w:bookmarkStart w:id="169" w:name="_Toc21498"/>
      <w:bookmarkStart w:id="170" w:name="_Toc25372"/>
      <w:bookmarkStart w:id="171" w:name="_Toc10817"/>
      <w:bookmarkStart w:id="172" w:name="_Toc19045"/>
    </w:p>
    <w:p>
      <w:p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rPr>
      </w:pPr>
      <w:r>
        <w:rPr>
          <w:rFonts w:hint="eastAsia" w:ascii="方正楷体_GB2312" w:hAnsi="方正楷体_GB2312" w:eastAsia="方正楷体_GB2312" w:cs="方正楷体_GB2312"/>
          <w:b w:val="0"/>
          <w:bCs w:val="0"/>
          <w:sz w:val="32"/>
          <w:szCs w:val="32"/>
          <w:lang w:eastAsia="zh-CN"/>
        </w:rPr>
        <w:t>（二）</w:t>
      </w:r>
      <w:r>
        <w:rPr>
          <w:rFonts w:hint="eastAsia" w:ascii="方正楷体_GB2312" w:hAnsi="方正楷体_GB2312" w:eastAsia="方正楷体_GB2312" w:cs="方正楷体_GB2312"/>
          <w:b w:val="0"/>
          <w:bCs w:val="0"/>
          <w:sz w:val="32"/>
          <w:szCs w:val="32"/>
          <w:lang w:val="en-US" w:eastAsia="zh-CN"/>
        </w:rPr>
        <w:t>强化</w:t>
      </w:r>
      <w:r>
        <w:rPr>
          <w:rFonts w:hint="eastAsia" w:ascii="方正楷体_GB2312" w:hAnsi="方正楷体_GB2312" w:eastAsia="方正楷体_GB2312" w:cs="方正楷体_GB2312"/>
          <w:b w:val="0"/>
          <w:bCs w:val="0"/>
          <w:sz w:val="32"/>
          <w:szCs w:val="32"/>
        </w:rPr>
        <w:t>城市消防救援站</w:t>
      </w:r>
      <w:bookmarkEnd w:id="166"/>
      <w:bookmarkEnd w:id="167"/>
      <w:bookmarkEnd w:id="168"/>
      <w:bookmarkEnd w:id="169"/>
      <w:bookmarkEnd w:id="170"/>
      <w:bookmarkEnd w:id="171"/>
      <w:bookmarkEnd w:id="172"/>
      <w:r>
        <w:rPr>
          <w:rFonts w:hint="eastAsia" w:ascii="方正楷体_GB2312" w:hAnsi="方正楷体_GB2312" w:eastAsia="方正楷体_GB2312" w:cs="方正楷体_GB2312"/>
          <w:b w:val="0"/>
          <w:bCs w:val="0"/>
          <w:sz w:val="32"/>
          <w:szCs w:val="32"/>
          <w:lang w:val="en-US" w:eastAsia="zh-CN"/>
        </w:rPr>
        <w:t>建设</w:t>
      </w:r>
    </w:p>
    <w:p>
      <w:p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default" w:ascii="方正仿宋_GBK" w:hAnsi="方正仿宋_GBK" w:eastAsia="方正仿宋_GBK" w:cs="方正仿宋_GBK"/>
          <w:b w:val="0"/>
          <w:bCs w:val="0"/>
          <w:color w:val="FF000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统筹规划建设消防救援站点，配套推进消防救援站建设。增加消防救援队站布点，缩短灭火和应急救援响应时间，消除城市消防救援站空白点，基本实现城市消防救援站“接到出动指令后5分钟内消防队可以到达辖区边缘”的要求。按照“特勤站60人、普通站36至45人”的标准建强城市消防救援站，国家队编制无法满足要求的站应采取“国家队员+专职队员”的混编模式补齐人员缺口。</w:t>
      </w:r>
      <w:bookmarkStart w:id="173" w:name="_Toc998"/>
      <w:bookmarkStart w:id="174" w:name="_Toc7509"/>
      <w:bookmarkStart w:id="175" w:name="_Toc25281"/>
      <w:bookmarkStart w:id="176" w:name="_Toc6132"/>
      <w:bookmarkStart w:id="177" w:name="_Toc27682"/>
      <w:bookmarkStart w:id="178" w:name="_Toc17484"/>
      <w:bookmarkStart w:id="179" w:name="_Toc20903"/>
      <w:r>
        <w:rPr>
          <w:rFonts w:hint="default" w:ascii="方正仿宋_GBK" w:hAnsi="方正仿宋_GBK" w:eastAsia="方正仿宋_GBK" w:cs="方正仿宋_GBK"/>
          <w:b w:val="0"/>
          <w:bCs w:val="0"/>
          <w:kern w:val="2"/>
          <w:sz w:val="32"/>
          <w:szCs w:val="32"/>
          <w:lang w:val="en-US" w:eastAsia="zh-CN" w:bidi="ar-SA"/>
        </w:rPr>
        <w:t>经实地调研和多方论证，在</w:t>
      </w:r>
      <w:r>
        <w:rPr>
          <w:rFonts w:hint="eastAsia" w:ascii="方正仿宋_GBK" w:hAnsi="方正仿宋_GBK" w:eastAsia="方正仿宋_GBK" w:cs="方正仿宋_GBK"/>
          <w:b w:val="0"/>
          <w:bCs w:val="0"/>
          <w:kern w:val="2"/>
          <w:sz w:val="32"/>
          <w:szCs w:val="32"/>
          <w:lang w:val="en-US" w:eastAsia="zh-CN" w:bidi="ar-SA"/>
        </w:rPr>
        <w:t>高新区17号地（江睦路与规划二路交界处东北侧、芯联电对面）</w:t>
      </w:r>
      <w:r>
        <w:rPr>
          <w:rFonts w:hint="default" w:ascii="方正仿宋_GBK" w:hAnsi="方正仿宋_GBK" w:eastAsia="方正仿宋_GBK" w:cs="方正仿宋_GBK"/>
          <w:b w:val="0"/>
          <w:bCs w:val="0"/>
          <w:kern w:val="2"/>
          <w:sz w:val="32"/>
          <w:szCs w:val="32"/>
          <w:lang w:val="en-US" w:eastAsia="zh-CN" w:bidi="ar-SA"/>
        </w:rPr>
        <w:t>新建</w:t>
      </w:r>
      <w:r>
        <w:rPr>
          <w:rFonts w:hint="eastAsia" w:ascii="方正仿宋_GBK" w:hAnsi="方正仿宋_GBK" w:eastAsia="方正仿宋_GBK" w:cs="方正仿宋_GBK"/>
          <w:b w:val="0"/>
          <w:bCs w:val="0"/>
          <w:kern w:val="2"/>
          <w:sz w:val="32"/>
          <w:szCs w:val="32"/>
          <w:lang w:val="en-US" w:eastAsia="zh-CN" w:bidi="ar-SA"/>
        </w:rPr>
        <w:t>产业园应急配套设施</w:t>
      </w:r>
      <w:r>
        <w:rPr>
          <w:rFonts w:hint="default" w:ascii="方正仿宋_GBK" w:hAnsi="方正仿宋_GBK" w:eastAsia="方正仿宋_GBK" w:cs="方正仿宋_GBK"/>
          <w:b w:val="0"/>
          <w:bCs w:val="0"/>
          <w:kern w:val="2"/>
          <w:sz w:val="32"/>
          <w:szCs w:val="32"/>
          <w:lang w:val="en-US" w:eastAsia="zh-CN" w:bidi="ar-SA"/>
        </w:rPr>
        <w:t>（一级城市消防站），纳入江海区2023年政府投资建设目录。</w:t>
      </w:r>
      <w:r>
        <w:rPr>
          <w:rFonts w:hint="eastAsia" w:ascii="方正仿宋_GBK" w:hAnsi="方正仿宋_GBK" w:eastAsia="方正仿宋_GBK" w:cs="方正仿宋_GBK"/>
          <w:b w:val="0"/>
          <w:bCs w:val="0"/>
          <w:kern w:val="2"/>
          <w:sz w:val="32"/>
          <w:szCs w:val="32"/>
          <w:lang w:val="en-US" w:eastAsia="zh-CN" w:bidi="ar-SA"/>
        </w:rPr>
        <w:t>计划</w:t>
      </w:r>
      <w:r>
        <w:rPr>
          <w:rFonts w:hint="default" w:ascii="方正仿宋_GBK" w:hAnsi="方正仿宋_GBK" w:eastAsia="方正仿宋_GBK" w:cs="方正仿宋_GBK"/>
          <w:b w:val="0"/>
          <w:bCs w:val="0"/>
          <w:kern w:val="2"/>
          <w:sz w:val="32"/>
          <w:szCs w:val="32"/>
          <w:lang w:val="en-US" w:eastAsia="zh-CN" w:bidi="ar-SA"/>
        </w:rPr>
        <w:t>2023年上半年完成编制可行性研究报告和工程立项，2023年下半年进场施工，2024年</w:t>
      </w:r>
      <w:r>
        <w:rPr>
          <w:rFonts w:hint="eastAsia" w:ascii="方正仿宋_GBK" w:hAnsi="方正仿宋_GBK" w:eastAsia="方正仿宋_GBK" w:cs="方正仿宋_GBK"/>
          <w:b w:val="0"/>
          <w:bCs w:val="0"/>
          <w:kern w:val="2"/>
          <w:sz w:val="32"/>
          <w:szCs w:val="32"/>
          <w:lang w:val="en-US" w:eastAsia="zh-CN" w:bidi="ar-SA"/>
        </w:rPr>
        <w:t>下</w:t>
      </w:r>
      <w:r>
        <w:rPr>
          <w:rFonts w:hint="default" w:ascii="方正仿宋_GBK" w:hAnsi="方正仿宋_GBK" w:eastAsia="方正仿宋_GBK" w:cs="方正仿宋_GBK"/>
          <w:b w:val="0"/>
          <w:bCs w:val="0"/>
          <w:kern w:val="2"/>
          <w:sz w:val="32"/>
          <w:szCs w:val="32"/>
          <w:lang w:val="en-US" w:eastAsia="zh-CN" w:bidi="ar-SA"/>
        </w:rPr>
        <w:t>半年通过验收并投入使用。</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rPr>
      </w:pPr>
      <w:r>
        <w:rPr>
          <w:rFonts w:hint="eastAsia" w:ascii="方正楷体_GB2312" w:hAnsi="方正楷体_GB2312" w:eastAsia="方正楷体_GB2312" w:cs="方正楷体_GB2312"/>
          <w:b w:val="0"/>
          <w:bCs w:val="0"/>
          <w:sz w:val="32"/>
          <w:szCs w:val="32"/>
          <w:lang w:eastAsia="zh-CN"/>
        </w:rPr>
        <w:t>（三）</w:t>
      </w:r>
      <w:r>
        <w:rPr>
          <w:rFonts w:hint="eastAsia" w:ascii="方正楷体_GB2312" w:hAnsi="方正楷体_GB2312" w:eastAsia="方正楷体_GB2312" w:cs="方正楷体_GB2312"/>
          <w:b w:val="0"/>
          <w:bCs w:val="0"/>
          <w:sz w:val="32"/>
          <w:szCs w:val="32"/>
        </w:rPr>
        <w:t>提升专职消防队</w:t>
      </w:r>
      <w:bookmarkEnd w:id="173"/>
      <w:bookmarkEnd w:id="174"/>
      <w:bookmarkEnd w:id="175"/>
      <w:bookmarkEnd w:id="176"/>
      <w:bookmarkEnd w:id="177"/>
      <w:bookmarkEnd w:id="178"/>
      <w:bookmarkEnd w:id="179"/>
      <w:bookmarkStart w:id="180" w:name="_Toc42270690"/>
      <w:r>
        <w:rPr>
          <w:rFonts w:hint="eastAsia" w:ascii="方正楷体_GB2312" w:hAnsi="方正楷体_GB2312" w:eastAsia="方正楷体_GB2312" w:cs="方正楷体_GB2312"/>
          <w:b w:val="0"/>
          <w:bCs w:val="0"/>
          <w:sz w:val="32"/>
          <w:szCs w:val="32"/>
        </w:rPr>
        <w:t>建设水平</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zh-CN" w:eastAsia="zh-CN" w:bidi="ar-SA"/>
        </w:rPr>
      </w:pPr>
      <w:r>
        <w:rPr>
          <w:rFonts w:hint="eastAsia" w:ascii="方正仿宋_GBK" w:hAnsi="方正仿宋_GBK" w:eastAsia="方正仿宋_GBK" w:cs="方正仿宋_GBK"/>
          <w:b w:val="0"/>
          <w:bCs w:val="0"/>
          <w:kern w:val="2"/>
          <w:sz w:val="32"/>
          <w:szCs w:val="32"/>
          <w:lang w:val="zh-CN" w:eastAsia="zh-CN" w:bidi="ar-SA"/>
        </w:rPr>
        <w:t>按照“反应灵敏”的要求，结合乡村振兴建设工作，建好</w:t>
      </w:r>
      <w:r>
        <w:rPr>
          <w:rFonts w:hint="eastAsia" w:ascii="方正仿宋_GBK" w:hAnsi="方正仿宋_GBK" w:eastAsia="方正仿宋_GBK" w:cs="方正仿宋_GBK"/>
          <w:b w:val="0"/>
          <w:bCs w:val="0"/>
          <w:kern w:val="2"/>
          <w:sz w:val="32"/>
          <w:szCs w:val="32"/>
          <w:lang w:val="en-US" w:eastAsia="zh-CN" w:bidi="ar-SA"/>
        </w:rPr>
        <w:t>街道政府</w:t>
      </w:r>
      <w:r>
        <w:rPr>
          <w:rFonts w:hint="eastAsia" w:ascii="方正仿宋_GBK" w:hAnsi="方正仿宋_GBK" w:eastAsia="方正仿宋_GBK" w:cs="方正仿宋_GBK"/>
          <w:b w:val="0"/>
          <w:bCs w:val="0"/>
          <w:kern w:val="2"/>
          <w:sz w:val="32"/>
          <w:szCs w:val="32"/>
          <w:lang w:val="zh-CN" w:eastAsia="zh-CN" w:bidi="ar-SA"/>
        </w:rPr>
        <w:t>专职消防队，建立“小事故</w:t>
      </w:r>
      <w:r>
        <w:rPr>
          <w:rFonts w:hint="eastAsia" w:ascii="方正仿宋_GBK" w:hAnsi="方正仿宋_GBK" w:eastAsia="方正仿宋_GBK" w:cs="方正仿宋_GBK"/>
          <w:b w:val="0"/>
          <w:bCs w:val="0"/>
          <w:kern w:val="2"/>
          <w:sz w:val="32"/>
          <w:szCs w:val="32"/>
          <w:lang w:val="en-US" w:eastAsia="zh-CN" w:bidi="ar-SA"/>
        </w:rPr>
        <w:t>街道</w:t>
      </w:r>
      <w:r>
        <w:rPr>
          <w:rFonts w:hint="eastAsia" w:ascii="方正仿宋_GBK" w:hAnsi="方正仿宋_GBK" w:eastAsia="方正仿宋_GBK" w:cs="方正仿宋_GBK"/>
          <w:b w:val="0"/>
          <w:bCs w:val="0"/>
          <w:kern w:val="2"/>
          <w:sz w:val="32"/>
          <w:szCs w:val="32"/>
          <w:lang w:val="zh-CN" w:eastAsia="zh-CN" w:bidi="ar-SA"/>
        </w:rPr>
        <w:t>队及时处置，大事故城市队合力攻坚”的力量体系。“十四五”期间，全</w:t>
      </w:r>
      <w:r>
        <w:rPr>
          <w:rFonts w:hint="eastAsia" w:ascii="方正仿宋_GBK" w:hAnsi="方正仿宋_GBK" w:eastAsia="方正仿宋_GBK" w:cs="方正仿宋_GBK"/>
          <w:b w:val="0"/>
          <w:bCs w:val="0"/>
          <w:kern w:val="2"/>
          <w:sz w:val="32"/>
          <w:szCs w:val="32"/>
          <w:lang w:val="en-US" w:eastAsia="zh-CN" w:bidi="ar-SA"/>
        </w:rPr>
        <w:t>区新增</w:t>
      </w:r>
      <w:r>
        <w:rPr>
          <w:rFonts w:hint="eastAsia" w:ascii="方正仿宋_GBK" w:hAnsi="方正仿宋_GBK" w:eastAsia="方正仿宋_GBK" w:cs="方正仿宋_GBK"/>
          <w:b w:val="0"/>
          <w:bCs w:val="0"/>
          <w:kern w:val="2"/>
          <w:sz w:val="32"/>
          <w:szCs w:val="32"/>
          <w:lang w:val="zh-CN" w:eastAsia="zh-CN" w:bidi="ar-SA"/>
        </w:rPr>
        <w:t>街道政府专职消防队</w:t>
      </w:r>
      <w:r>
        <w:rPr>
          <w:rFonts w:hint="eastAsia" w:ascii="方正仿宋_GBK" w:hAnsi="方正仿宋_GBK" w:eastAsia="方正仿宋_GBK" w:cs="方正仿宋_GBK"/>
          <w:b w:val="0"/>
          <w:bCs w:val="0"/>
          <w:kern w:val="2"/>
          <w:sz w:val="32"/>
          <w:szCs w:val="32"/>
          <w:lang w:val="en-US" w:eastAsia="zh-CN" w:bidi="ar-SA"/>
        </w:rPr>
        <w:t>1</w:t>
      </w:r>
      <w:r>
        <w:rPr>
          <w:rFonts w:hint="eastAsia" w:ascii="方正仿宋_GBK" w:hAnsi="方正仿宋_GBK" w:eastAsia="方正仿宋_GBK" w:cs="方正仿宋_GBK"/>
          <w:b w:val="0"/>
          <w:bCs w:val="0"/>
          <w:kern w:val="2"/>
          <w:sz w:val="32"/>
          <w:szCs w:val="32"/>
          <w:lang w:val="zh-CN" w:eastAsia="zh-CN" w:bidi="ar-SA"/>
        </w:rPr>
        <w:t>个，完善街道政府专职消防队</w:t>
      </w:r>
      <w:r>
        <w:rPr>
          <w:rFonts w:hint="eastAsia" w:ascii="方正仿宋_GBK" w:hAnsi="方正仿宋_GBK" w:eastAsia="方正仿宋_GBK" w:cs="方正仿宋_GBK"/>
          <w:b w:val="0"/>
          <w:bCs w:val="0"/>
          <w:kern w:val="2"/>
          <w:sz w:val="32"/>
          <w:szCs w:val="32"/>
          <w:lang w:val="en-US" w:eastAsia="zh-CN" w:bidi="ar-SA"/>
        </w:rPr>
        <w:t>3</w:t>
      </w:r>
      <w:r>
        <w:rPr>
          <w:rFonts w:hint="eastAsia" w:ascii="方正仿宋_GBK" w:hAnsi="方正仿宋_GBK" w:eastAsia="方正仿宋_GBK" w:cs="方正仿宋_GBK"/>
          <w:b w:val="0"/>
          <w:bCs w:val="0"/>
          <w:kern w:val="2"/>
          <w:sz w:val="32"/>
          <w:szCs w:val="32"/>
          <w:lang w:val="zh-CN" w:eastAsia="zh-CN" w:bidi="ar-SA"/>
        </w:rPr>
        <w:t>个。2025年底前，所有</w:t>
      </w:r>
      <w:r>
        <w:rPr>
          <w:rFonts w:hint="eastAsia" w:ascii="方正仿宋_GBK" w:hAnsi="方正仿宋_GBK" w:eastAsia="方正仿宋_GBK" w:cs="方正仿宋_GBK"/>
          <w:b w:val="0"/>
          <w:bCs w:val="0"/>
          <w:kern w:val="2"/>
          <w:sz w:val="32"/>
          <w:szCs w:val="32"/>
          <w:lang w:val="en-US" w:eastAsia="zh-CN" w:bidi="ar-SA"/>
        </w:rPr>
        <w:t>街道政府</w:t>
      </w:r>
      <w:r>
        <w:rPr>
          <w:rFonts w:hint="eastAsia" w:ascii="方正仿宋_GBK" w:hAnsi="方正仿宋_GBK" w:eastAsia="方正仿宋_GBK" w:cs="方正仿宋_GBK"/>
          <w:b w:val="0"/>
          <w:bCs w:val="0"/>
          <w:kern w:val="2"/>
          <w:sz w:val="32"/>
          <w:szCs w:val="32"/>
          <w:lang w:val="zh-CN" w:eastAsia="zh-CN" w:bidi="ar-SA"/>
        </w:rPr>
        <w:t>专职消防队的营房、装备、人员、经费等达到建队标准。</w:t>
      </w:r>
      <w:r>
        <w:rPr>
          <w:rFonts w:hint="eastAsia" w:ascii="方正仿宋_GBK" w:hAnsi="方正仿宋_GBK" w:eastAsia="方正仿宋_GBK" w:cs="方正仿宋_GBK"/>
          <w:b w:val="0"/>
          <w:bCs w:val="0"/>
          <w:kern w:val="2"/>
          <w:sz w:val="32"/>
          <w:szCs w:val="32"/>
          <w:lang w:val="en-US" w:eastAsia="zh-CN" w:bidi="ar-SA"/>
        </w:rPr>
        <w:t>根据消防队伍体制改革，建立健全街道政府专职消防队伍经费保障机制，使其收入与其所从事的高风险性职业相匹配。为保证街道政府专职消防队伍的稳定性和战斗力，街道政府专职消防队专职消防员由区统一招聘、统一培训、统一调度，各项经费由同级财政在消防经费中统筹安排，由区消防救援大队统一管理</w:t>
      </w:r>
      <w:r>
        <w:rPr>
          <w:rFonts w:hint="eastAsia" w:ascii="方正仿宋_GBK" w:hAnsi="方正仿宋_GBK" w:eastAsia="方正仿宋_GBK" w:cs="方正仿宋_GBK"/>
          <w:b w:val="0"/>
          <w:bCs w:val="0"/>
          <w:kern w:val="2"/>
          <w:sz w:val="32"/>
          <w:szCs w:val="32"/>
          <w:lang w:val="zh-CN" w:eastAsia="zh-CN" w:bidi="ar-SA"/>
        </w:rPr>
        <w:t>。</w:t>
      </w:r>
      <w:bookmarkStart w:id="181" w:name="_Toc19042"/>
      <w:bookmarkStart w:id="182" w:name="_Toc14535"/>
      <w:bookmarkStart w:id="183" w:name="_Toc29109"/>
      <w:bookmarkStart w:id="184" w:name="_Toc24050"/>
      <w:bookmarkStart w:id="185" w:name="_Toc20538"/>
      <w:bookmarkStart w:id="186" w:name="_Toc20107"/>
      <w:bookmarkStart w:id="187" w:name="_Toc9878"/>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rPr>
      </w:pPr>
      <w:r>
        <w:rPr>
          <w:rFonts w:hint="eastAsia" w:ascii="方正楷体_GB2312" w:hAnsi="方正楷体_GB2312" w:eastAsia="方正楷体_GB2312" w:cs="方正楷体_GB2312"/>
          <w:b w:val="0"/>
          <w:bCs w:val="0"/>
          <w:sz w:val="32"/>
          <w:szCs w:val="32"/>
          <w:lang w:val="en-US" w:eastAsia="zh-CN"/>
        </w:rPr>
        <w:t>（四）强化</w:t>
      </w:r>
      <w:r>
        <w:rPr>
          <w:rFonts w:hint="eastAsia" w:ascii="方正楷体_GB2312" w:hAnsi="方正楷体_GB2312" w:eastAsia="方正楷体_GB2312" w:cs="方正楷体_GB2312"/>
          <w:b w:val="0"/>
          <w:bCs w:val="0"/>
          <w:sz w:val="32"/>
          <w:szCs w:val="32"/>
        </w:rPr>
        <w:t>消防救援专业队</w:t>
      </w:r>
      <w:bookmarkEnd w:id="180"/>
      <w:bookmarkEnd w:id="181"/>
      <w:bookmarkEnd w:id="182"/>
      <w:bookmarkEnd w:id="183"/>
      <w:bookmarkEnd w:id="184"/>
      <w:bookmarkEnd w:id="185"/>
      <w:bookmarkEnd w:id="186"/>
      <w:bookmarkEnd w:id="187"/>
      <w:bookmarkStart w:id="188" w:name="_Toc29117"/>
      <w:r>
        <w:rPr>
          <w:rFonts w:hint="eastAsia" w:ascii="方正楷体_GB2312" w:hAnsi="方正楷体_GB2312" w:eastAsia="方正楷体_GB2312" w:cs="方正楷体_GB2312"/>
          <w:b w:val="0"/>
          <w:bCs w:val="0"/>
          <w:sz w:val="32"/>
          <w:szCs w:val="32"/>
          <w:lang w:val="en-US" w:eastAsia="zh-CN"/>
        </w:rPr>
        <w:t>建设</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落实《贯彻落实〈广东省自然灾害防治能力建设行动方案〉的分工方案》相关要求。按照《消防训练基地建设标准》（建标 190-2018），完成消防救援训练基地建设，配齐模拟训练设施，聘请懂组训、懂施训的初、中、高级教员，引进效能评估机制，对消防救援队伍技术、战术、实战化训练等效能进行评估。强化消防救援专业队建设工作，按标准配齐相关装备器材，实现实体化、模块化运行，不断提升队伍专业化救援水平。“十四五”期间，针对我区灾害事故特点和实际，</w:t>
      </w:r>
      <w:bookmarkEnd w:id="188"/>
      <w:bookmarkStart w:id="189" w:name="_Toc26373"/>
      <w:bookmarkStart w:id="190" w:name="_Toc21305"/>
      <w:r>
        <w:rPr>
          <w:rFonts w:hint="eastAsia" w:ascii="方正仿宋_GBK" w:hAnsi="方正仿宋_GBK" w:eastAsia="方正仿宋_GBK" w:cs="方正仿宋_GBK"/>
          <w:b w:val="0"/>
          <w:bCs w:val="0"/>
          <w:kern w:val="2"/>
          <w:sz w:val="32"/>
          <w:szCs w:val="32"/>
          <w:lang w:val="en-US" w:eastAsia="zh-CN" w:bidi="ar-SA"/>
        </w:rPr>
        <w:t>重点推进建设高层建筑、大型商业综合体、地下空间灭火救援和水域、高空（山岳）救援专业队建设。</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rPr>
      </w:pPr>
      <w:r>
        <w:rPr>
          <w:rFonts w:hint="eastAsia" w:ascii="方正楷体_GB2312" w:hAnsi="方正楷体_GB2312" w:eastAsia="方正楷体_GB2312" w:cs="方正楷体_GB2312"/>
          <w:b w:val="0"/>
          <w:bCs w:val="0"/>
          <w:sz w:val="32"/>
          <w:szCs w:val="32"/>
          <w:lang w:eastAsia="zh-CN"/>
        </w:rPr>
        <w:t>（五）</w:t>
      </w:r>
      <w:r>
        <w:rPr>
          <w:rFonts w:hint="eastAsia" w:ascii="方正楷体_GB2312" w:hAnsi="方正楷体_GB2312" w:eastAsia="方正楷体_GB2312" w:cs="方正楷体_GB2312"/>
          <w:b w:val="0"/>
          <w:bCs w:val="0"/>
          <w:sz w:val="32"/>
          <w:szCs w:val="32"/>
        </w:rPr>
        <w:t>发展社会消防救援力量</w:t>
      </w:r>
      <w:bookmarkEnd w:id="189"/>
      <w:bookmarkEnd w:id="190"/>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鼓励发展社会志愿救援力量，大力发展消防志愿组织。通过政府补偿、购买服务、以奖代补、分级分类培训等方式，扶持社会消防救援队伍建设，对参与救援行动发生实际损耗给予补偿。建立健全社会救援力量法规标准，完善社会消防救援队伍登记备案、考核评估、联勤联训制度。规范社会志愿救援队伍保障机制，完善社会救援队伍及人员参与社会服务的补偿机制及受伤补偿机制，推动社会救援队伍荣誉体系建设。强化综合性消防救援队伍与社会救援组织的联勤联训机制，扶持一批重点社会救援组织，提升社会救援力量专业化程度，形成国家救援队伍和社会救援队伍良性互动、共同发展的格局。行政村根据实际需要建设微型消防站，有条件的可建设小型消防救援站。村级工业园区至少应当建设小型消防救援站。到2025年，达标建成微型消防站142个。</w:t>
      </w:r>
      <w:bookmarkStart w:id="191" w:name="_Toc3659"/>
      <w:bookmarkStart w:id="192" w:name="_Toc8949"/>
      <w:bookmarkStart w:id="193" w:name="_Toc26294"/>
      <w:bookmarkStart w:id="194" w:name="_Toc17714"/>
      <w:bookmarkStart w:id="195" w:name="_Toc3071"/>
      <w:bookmarkStart w:id="196" w:name="_Toc4264"/>
      <w:bookmarkStart w:id="197" w:name="_Toc32365"/>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rPr>
      </w:pPr>
      <w:r>
        <w:rPr>
          <w:rFonts w:hint="eastAsia" w:ascii="方正楷体_GB2312" w:hAnsi="方正楷体_GB2312" w:eastAsia="方正楷体_GB2312" w:cs="方正楷体_GB2312"/>
          <w:b w:val="0"/>
          <w:bCs w:val="0"/>
          <w:sz w:val="32"/>
          <w:szCs w:val="32"/>
          <w:lang w:val="en-US" w:eastAsia="zh-CN"/>
        </w:rPr>
        <w:t>（六）强化</w:t>
      </w:r>
      <w:r>
        <w:rPr>
          <w:rFonts w:hint="eastAsia" w:ascii="方正楷体_GB2312" w:hAnsi="方正楷体_GB2312" w:eastAsia="方正楷体_GB2312" w:cs="方正楷体_GB2312"/>
          <w:b w:val="0"/>
          <w:bCs w:val="0"/>
          <w:sz w:val="32"/>
          <w:szCs w:val="32"/>
        </w:rPr>
        <w:t>消防车辆装备配备</w:t>
      </w:r>
      <w:bookmarkEnd w:id="191"/>
      <w:bookmarkEnd w:id="192"/>
      <w:bookmarkEnd w:id="193"/>
      <w:bookmarkEnd w:id="194"/>
      <w:bookmarkEnd w:id="195"/>
      <w:bookmarkEnd w:id="196"/>
      <w:bookmarkEnd w:id="197"/>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十四五”期间，按照《城市消防站建设标准（2017）》和专业队建设等相关要求，消防站执勤车辆达到《城市消防站建设标准》及省消防救援总队“3+2”配备要求，消防指战员23项基本防护装备、30项特种防护装备100%达标。</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补齐消防车辆和通信设备配备。结合辖区灾害特点，主要配备大功率水罐、高层供水、举高强力破拆、压缩空气泡沫和举高类等消防车型。要加快消防车辆的升级换代，消防站主战车辆应逐步更新为比功率12以上、水泵流量大于80L/S的多功能城市主战消防车，其他新购消防车比功率要达到10以上。2022年所有图传设备升级为5G，消防救援站配备一辆通信先导车，两台天通卫星电话、1套车载4G终端，1套轻型卫星便携站，按照每站3人的标准配齐专业通信人才。</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配强专业化装备。根据特殊场所和区域灭火救援任务专业化处置要求，配备相应装备器材。针对地质灾害救援，加强生命探测仪，边坡监测雷达、液压破拆工具组、变形重构废墟搜索机器人、灾害狭窄废墟生命搜索无人装备、气动起重气垫、支撑保护套具、稳固保护附件、救援支架、便携式提升装置、72小时自我保障携行物资，提升复杂条件下精准探测、复合材料切割破拆、不同空间内安全支护等能力。针对水域和洪涝灾害救援，重点配备专业防护、搜索测绘、水面救援、水下破拆、水下通信、舟艇运输、排涝抢险、复杂水域无人应急救援等装备，提高水域和洪涝灾害救援应急救援能力。针对山岳救援，重点配备专业防护、搜索定位、远距通信、绳索救援、人员转运、救援飞行器等装备，提升复杂山地环境下作业、全地形救援、不中断通信、全系统安全防护能力。针对高空远程侦查任务，配备耐候性强、适应性广的先进无人飞行器。针对重要特殊建筑集中区域，配备压缩空气泡沫消防车、多剂联用举高喷射消防车等灭火效率高且需水量少的消防车。针对高层建筑多、密集度高的老城区及城中村，配备小型消防车、具有灭火救援功能的短轴距云梯消防车。</w:t>
      </w:r>
      <w:bookmarkStart w:id="198" w:name="_Toc81918605"/>
      <w:bookmarkStart w:id="199" w:name="_Toc1180"/>
      <w:bookmarkStart w:id="200" w:name="_Toc42270691"/>
      <w:bookmarkStart w:id="201" w:name="_Toc10965"/>
      <w:bookmarkStart w:id="202" w:name="_Toc17258"/>
      <w:bookmarkStart w:id="203" w:name="_Toc32541"/>
      <w:bookmarkStart w:id="204" w:name="_Toc27469"/>
      <w:bookmarkStart w:id="205" w:name="_Toc12555"/>
      <w:bookmarkStart w:id="206" w:name="_Toc27691"/>
      <w:bookmarkStart w:id="207" w:name="_Toc32090"/>
    </w:p>
    <w:p>
      <w:pPr>
        <w:pBdr>
          <w:top w:val="single" w:color="FFFFFF" w:sz="4" w:space="1"/>
          <w:left w:val="single" w:color="FFFFFF" w:sz="4" w:space="0"/>
          <w:bottom w:val="single" w:color="FFFFFF" w:sz="4" w:space="31"/>
          <w:right w:val="single" w:color="FFFFFF" w:sz="4" w:space="0"/>
        </w:pBdr>
        <w:adjustRightInd w:val="0"/>
        <w:snapToGrid w:val="0"/>
        <w:spacing w:line="594" w:lineRule="exact"/>
        <w:rPr>
          <w:rFonts w:hint="eastAsia" w:ascii="楷体" w:hAnsi="楷体" w:eastAsia="楷体" w:cs="楷体"/>
          <w:sz w:val="32"/>
          <w:szCs w:val="32"/>
          <w:lang w:val="en-US" w:eastAsia="zh-CN"/>
        </w:rPr>
      </w:pPr>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第五节 健全和完善消防治理和应急救援保障体系</w:t>
      </w:r>
      <w:bookmarkEnd w:id="198"/>
      <w:bookmarkEnd w:id="199"/>
      <w:bookmarkEnd w:id="200"/>
      <w:bookmarkEnd w:id="201"/>
      <w:bookmarkEnd w:id="202"/>
      <w:bookmarkEnd w:id="203"/>
      <w:bookmarkEnd w:id="204"/>
      <w:bookmarkEnd w:id="205"/>
      <w:bookmarkEnd w:id="206"/>
      <w:bookmarkEnd w:id="207"/>
      <w:bookmarkStart w:id="208" w:name="_Toc31573"/>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lang w:eastAsia="zh-CN"/>
        </w:rPr>
      </w:pPr>
      <w:r>
        <w:rPr>
          <w:rFonts w:hint="eastAsia" w:ascii="方正楷体_GB2312" w:hAnsi="方正楷体_GB2312" w:eastAsia="方正楷体_GB2312" w:cs="方正楷体_GB2312"/>
          <w:b w:val="0"/>
          <w:bCs w:val="0"/>
          <w:sz w:val="32"/>
          <w:szCs w:val="32"/>
          <w:lang w:eastAsia="zh-CN"/>
        </w:rPr>
        <w:t>（一）</w:t>
      </w:r>
      <w:r>
        <w:rPr>
          <w:rFonts w:hint="eastAsia" w:ascii="方正楷体_GB2312" w:hAnsi="方正楷体_GB2312" w:eastAsia="方正楷体_GB2312" w:cs="方正楷体_GB2312"/>
          <w:b w:val="0"/>
          <w:bCs w:val="0"/>
          <w:sz w:val="32"/>
          <w:szCs w:val="32"/>
        </w:rPr>
        <w:t>提升指挥调度</w:t>
      </w:r>
      <w:bookmarkEnd w:id="208"/>
      <w:r>
        <w:rPr>
          <w:rFonts w:hint="eastAsia" w:ascii="方正楷体_GB2312" w:hAnsi="方正楷体_GB2312" w:eastAsia="方正楷体_GB2312" w:cs="方正楷体_GB2312"/>
          <w:b w:val="0"/>
          <w:bCs w:val="0"/>
          <w:sz w:val="32"/>
          <w:szCs w:val="32"/>
        </w:rPr>
        <w:t>水平</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建立应急救援联动机制。建立由政府统一领导的社会应急联动机制，规范灾害事故应急处置的组织指挥工作，并依托公安、应急通信指挥系统，建立完善政府综合应急救援指挥平台，实现与供水、供电、燃气、交通、环保、气象和医疗卫生等部门联勤联动。探索一级消防救援站与120院前急救站合并建设模式。</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建立应急救援会商协作机制。建立政府领导牵头，公安、应急、财政、住建、卫生、交通等部门领导参加的应急救援工作会商机制，定期召开联席会议，研判灾害事故的形势，通报工作进展和各部门职责落实情况，研究部署加强应急救援工作的任务和措施，建立救援力量协作机制。</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3.建立统一调度机制。探索消防救援大队指挥中心调度指 挥模式，规范专职、志愿消防队伍和社会应急力量等多种形式救援力量调度，全面加强消防救援队伍区域指挥调度和协作联动机制。采用“城市站+乡镇站”的执勤模式，形成“一点着火、多点响应、互救互助、联动作战”的良好局面，实现街道政府专职消防队、微型消防站等消防救援力量纳入119指挥中心统一调度。</w:t>
      </w:r>
      <w:bookmarkStart w:id="209" w:name="_Toc29065"/>
      <w:bookmarkStart w:id="210" w:name="_Toc1429"/>
      <w:bookmarkStart w:id="211" w:name="_Toc23520"/>
      <w:bookmarkStart w:id="212" w:name="_Toc9073"/>
      <w:bookmarkStart w:id="213" w:name="_Toc14423"/>
      <w:bookmarkStart w:id="214" w:name="_Toc3074"/>
      <w:bookmarkStart w:id="215" w:name="_Toc28423"/>
      <w:r>
        <w:rPr>
          <w:rFonts w:hint="eastAsia" w:ascii="方正仿宋_GBK" w:hAnsi="方正仿宋_GBK" w:eastAsia="方正仿宋_GBK" w:cs="方正仿宋_GBK"/>
          <w:b w:val="0"/>
          <w:bCs w:val="0"/>
          <w:kern w:val="2"/>
          <w:sz w:val="32"/>
          <w:szCs w:val="32"/>
          <w:lang w:val="en-US" w:eastAsia="zh-CN" w:bidi="ar-SA"/>
        </w:rPr>
        <w:t>各级应急救援队伍结合辖区灾害事故特点和规律，制定应急救援预案并录入应急救援指挥平台，实现“一键式”指挥调度。</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rPr>
      </w:pPr>
      <w:r>
        <w:rPr>
          <w:rFonts w:hint="eastAsia" w:ascii="方正楷体_GB2312" w:hAnsi="方正楷体_GB2312" w:eastAsia="方正楷体_GB2312" w:cs="方正楷体_GB2312"/>
          <w:b w:val="0"/>
          <w:bCs w:val="0"/>
          <w:sz w:val="32"/>
          <w:szCs w:val="32"/>
          <w:lang w:val="en-US" w:eastAsia="zh-CN"/>
        </w:rPr>
        <w:t>（二）</w:t>
      </w:r>
      <w:r>
        <w:rPr>
          <w:rFonts w:hint="eastAsia" w:ascii="方正楷体_GB2312" w:hAnsi="方正楷体_GB2312" w:eastAsia="方正楷体_GB2312" w:cs="方正楷体_GB2312"/>
          <w:b w:val="0"/>
          <w:bCs w:val="0"/>
          <w:sz w:val="32"/>
          <w:szCs w:val="32"/>
        </w:rPr>
        <w:t>夯实战勤联动</w:t>
      </w:r>
      <w:bookmarkEnd w:id="209"/>
      <w:bookmarkEnd w:id="210"/>
      <w:bookmarkEnd w:id="211"/>
      <w:bookmarkEnd w:id="212"/>
      <w:bookmarkEnd w:id="213"/>
      <w:bookmarkEnd w:id="214"/>
      <w:bookmarkEnd w:id="215"/>
      <w:r>
        <w:rPr>
          <w:rFonts w:hint="eastAsia" w:ascii="方正楷体_GB2312" w:hAnsi="方正楷体_GB2312" w:eastAsia="方正楷体_GB2312" w:cs="方正楷体_GB2312"/>
          <w:b w:val="0"/>
          <w:bCs w:val="0"/>
          <w:sz w:val="32"/>
          <w:szCs w:val="32"/>
        </w:rPr>
        <w:t>基础</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强化应急装备物资储备，采取多元化方式拓宽保障渠道，加强物资储备，提高保障能力；建立应急救援联动机制，建立由政府统一领导的社会应急联动机制，规范灾害事故应急处置的组织指挥工作，并依托应急部门、消防救援机构通信指挥系统，建立完善政府综合应急救援指挥平台，实现与供水、供电、供气、通信、医疗救护、交通运输、民政、环保、气象等部门、相关专业力量以及公安机关的互联互通、信息共享、响应迅速、联动高效。</w:t>
      </w:r>
      <w:bookmarkStart w:id="216" w:name="_Toc3663"/>
      <w:bookmarkStart w:id="217" w:name="_Toc1438"/>
      <w:bookmarkStart w:id="218" w:name="_Toc9852"/>
      <w:bookmarkStart w:id="219" w:name="_Toc4673"/>
      <w:bookmarkStart w:id="220" w:name="_Toc20130"/>
      <w:bookmarkStart w:id="221" w:name="_Toc1561"/>
      <w:bookmarkStart w:id="222" w:name="_Toc3417"/>
      <w:bookmarkStart w:id="223" w:name="_Toc42270696"/>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lang w:val="en-US" w:eastAsia="zh-CN"/>
        </w:rPr>
      </w:pPr>
      <w:r>
        <w:rPr>
          <w:rFonts w:hint="eastAsia" w:ascii="方正楷体_GB2312" w:hAnsi="方正楷体_GB2312" w:eastAsia="方正楷体_GB2312" w:cs="方正楷体_GB2312"/>
          <w:b w:val="0"/>
          <w:bCs w:val="0"/>
          <w:sz w:val="32"/>
          <w:szCs w:val="32"/>
          <w:lang w:val="en-US" w:eastAsia="zh-CN"/>
        </w:rPr>
        <w:t>（三）完善经费保障</w:t>
      </w:r>
      <w:bookmarkEnd w:id="216"/>
      <w:bookmarkEnd w:id="217"/>
      <w:bookmarkEnd w:id="218"/>
      <w:bookmarkEnd w:id="219"/>
      <w:bookmarkEnd w:id="220"/>
      <w:bookmarkEnd w:id="221"/>
      <w:bookmarkEnd w:id="222"/>
      <w:r>
        <w:rPr>
          <w:rFonts w:hint="eastAsia" w:ascii="方正楷体_GB2312" w:hAnsi="方正楷体_GB2312" w:eastAsia="方正楷体_GB2312" w:cs="方正楷体_GB2312"/>
          <w:b w:val="0"/>
          <w:bCs w:val="0"/>
          <w:sz w:val="32"/>
          <w:szCs w:val="32"/>
          <w:lang w:val="en-US" w:eastAsia="zh-CN"/>
        </w:rPr>
        <w:t>机制</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按照上级政策，根据事权财权划分原则，明确各级地方党委政府消防工作经费保障责任，切实理顺经费保障机制，确保国家综合性消防救援人员享受地方改革性补贴、奖励性补贴及由上述工资项目涉及的国家政策明确规定的单位缴费部分和相关政策明确由地方财政负担的人员经费纳入区级财政保障，确保消防救援队伍为履行消防职责、完成重大消防安全保卫任务的基本支出和项目支出由区级财政承担。继续推动将装备建设经费纳入区级财政、发改预算项目库，建立并落实装备建设年度投资计划，按特种消防装备购置3%-10%标准预提留存维保经费，并列入项目支出，实现装备建设适应经济社会发展需要</w:t>
      </w:r>
      <w:bookmarkStart w:id="224" w:name="_Toc25005"/>
      <w:bookmarkStart w:id="225" w:name="_Toc22368"/>
      <w:bookmarkStart w:id="226" w:name="_Toc2851"/>
      <w:bookmarkStart w:id="227" w:name="_Toc31118"/>
      <w:bookmarkStart w:id="228" w:name="_Toc29546"/>
      <w:bookmarkStart w:id="229" w:name="_Toc13166"/>
      <w:bookmarkStart w:id="230" w:name="_Toc26563"/>
      <w:bookmarkStart w:id="231" w:name="_Toc22221"/>
      <w:r>
        <w:rPr>
          <w:rFonts w:hint="eastAsia" w:ascii="方正仿宋_GBK" w:hAnsi="方正仿宋_GBK" w:eastAsia="方正仿宋_GBK" w:cs="方正仿宋_GBK"/>
          <w:b w:val="0"/>
          <w:bCs w:val="0"/>
          <w:kern w:val="2"/>
          <w:sz w:val="32"/>
          <w:szCs w:val="32"/>
          <w:lang w:val="en-US" w:eastAsia="zh-CN" w:bidi="ar-SA"/>
        </w:rPr>
        <w:t>。建立健全政府专职消防队伍经费保障机制，政府专职消防队所需的人员经费、公用经费等纳入预算管理，由区级财政予以保障；纳入事业编制管理的专职消防员，其工资福利待遇按照国家和省有关事业单位工作人员的工资福利政策执行；尚未纳入事业编制管理的专职消防员，全面落实专职消防员工资待遇有关规定，加强政府专职消防员执勤补助经费保障，推动政府专职消防员工资待遇逐步与国家综合性消防救援队伍工资待遇标准相适应其工资标准，不低于本地区事业单位职工平均水平，并享受与事业单位职工同等福利待遇，使其收入与其所从事的高风险性职业相匹配。</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lang w:val="en-US" w:eastAsia="zh-CN"/>
        </w:rPr>
      </w:pPr>
      <w:r>
        <w:rPr>
          <w:rFonts w:hint="eastAsia" w:ascii="方正楷体_GB2312" w:hAnsi="方正楷体_GB2312" w:eastAsia="方正楷体_GB2312" w:cs="方正楷体_GB2312"/>
          <w:b w:val="0"/>
          <w:bCs w:val="0"/>
          <w:sz w:val="32"/>
          <w:szCs w:val="32"/>
          <w:lang w:val="en-US" w:eastAsia="zh-CN"/>
        </w:rPr>
        <w:t>（四）突出智慧消防科技支撑</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1.优化消防服务新模式。依托政务服务“一网通办”构建消防政务服务“一网一门一窗”办事渠道，为企业群众提供远程视频咨询导办服务；依托“粤省事”“粤商通”“江门易办事”丰富消防便民应用功能，依托“微消防”应用系统，完善火灾隐患举报事项工作处理。 </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 xml:space="preserve">2.构建智慧消防治理新体系。融入江门城市感知“一张图”， </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实现消防安全治理“一屏观天下、一网管全城”，建设具备智能接处警、辅助救援、大数据分析、智能预警功能，扁平高效、快速响应、综合协调的消防安全管理指挥平台。利用卫星遥感、雷达等技术手段，通过建设消防安全感知网络、预测预警感知网络、救援指挥感知网络和内部管理感知网络等，实现事前风险预警和灾情预评估，事中实时可视化监控、灾情及时报警响应、救援全流程监测以及信息辅助决策，事后灾情受损评估的消防防范救援体系。将消防安全“网格化”管理纳入全区一体化平安网格管理体系，实现消防网格管理的快速响应和协同联动。</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完善城市消防物联网监控系统。积极推进消防物联网感知前端建设，综合运用社会单位自动消防设施信息资源，完善城市消防物联网监控系统。通过政府购买服务方式，积极引导应用消防新产品、新技术、新装备。2022年，推动设有自动消防设施的消防安全重点单位、大型城市综合体、省级以上文物保护单位完成温度传感、火灾烟雾监测等火灾自动报警系统的物联网设备采集接入并上线运行，并将危险化学品、建设工程、养老机构、学校、医院、供水、供气、供电、保险等相关数据纳入消防物联网监控系统。2023年，推动消防安全重点单位、大型城市综合体、省级以上文物保护单位完成物联传感、温度传感、火灾烟雾监测、水压监测、电气火灾监控、视频监控等感知设备的采集接入。2024年，鼓励其他社会单位积极接入，实现对火灾高风险场所、高风险区域的动态监测、风险评估、智能分析和精准治理。2025年底前，力争其他社会单位完成接入。</w:t>
      </w:r>
      <w:bookmarkStart w:id="232" w:name="_Toc81918606"/>
    </w:p>
    <w:p>
      <w:p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楷体" w:hAnsi="楷体" w:eastAsia="楷体" w:cs="楷体"/>
          <w:sz w:val="32"/>
          <w:szCs w:val="32"/>
          <w:lang w:val="en-US" w:eastAsia="zh-CN"/>
        </w:rPr>
      </w:pPr>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第六节 健全和完善消防宣传教育体系</w:t>
      </w:r>
      <w:bookmarkEnd w:id="224"/>
      <w:bookmarkEnd w:id="225"/>
      <w:bookmarkEnd w:id="226"/>
      <w:bookmarkEnd w:id="227"/>
      <w:bookmarkEnd w:id="228"/>
      <w:bookmarkEnd w:id="229"/>
      <w:bookmarkEnd w:id="230"/>
      <w:bookmarkEnd w:id="231"/>
      <w:bookmarkEnd w:id="232"/>
      <w:bookmarkStart w:id="233" w:name="_Toc7384"/>
      <w:bookmarkStart w:id="234" w:name="_Toc14841"/>
      <w:bookmarkStart w:id="235" w:name="_Toc29799"/>
      <w:bookmarkStart w:id="236" w:name="_Toc20319"/>
      <w:bookmarkStart w:id="237" w:name="_Toc1718"/>
      <w:bookmarkStart w:id="238" w:name="_Toc10964"/>
      <w:bookmarkStart w:id="239" w:name="_Toc23519"/>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lang w:val="en-US" w:eastAsia="zh-CN"/>
        </w:rPr>
      </w:pPr>
      <w:r>
        <w:rPr>
          <w:rFonts w:hint="eastAsia" w:ascii="方正楷体_GB2312" w:hAnsi="方正楷体_GB2312" w:eastAsia="方正楷体_GB2312" w:cs="方正楷体_GB2312"/>
          <w:b w:val="0"/>
          <w:bCs w:val="0"/>
          <w:sz w:val="32"/>
          <w:szCs w:val="32"/>
          <w:lang w:val="en-US" w:eastAsia="zh-CN"/>
        </w:rPr>
        <w:t>（一）落实消防宣传教育责任</w:t>
      </w:r>
      <w:bookmarkEnd w:id="233"/>
      <w:bookmarkEnd w:id="234"/>
      <w:bookmarkEnd w:id="235"/>
      <w:bookmarkEnd w:id="236"/>
      <w:bookmarkEnd w:id="237"/>
      <w:bookmarkEnd w:id="238"/>
      <w:bookmarkEnd w:id="239"/>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各街道、行业部门应当组织开展经常性的消防宣传教育，提高公民的消防安全意识。机关、团体、企业、事业等单位，加强对本单位人员的消防宣传教育。应急管理部门及消防救援机构加强消防法律、法规的宣传，并督促、指导、协助有关单位做好消防宣传教育工作。教育、人力资源行政主管部门和学校、有关职业培训机构将消防知识纳入教育、教学、培训的内容。新闻、广播、电视等有关单位，有针对性地面向社会进行消防宣传教育。工会、团委、妇女联合会等团体结合各自工作对象的特点，组织开展消防宣传教育。村民委员会、居民委员会协助街道办事处以及公安机关、应急管理、消防救援等部门，加强消防宣传教育。</w:t>
      </w:r>
      <w:bookmarkStart w:id="240" w:name="_Toc22682"/>
      <w:bookmarkStart w:id="241" w:name="_Toc29182"/>
      <w:bookmarkStart w:id="242" w:name="_Toc22559"/>
      <w:bookmarkStart w:id="243" w:name="_Toc4068"/>
      <w:bookmarkStart w:id="244" w:name="_Toc3588"/>
      <w:bookmarkStart w:id="245" w:name="_Toc12292"/>
      <w:bookmarkStart w:id="246" w:name="_Toc23987"/>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lang w:val="en-US" w:eastAsia="zh-CN"/>
        </w:rPr>
      </w:pPr>
      <w:r>
        <w:rPr>
          <w:rFonts w:hint="eastAsia" w:ascii="方正楷体_GB2312" w:hAnsi="方正楷体_GB2312" w:eastAsia="方正楷体_GB2312" w:cs="方正楷体_GB2312"/>
          <w:b w:val="0"/>
          <w:bCs w:val="0"/>
          <w:sz w:val="32"/>
          <w:szCs w:val="32"/>
          <w:lang w:val="en-US" w:eastAsia="zh-CN"/>
        </w:rPr>
        <w:t>（二）提升消防宣传教育服务</w:t>
      </w:r>
      <w:bookmarkEnd w:id="240"/>
      <w:bookmarkEnd w:id="241"/>
      <w:bookmarkEnd w:id="242"/>
      <w:bookmarkEnd w:id="243"/>
      <w:bookmarkEnd w:id="244"/>
      <w:bookmarkEnd w:id="245"/>
      <w:bookmarkEnd w:id="246"/>
      <w:r>
        <w:rPr>
          <w:rFonts w:hint="eastAsia" w:ascii="方正楷体_GB2312" w:hAnsi="方正楷体_GB2312" w:eastAsia="方正楷体_GB2312" w:cs="方正楷体_GB2312"/>
          <w:b w:val="0"/>
          <w:bCs w:val="0"/>
          <w:sz w:val="32"/>
          <w:szCs w:val="32"/>
          <w:lang w:val="en-US" w:eastAsia="zh-CN"/>
        </w:rPr>
        <w:t>水平</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坚持社会共治，完善公民安全教育体系，推动消防安全宣传进企业、进农村、进社区、进学校、进家庭，加强公益宣传，普及消防安全知识，培育消防安全文化，筑牢防范消防安全风险的人民防线。将消防科普教育基地纳入科普基础设施建设发展规划范围和评价体系，全民科学素质行动计划，公众安全科技普及活动，以及科技旅游景点、青少年科技素质教育基地建设等范畴，通过财政投资建设、社会力量兴办等方式，拓宽全民消防宣传教育培训渠道。通过购买服务等方式开展消防宣传教育培训，建立全民消防安全培训积分档案。宣传部门鼓励、支持、推动各类媒体和社会力量提供消防公益宣传和消防安全志愿服务，推动各级建立消防志愿者服务队。人力资源社会保障部门将消防设施操作人员培训和继续教育纳入“安全技能提升工程”。</w:t>
      </w:r>
      <w:bookmarkStart w:id="247" w:name="_Toc966"/>
      <w:bookmarkStart w:id="248" w:name="_Toc15546"/>
      <w:bookmarkStart w:id="249" w:name="_Toc9995"/>
      <w:bookmarkStart w:id="250" w:name="_Toc9819"/>
      <w:bookmarkStart w:id="251" w:name="_Toc12226"/>
      <w:bookmarkStart w:id="252" w:name="_Toc7508"/>
      <w:bookmarkStart w:id="253" w:name="_Toc503"/>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楷体_GB2312" w:hAnsi="方正楷体_GB2312" w:eastAsia="方正楷体_GB2312" w:cs="方正楷体_GB2312"/>
          <w:b w:val="0"/>
          <w:bCs w:val="0"/>
          <w:sz w:val="32"/>
          <w:szCs w:val="32"/>
          <w:lang w:val="en-US" w:eastAsia="zh-CN"/>
        </w:rPr>
      </w:pPr>
      <w:r>
        <w:rPr>
          <w:rFonts w:hint="eastAsia" w:ascii="方正楷体_GB2312" w:hAnsi="方正楷体_GB2312" w:eastAsia="方正楷体_GB2312" w:cs="方正楷体_GB2312"/>
          <w:b w:val="0"/>
          <w:bCs w:val="0"/>
          <w:sz w:val="32"/>
          <w:szCs w:val="32"/>
          <w:lang w:val="en-US" w:eastAsia="zh-CN"/>
        </w:rPr>
        <w:t>（三）加强消防宣传教育阵地建设</w:t>
      </w:r>
      <w:bookmarkEnd w:id="247"/>
      <w:bookmarkEnd w:id="248"/>
      <w:bookmarkEnd w:id="249"/>
      <w:bookmarkEnd w:id="250"/>
      <w:bookmarkEnd w:id="251"/>
      <w:bookmarkEnd w:id="252"/>
      <w:bookmarkEnd w:id="253"/>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组建以消防知识科普、宣传为主要工作内容的专职科普团队，根据实际情况配置不少于2名专职讲解员。加快推进新媒体宣传工作，在微博、微信、抖音、快手、今日头条和省市级媒体客户端等新媒体平台构建整体联动、集体发声的消防政务新媒体矩阵。打造区级消防科普教育场所、消防宣传服务站、消防主题公园等公益性消防宣传教育培训场所。强化“中小学安全教育日”“防灾减灾日”“安全生产月”“119”消防安全宣传月等主题宣传活动强化社会消防安全管理队伍建设，依托消防救援大队培训基地、社会机构定期对党政领导和行业部门、国企消防安全责任人、管理人进行培训。依托消防安全讲师团和社会消防安全培训机构和消防志愿者服务队开展社区民警、多种形式消防队员、村居委工作人员、网格员、企业安保人员、物业管理人员和消防安全重点单位员工等人群消防基本技能实操实训。鼓励社会力量参与消防培训工作，扶持打造优质消防安全培训机构，区、街道以购买服务的方式为重点人群开展培训。结合实际，加大农村消防安全“明白人”培训力度，加大对小企业主、农民工等高危人群的靶向性培训，提升扑救初起火灾和自救逃生能力。鼓励志愿者走进社区、走进农村、走进基层，积极参与消防宣传活动。</w:t>
      </w:r>
      <w:bookmarkEnd w:id="223"/>
      <w:bookmarkStart w:id="254" w:name="_Toc14089"/>
      <w:bookmarkStart w:id="255" w:name="_Toc20800"/>
      <w:bookmarkStart w:id="256" w:name="_Toc26332"/>
      <w:bookmarkStart w:id="257" w:name="_Toc8728"/>
      <w:bookmarkStart w:id="258" w:name="_Toc29130"/>
      <w:bookmarkStart w:id="259" w:name="_Toc31535"/>
      <w:bookmarkStart w:id="260" w:name="_Toc30097"/>
      <w:bookmarkStart w:id="261" w:name="_Toc23876"/>
      <w:bookmarkStart w:id="262" w:name="_Toc3293"/>
    </w:p>
    <w:p>
      <w:p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3" w:firstLineChars="200"/>
        <w:jc w:val="center"/>
        <w:rPr>
          <w:rFonts w:hint="eastAsia" w:ascii="黑体" w:hAnsi="黑体" w:eastAsia="黑体" w:cs="黑体"/>
          <w:b/>
          <w:bCs/>
          <w:sz w:val="32"/>
          <w:szCs w:val="32"/>
          <w:lang w:val="en-US" w:eastAsia="zh-CN"/>
        </w:rPr>
      </w:pP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sz w:val="32"/>
          <w:szCs w:val="32"/>
          <w:lang w:val="en-US" w:eastAsia="zh-CN"/>
        </w:rPr>
        <w:t>第四章 重点建设项目</w:t>
      </w:r>
    </w:p>
    <w:p>
      <w:p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仿宋" w:hAnsi="仿宋" w:eastAsia="仿宋" w:cs="仿宋"/>
          <w:sz w:val="32"/>
          <w:szCs w:val="32"/>
          <w:lang w:val="en-US" w:eastAsia="zh-CN"/>
        </w:rPr>
      </w:pPr>
      <w:bookmarkStart w:id="263" w:name="_Toc81918608"/>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消防队站建设项目。“十四五”期间，全区规划新建城市消防救援站1个（详见附表1），新建街道政府专职消防队1个，完善街道政府专职消防队3个（详见附表3）；建成村居微型消防站41个，社区微型消防站22个，消防安全重点单位微型消防站80个。（详见附表5）</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2.消防救援装备更新补充项目。结合现有消防救援站消防车辆装备配备实际情况，对2个现有消防救援站和1个规划建设消防救援站更新补充各类消防车7辆，预算金额为1490万元，更新基本防护装备1800件，特种防护装备450件套，抢险救援器材900件套，通讯器材110件套，专业队装备器材180件套，灭火器材2120件套，数量共计5560件套，预算金额为940万元。（详见附表8、9）</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3.市政消火栓及消防取水平台建设项目。为解决市政消火栓欠账及分布不均和消防取水平台建设不足的问题，全区补建新建市政消火栓470个和消防取水平台5个。（详见附表6）</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4.消防通信装备建设项目。2022年配备一辆通信先导车、两台天通卫星电话、1套车载4G终端，2024年配备1套轻型卫星便携站。（详见附表10）</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5.智慧消防应用项目。依托智能接处警、辅助救援系统，提升接警录入效率和报警定位准确率，全面感知火灾发生地以及周边环境。构建消防战力图谱和数字化战力模型，实现消防队伍、人员、装备各要素数字化管理。依托“微消防”应用，为市民提供灾情隐患上报、防灾安全教育课、投诉建议等消防服务，全面提升市民消防安全素养。推进消防档案管理数字化，到2023年，完成区消防档案管理数字化；完成消防安全重点单位的三维模型，平台具备预警预测、救援疏散等应用功能。</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6.消防科普教育基地项目。设置完善一个区级消防科普教育场所并设置1个可对外开放消防体验的消防救援站，配套建设模块化设施。（详见附表13）</w:t>
      </w:r>
    </w:p>
    <w:p>
      <w:pPr>
        <w:pStyle w:val="2"/>
        <w:ind w:left="0" w:leftChars="0" w:firstLine="0" w:firstLineChars="0"/>
        <w:rPr>
          <w:rFonts w:hint="eastAsia"/>
          <w:lang w:val="en-US" w:eastAsia="zh-CN"/>
        </w:rPr>
      </w:pPr>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sz w:val="32"/>
          <w:szCs w:val="32"/>
          <w:lang w:val="en-US" w:eastAsia="zh-CN"/>
        </w:rPr>
        <w:t xml:space="preserve">第五章 </w:t>
      </w:r>
      <w:r>
        <w:rPr>
          <w:rFonts w:hint="eastAsia" w:ascii="方正黑体_GBK" w:hAnsi="方正黑体_GBK" w:eastAsia="方正黑体_GBK" w:cs="方正黑体_GBK"/>
          <w:b w:val="0"/>
          <w:bCs w:val="0"/>
          <w:sz w:val="32"/>
          <w:szCs w:val="32"/>
        </w:rPr>
        <w:t>保障措施</w:t>
      </w:r>
      <w:bookmarkEnd w:id="254"/>
      <w:bookmarkEnd w:id="255"/>
      <w:bookmarkEnd w:id="256"/>
      <w:bookmarkEnd w:id="257"/>
      <w:bookmarkEnd w:id="258"/>
      <w:bookmarkEnd w:id="259"/>
      <w:bookmarkEnd w:id="260"/>
      <w:bookmarkEnd w:id="261"/>
      <w:bookmarkEnd w:id="262"/>
      <w:bookmarkEnd w:id="263"/>
      <w:bookmarkStart w:id="264" w:name="_Toc81918609"/>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rPr>
          <w:rFonts w:hint="eastAsia" w:ascii="楷体" w:hAnsi="楷体" w:eastAsia="楷体" w:cs="楷体"/>
          <w:sz w:val="32"/>
          <w:szCs w:val="32"/>
          <w:lang w:val="en-US" w:eastAsia="zh-CN"/>
        </w:rPr>
      </w:pPr>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第一节 加强党的全面领导</w:t>
      </w:r>
      <w:bookmarkEnd w:id="264"/>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充分发挥党的总揽全局、协调各方的坚强领导作用，增强战略定力，提升战略思维，提高驾驭纷繁复杂局势的能力，抢抓机遇、统筹施策，确保习近平总书记向国家综合性消防救援队伍授旗训词精神</w:t>
      </w:r>
      <w:r>
        <w:rPr>
          <w:rFonts w:hint="eastAsia" w:ascii="方正仿宋_GBK" w:hAnsi="方正仿宋_GBK" w:eastAsia="方正仿宋_GBK" w:cs="方正仿宋_GBK"/>
          <w:b w:val="0"/>
          <w:bCs w:val="0"/>
          <w:kern w:val="2"/>
          <w:sz w:val="32"/>
          <w:szCs w:val="32"/>
          <w:lang w:val="zh-CN" w:eastAsia="zh-CN" w:bidi="ar-SA"/>
        </w:rPr>
        <w:t>以及中央、省、市关于应急管理和消防救援工作的一系列决策部署</w:t>
      </w:r>
      <w:r>
        <w:rPr>
          <w:rFonts w:hint="eastAsia" w:ascii="方正仿宋_GBK" w:hAnsi="方正仿宋_GBK" w:eastAsia="方正仿宋_GBK" w:cs="方正仿宋_GBK"/>
          <w:b w:val="0"/>
          <w:bCs w:val="0"/>
          <w:kern w:val="2"/>
          <w:sz w:val="32"/>
          <w:szCs w:val="32"/>
          <w:lang w:val="en-US" w:eastAsia="zh-CN" w:bidi="ar-SA"/>
        </w:rPr>
        <w:t>得到全面贯彻落实。充分发挥各级党组织战斗堡垒作用和党员先锋模范作用，最大限度聚合全社会共识和力量，共同推动消防工作“十四五”规划实施。持之以恒落实中央八项规定精神，不断完善整治“四风”的制度机制，严防和纠正在推进规划实施过程中的形式主义、官僚主义问题</w:t>
      </w:r>
      <w:bookmarkStart w:id="265" w:name="_Toc81918610"/>
      <w:r>
        <w:rPr>
          <w:rFonts w:hint="eastAsia" w:ascii="方正仿宋_GBK" w:hAnsi="方正仿宋_GBK" w:eastAsia="方正仿宋_GBK" w:cs="方正仿宋_GBK"/>
          <w:b w:val="0"/>
          <w:bCs w:val="0"/>
          <w:kern w:val="2"/>
          <w:sz w:val="32"/>
          <w:szCs w:val="32"/>
          <w:lang w:val="en-US" w:eastAsia="zh-CN" w:bidi="ar-SA"/>
        </w:rPr>
        <w:t>。</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rPr>
          <w:rFonts w:hint="eastAsia" w:ascii="黑体" w:hAnsi="黑体" w:eastAsia="黑体" w:cs="黑体"/>
          <w:sz w:val="32"/>
          <w:szCs w:val="32"/>
          <w:lang w:val="en-US" w:eastAsia="zh-CN"/>
        </w:rPr>
      </w:pPr>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第二节 完善制度保障</w:t>
      </w:r>
      <w:bookmarkEnd w:id="265"/>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贯彻落实《江门市消防条例》，不断压实各街道和有关部门职责。建立年度计划落实机制，将规划确定的主要指标和重点建设项目分解纳入年度计划指标体系，合理设置年度目标和工作进度，科学把握规划实施的阶段重点和建设步伐，有计划、按步骤地推进实施。定期研究并协调解决消防工作重大问题，全面推动消防工作责任落实，全面强化火灾防控力度。健全规划修订机制。强化规划权威性、严肃性，未经批准不得随意调整更改规划。组织开展规划实施年度监测分析、中期评估和总结评估，强化监测评估结果应用。</w:t>
      </w:r>
      <w:bookmarkStart w:id="266" w:name="_Toc81918611"/>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黑体" w:hAnsi="黑体" w:eastAsia="黑体" w:cs="黑体"/>
          <w:sz w:val="32"/>
          <w:szCs w:val="32"/>
          <w:lang w:val="en-US" w:eastAsia="zh-CN"/>
        </w:rPr>
      </w:pPr>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第三节 落实资金保障</w:t>
      </w:r>
      <w:bookmarkEnd w:id="266"/>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bookmarkStart w:id="267" w:name="_Toc81918612"/>
      <w:r>
        <w:rPr>
          <w:rFonts w:hint="eastAsia" w:ascii="方正仿宋_GBK" w:hAnsi="方正仿宋_GBK" w:eastAsia="方正仿宋_GBK" w:cs="方正仿宋_GBK"/>
          <w:b w:val="0"/>
          <w:bCs w:val="0"/>
          <w:kern w:val="2"/>
          <w:sz w:val="32"/>
          <w:szCs w:val="32"/>
          <w:lang w:val="en-US" w:eastAsia="zh-CN" w:bidi="ar-SA"/>
        </w:rPr>
        <w:t>加强财政预算与规划实施的衔接协调，统筹财力合理安排财政支出，重点对消防站、消防装备、消防水源、消防通信建设领域和发展的短板倾斜，确保经费提前规划到位、部署落实到位。按照上级政策，根据事权财权划分原则，明确政府消防工作经费保障责任，切实理顺经费保障机制。同时建立符合消防救援职业高风险、高强度和24小时驻勤备战职业特点的保障机制，确保消防队伍健康发展。鼓励拓宽社会资本对消防设施建设的投入渠道，提升消防安全水平。</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黑体" w:hAnsi="黑体" w:eastAsia="黑体" w:cs="黑体"/>
          <w:sz w:val="32"/>
          <w:szCs w:val="32"/>
          <w:lang w:val="en-US" w:eastAsia="zh-CN"/>
        </w:rPr>
      </w:pPr>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第四节 完善用地保障</w:t>
      </w:r>
      <w:bookmarkEnd w:id="267"/>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bookmarkStart w:id="268" w:name="_Toc32432"/>
      <w:bookmarkStart w:id="269" w:name="_Toc32698"/>
      <w:bookmarkStart w:id="270" w:name="_Toc7959"/>
      <w:bookmarkStart w:id="271" w:name="_Toc20735"/>
      <w:bookmarkStart w:id="272" w:name="_Toc81918613"/>
      <w:bookmarkStart w:id="273" w:name="_Toc9787"/>
      <w:r>
        <w:rPr>
          <w:rFonts w:hint="eastAsia" w:ascii="方正仿宋_GBK" w:hAnsi="方正仿宋_GBK" w:eastAsia="方正仿宋_GBK" w:cs="方正仿宋_GBK"/>
          <w:b w:val="0"/>
          <w:bCs w:val="0"/>
          <w:kern w:val="2"/>
          <w:sz w:val="32"/>
          <w:szCs w:val="32"/>
          <w:lang w:val="en-US" w:eastAsia="zh-CN" w:bidi="ar-SA"/>
        </w:rPr>
        <w:t>对纳入区消防工作“十四五”规划的重点建设项目应加快审核核准程序进度，优先保障规划选址、土地供应。对消防力量不足且用地紧张的区域应重点在城市更新项目中落实消防站点，实现土地集约利用及城市安全保障的双重效益。创新性地研究消防站与其它大型综合型建筑合建的可行性，整体提升消防基础设施建设的可实施性。</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jc w:val="both"/>
        <w:rPr>
          <w:rFonts w:hint="eastAsia" w:ascii="黑体" w:hAnsi="黑体" w:eastAsia="黑体" w:cs="黑体"/>
          <w:sz w:val="32"/>
          <w:szCs w:val="32"/>
          <w:lang w:val="en-US" w:eastAsia="zh-CN"/>
        </w:rPr>
      </w:pPr>
    </w:p>
    <w:p>
      <w:pPr>
        <w:pBdr>
          <w:top w:val="single" w:color="FFFFFF" w:sz="4" w:space="1"/>
          <w:left w:val="single" w:color="FFFFFF" w:sz="4" w:space="0"/>
          <w:bottom w:val="single" w:color="FFFFFF" w:sz="4" w:space="31"/>
          <w:right w:val="single" w:color="FFFFFF" w:sz="4" w:space="0"/>
        </w:pBdr>
        <w:adjustRightInd w:val="0"/>
        <w:snapToGrid w:val="0"/>
        <w:spacing w:line="594" w:lineRule="exact"/>
        <w:jc w:val="center"/>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第五节 完善监督考评</w:t>
      </w:r>
      <w:bookmarkEnd w:id="268"/>
      <w:bookmarkEnd w:id="269"/>
      <w:bookmarkEnd w:id="270"/>
      <w:bookmarkEnd w:id="271"/>
      <w:bookmarkEnd w:id="272"/>
      <w:bookmarkEnd w:id="273"/>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贯彻落实《消防安全责任制实施办法》，全面发挥区消防安全委员会统筹、协调作用，将消防规划推进落实情况作为政府目标责任考核以及领导干部绩效考评的重要内容，纳入社会综合治理工作考核范畴。各相关部门自觉接受区人大及其常委会对规划的监督和指导，定期汇报规划实施情况。营造社会各界普遍关注和共同参与的氛围，充分发挥社会各界对消防规划实施情况的监督作用，广泛吸纳公众意见，动态调整规划实施方案。</w:t>
      </w:r>
    </w:p>
    <w:p>
      <w:pPr>
        <w:numPr>
          <w:ilvl w:val="0"/>
          <w:numId w:val="0"/>
        </w:numPr>
        <w:pBdr>
          <w:top w:val="single" w:color="FFFFFF" w:sz="4" w:space="1"/>
          <w:left w:val="single" w:color="FFFFFF" w:sz="4" w:space="0"/>
          <w:bottom w:val="single" w:color="FFFFFF" w:sz="4" w:space="31"/>
          <w:right w:val="single" w:color="FFFFFF" w:sz="4" w:space="0"/>
        </w:pBdr>
        <w:adjustRightInd w:val="0"/>
        <w:snapToGrid w:val="0"/>
        <w:spacing w:line="594" w:lineRule="exact"/>
        <w:ind w:firstLine="640" w:firstLineChars="200"/>
        <w:rPr>
          <w:rFonts w:hint="eastAsia" w:ascii="方正仿宋_GBK" w:hAnsi="方正仿宋_GBK" w:eastAsia="方正仿宋_GBK" w:cs="方正仿宋_GBK"/>
          <w:b w:val="0"/>
          <w:bCs w:val="0"/>
          <w:kern w:val="2"/>
          <w:sz w:val="32"/>
          <w:szCs w:val="32"/>
          <w:lang w:val="en-US" w:eastAsia="zh-CN" w:bidi="ar-SA"/>
        </w:rPr>
        <w:sectPr>
          <w:footerReference r:id="rId4" w:type="default"/>
          <w:pgSz w:w="11906" w:h="16838"/>
          <w:pgMar w:top="2041" w:right="1531" w:bottom="2041" w:left="1531"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autoSpaceDE w:val="0"/>
        <w:autoSpaceDN w:val="0"/>
        <w:adjustRightInd w:val="0"/>
        <w:jc w:val="left"/>
        <w:outlineLvl w:val="1"/>
        <w:rPr>
          <w:rFonts w:hint="eastAsia" w:ascii="方正仿宋_GBK" w:hAnsi="方正仿宋_GBK" w:eastAsia="方正仿宋_GBK" w:cs="方正仿宋_GBK"/>
          <w:kern w:val="0"/>
          <w:sz w:val="32"/>
          <w:szCs w:val="32"/>
          <w:lang w:val="en-US" w:eastAsia="zh-CN"/>
        </w:rPr>
      </w:pPr>
      <w:bookmarkStart w:id="274" w:name="_Toc24581"/>
      <w:bookmarkStart w:id="275" w:name="_Toc5341"/>
      <w:bookmarkStart w:id="276" w:name="_Toc31000"/>
      <w:bookmarkStart w:id="277" w:name="_Toc25914"/>
      <w:bookmarkStart w:id="278" w:name="_Toc19164"/>
      <w:bookmarkStart w:id="279" w:name="_Toc29857"/>
      <w:bookmarkStart w:id="280" w:name="_Toc4919"/>
      <w:bookmarkStart w:id="281" w:name="_Toc24084"/>
      <w:bookmarkStart w:id="282" w:name="_Toc20245"/>
      <w:bookmarkStart w:id="283" w:name="_Toc17183"/>
      <w:bookmarkStart w:id="284" w:name="_Toc81918614"/>
      <w:bookmarkStart w:id="285" w:name="_Toc24751"/>
      <w:r>
        <w:rPr>
          <w:rFonts w:hint="eastAsia" w:ascii="方正仿宋_GBK" w:hAnsi="方正仿宋_GBK" w:eastAsia="方正仿宋_GBK" w:cs="方正仿宋_GBK"/>
          <w:kern w:val="0"/>
          <w:sz w:val="32"/>
          <w:szCs w:val="32"/>
        </w:rPr>
        <w:t>附表</w:t>
      </w:r>
      <w:bookmarkEnd w:id="274"/>
      <w:bookmarkEnd w:id="275"/>
      <w:bookmarkEnd w:id="276"/>
      <w:bookmarkEnd w:id="277"/>
      <w:bookmarkEnd w:id="278"/>
      <w:bookmarkEnd w:id="279"/>
      <w:bookmarkEnd w:id="280"/>
      <w:bookmarkEnd w:id="281"/>
      <w:bookmarkEnd w:id="282"/>
      <w:bookmarkEnd w:id="283"/>
      <w:bookmarkEnd w:id="284"/>
      <w:bookmarkEnd w:id="285"/>
      <w:r>
        <w:rPr>
          <w:rFonts w:hint="eastAsia" w:ascii="方正仿宋_GBK" w:hAnsi="方正仿宋_GBK" w:eastAsia="方正仿宋_GBK" w:cs="方正仿宋_GBK"/>
          <w:kern w:val="0"/>
          <w:sz w:val="32"/>
          <w:szCs w:val="32"/>
          <w:lang w:val="en-US" w:eastAsia="zh-CN"/>
        </w:rPr>
        <w:t>1</w:t>
      </w:r>
    </w:p>
    <w:p>
      <w:pPr>
        <w:pStyle w:val="2"/>
        <w:rPr>
          <w:rFonts w:hint="eastAsia"/>
          <w:lang w:val="en-US" w:eastAsia="zh-CN"/>
        </w:rPr>
      </w:pPr>
    </w:p>
    <w:tbl>
      <w:tblPr>
        <w:tblStyle w:val="18"/>
        <w:tblW w:w="492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4"/>
        <w:gridCol w:w="1589"/>
        <w:gridCol w:w="3137"/>
        <w:gridCol w:w="1152"/>
        <w:gridCol w:w="1230"/>
        <w:gridCol w:w="1665"/>
        <w:gridCol w:w="1095"/>
        <w:gridCol w:w="1110"/>
        <w:gridCol w:w="1478"/>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000" w:type="pct"/>
            <w:gridSpan w:val="10"/>
            <w:tcBorders>
              <w:bottom w:val="single" w:color="auto" w:sz="4" w:space="0"/>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方正小标宋_GBK" w:hAnsi="方正小标宋_GBK" w:eastAsia="方正小标宋_GBK" w:cs="方正小标宋_GBK"/>
                <w:b w:val="0"/>
                <w:bCs w:val="0"/>
                <w:kern w:val="2"/>
                <w:sz w:val="28"/>
                <w:szCs w:val="32"/>
                <w:lang w:val="en-US" w:eastAsia="zh-CN" w:bidi="ar-SA"/>
              </w:rPr>
              <w:t>江门市江海区“十四五”期间城市消防站建设规划表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5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编</w:t>
            </w:r>
            <w:r>
              <w:rPr>
                <w:rFonts w:hint="eastAsia" w:ascii="方正黑体_GBK" w:hAnsi="方正黑体_GBK" w:eastAsia="方正黑体_GBK" w:cs="方正黑体_GBK"/>
                <w:b w:val="0"/>
                <w:bCs w:val="0"/>
                <w:lang w:val="en-US" w:eastAsia="zh-CN"/>
              </w:rPr>
              <w:br w:type="textWrapping"/>
            </w:r>
            <w:r>
              <w:rPr>
                <w:rFonts w:hint="eastAsia" w:ascii="方正黑体_GBK" w:hAnsi="方正黑体_GBK" w:eastAsia="方正黑体_GBK" w:cs="方正黑体_GBK"/>
                <w:b w:val="0"/>
                <w:bCs w:val="0"/>
                <w:lang w:val="en-US" w:eastAsia="zh-CN"/>
              </w:rPr>
              <w:t>号</w:t>
            </w:r>
          </w:p>
        </w:tc>
        <w:tc>
          <w:tcPr>
            <w:tcW w:w="58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kern w:val="2"/>
                <w:sz w:val="21"/>
                <w:szCs w:val="22"/>
                <w:lang w:val="en-US" w:eastAsia="zh-CN" w:bidi="ar-SA"/>
              </w:rPr>
            </w:pPr>
            <w:r>
              <w:rPr>
                <w:rFonts w:hint="eastAsia" w:ascii="方正黑体_GBK" w:hAnsi="方正黑体_GBK" w:eastAsia="方正黑体_GBK" w:cs="方正黑体_GBK"/>
                <w:b w:val="0"/>
                <w:bCs w:val="0"/>
                <w:lang w:val="en-US" w:eastAsia="zh-CN"/>
              </w:rPr>
              <w:t>项目名称</w:t>
            </w:r>
          </w:p>
          <w:p>
            <w:pPr>
              <w:widowControl/>
              <w:spacing w:line="240" w:lineRule="exact"/>
              <w:jc w:val="center"/>
              <w:rPr>
                <w:rFonts w:hint="eastAsia" w:ascii="方正黑体_GBK" w:hAnsi="方正黑体_GBK" w:eastAsia="方正黑体_GBK" w:cs="方正黑体_GBK"/>
                <w:b w:val="0"/>
                <w:bCs w:val="0"/>
                <w:lang w:val="en-US" w:eastAsia="zh-CN"/>
              </w:rPr>
            </w:pPr>
          </w:p>
        </w:tc>
        <w:tc>
          <w:tcPr>
            <w:tcW w:w="1146" w:type="pct"/>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选址</w:t>
            </w:r>
          </w:p>
        </w:tc>
        <w:tc>
          <w:tcPr>
            <w:tcW w:w="421"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用地面积</w:t>
            </w:r>
            <w:r>
              <w:rPr>
                <w:rFonts w:hint="eastAsia" w:ascii="方正黑体_GBK" w:hAnsi="方正黑体_GBK" w:eastAsia="方正黑体_GBK" w:cs="方正黑体_GBK"/>
                <w:b w:val="0"/>
                <w:bCs w:val="0"/>
                <w:lang w:val="en-US" w:eastAsia="zh-CN"/>
              </w:rPr>
              <w:br w:type="textWrapping"/>
            </w:r>
            <w:r>
              <w:rPr>
                <w:rFonts w:hint="eastAsia" w:ascii="方正黑体_GBK" w:hAnsi="方正黑体_GBK" w:eastAsia="方正黑体_GBK" w:cs="方正黑体_GBK"/>
                <w:b w:val="0"/>
                <w:bCs w:val="0"/>
                <w:lang w:val="en-US" w:eastAsia="zh-CN"/>
              </w:rPr>
              <w:t>（㎡）</w:t>
            </w:r>
          </w:p>
        </w:tc>
        <w:tc>
          <w:tcPr>
            <w:tcW w:w="44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建筑</w:t>
            </w:r>
          </w:p>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面积</w:t>
            </w:r>
            <w:r>
              <w:rPr>
                <w:rFonts w:hint="eastAsia" w:ascii="方正黑体_GBK" w:hAnsi="方正黑体_GBK" w:eastAsia="方正黑体_GBK" w:cs="方正黑体_GBK"/>
                <w:b w:val="0"/>
                <w:bCs w:val="0"/>
                <w:lang w:val="en-US" w:eastAsia="zh-CN"/>
              </w:rPr>
              <w:br w:type="textWrapping"/>
            </w:r>
            <w:r>
              <w:rPr>
                <w:rFonts w:hint="eastAsia" w:ascii="方正黑体_GBK" w:hAnsi="方正黑体_GBK" w:eastAsia="方正黑体_GBK" w:cs="方正黑体_GBK"/>
                <w:b w:val="0"/>
                <w:bCs w:val="0"/>
                <w:lang w:val="en-US" w:eastAsia="zh-CN"/>
              </w:rPr>
              <w:t>（㎡）</w:t>
            </w:r>
          </w:p>
        </w:tc>
        <w:tc>
          <w:tcPr>
            <w:tcW w:w="1008"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实施时间</w:t>
            </w:r>
          </w:p>
        </w:tc>
        <w:tc>
          <w:tcPr>
            <w:tcW w:w="405"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类别</w:t>
            </w:r>
          </w:p>
        </w:tc>
        <w:tc>
          <w:tcPr>
            <w:tcW w:w="540"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基础建设</w:t>
            </w:r>
          </w:p>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投资估算</w:t>
            </w:r>
          </w:p>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（万元）</w:t>
            </w:r>
          </w:p>
        </w:tc>
        <w:tc>
          <w:tcPr>
            <w:tcW w:w="292"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bCs/>
                <w:lang w:val="en-US" w:eastAsia="zh-CN"/>
              </w:rPr>
            </w:pPr>
          </w:p>
        </w:tc>
        <w:tc>
          <w:tcPr>
            <w:tcW w:w="58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bCs/>
                <w:lang w:val="en-US" w:eastAsia="zh-CN"/>
              </w:rPr>
            </w:pPr>
          </w:p>
        </w:tc>
        <w:tc>
          <w:tcPr>
            <w:tcW w:w="1146" w:type="pct"/>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bCs/>
                <w:lang w:val="en-US" w:eastAsia="zh-CN"/>
              </w:rPr>
            </w:pPr>
          </w:p>
        </w:tc>
        <w:tc>
          <w:tcPr>
            <w:tcW w:w="42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bCs/>
                <w:lang w:val="en-US" w:eastAsia="zh-CN"/>
              </w:rPr>
            </w:pPr>
          </w:p>
        </w:tc>
        <w:tc>
          <w:tcPr>
            <w:tcW w:w="44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bCs/>
                <w:lang w:val="en-US" w:eastAsia="zh-CN"/>
              </w:rPr>
            </w:pPr>
          </w:p>
        </w:tc>
        <w:tc>
          <w:tcPr>
            <w:tcW w:w="60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启动时间</w:t>
            </w:r>
            <w:r>
              <w:rPr>
                <w:rFonts w:hint="eastAsia" w:ascii="方正黑体_GBK" w:hAnsi="方正黑体_GBK" w:eastAsia="方正黑体_GBK" w:cs="方正黑体_GBK"/>
                <w:b w:val="0"/>
                <w:bCs w:val="0"/>
                <w:lang w:val="en-US" w:eastAsia="zh-CN"/>
              </w:rPr>
              <w:br w:type="textWrapping"/>
            </w:r>
            <w:r>
              <w:rPr>
                <w:rFonts w:hint="eastAsia" w:ascii="方正黑体_GBK" w:hAnsi="方正黑体_GBK" w:eastAsia="方正黑体_GBK" w:cs="方正黑体_GBK"/>
                <w:b w:val="0"/>
                <w:bCs w:val="0"/>
                <w:lang w:val="en-US" w:eastAsia="zh-CN"/>
              </w:rPr>
              <w:t>（年）</w:t>
            </w:r>
          </w:p>
        </w:tc>
        <w:tc>
          <w:tcPr>
            <w:tcW w:w="400"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建成时间</w:t>
            </w:r>
            <w:r>
              <w:rPr>
                <w:rFonts w:hint="eastAsia" w:ascii="方正黑体_GBK" w:hAnsi="方正黑体_GBK" w:eastAsia="方正黑体_GBK" w:cs="方正黑体_GBK"/>
                <w:b w:val="0"/>
                <w:bCs w:val="0"/>
                <w:lang w:val="en-US" w:eastAsia="zh-CN"/>
              </w:rPr>
              <w:br w:type="textWrapping"/>
            </w:r>
            <w:r>
              <w:rPr>
                <w:rFonts w:hint="eastAsia" w:ascii="方正黑体_GBK" w:hAnsi="方正黑体_GBK" w:eastAsia="方正黑体_GBK" w:cs="方正黑体_GBK"/>
                <w:b w:val="0"/>
                <w:bCs w:val="0"/>
                <w:lang w:val="en-US" w:eastAsia="zh-CN"/>
              </w:rPr>
              <w:t>（年）</w:t>
            </w:r>
          </w:p>
        </w:tc>
        <w:tc>
          <w:tcPr>
            <w:tcW w:w="405"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c>
          <w:tcPr>
            <w:tcW w:w="540"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c>
          <w:tcPr>
            <w:tcW w:w="292"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1</w:t>
            </w:r>
          </w:p>
        </w:tc>
        <w:tc>
          <w:tcPr>
            <w:tcW w:w="5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产业园应急配套设施</w:t>
            </w:r>
          </w:p>
        </w:tc>
        <w:tc>
          <w:tcPr>
            <w:tcW w:w="11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高新区17号地（江睦路与规划二路交界处东北侧、芯联电对面）</w:t>
            </w:r>
          </w:p>
        </w:tc>
        <w:tc>
          <w:tcPr>
            <w:tcW w:w="4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7195.4</w:t>
            </w:r>
          </w:p>
        </w:tc>
        <w:tc>
          <w:tcPr>
            <w:tcW w:w="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5271.4</w:t>
            </w:r>
          </w:p>
        </w:tc>
        <w:tc>
          <w:tcPr>
            <w:tcW w:w="6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2023</w:t>
            </w:r>
          </w:p>
        </w:tc>
        <w:tc>
          <w:tcPr>
            <w:tcW w:w="4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2024</w:t>
            </w:r>
          </w:p>
        </w:tc>
        <w:tc>
          <w:tcPr>
            <w:tcW w:w="4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一级普通站</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c>
          <w:tcPr>
            <w:tcW w:w="5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3293.82</w:t>
            </w:r>
          </w:p>
        </w:tc>
        <w:tc>
          <w:tcPr>
            <w:tcW w:w="29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p>
        </w:tc>
      </w:tr>
    </w:tbl>
    <w:p>
      <w:pPr>
        <w:pStyle w:val="2"/>
        <w:rPr>
          <w:rFonts w:hint="eastAsia" w:ascii="仿宋_GB2312" w:hAnsi="Calibri" w:eastAsia="仿宋_GB2312" w:cs="仿宋_GB2312"/>
          <w:kern w:val="0"/>
          <w:sz w:val="28"/>
          <w:szCs w:val="28"/>
          <w:lang w:val="en-US" w:eastAsia="zh-CN"/>
        </w:rPr>
      </w:pPr>
    </w:p>
    <w:p>
      <w:pPr>
        <w:pStyle w:val="2"/>
        <w:rPr>
          <w:rFonts w:hint="eastAsia" w:ascii="仿宋_GB2312" w:hAnsi="Calibri" w:eastAsia="仿宋_GB2312" w:cs="仿宋_GB2312"/>
          <w:kern w:val="0"/>
          <w:sz w:val="28"/>
          <w:szCs w:val="28"/>
          <w:lang w:val="en-US" w:eastAsia="zh-CN"/>
        </w:rPr>
      </w:pPr>
    </w:p>
    <w:p>
      <w:pPr>
        <w:pStyle w:val="2"/>
        <w:rPr>
          <w:rFonts w:hint="eastAsia" w:ascii="仿宋_GB2312" w:hAnsi="Calibri" w:eastAsia="仿宋_GB2312" w:cs="仿宋_GB2312"/>
          <w:kern w:val="0"/>
          <w:sz w:val="28"/>
          <w:szCs w:val="28"/>
          <w:lang w:val="en-US" w:eastAsia="zh-CN"/>
        </w:rPr>
      </w:pPr>
    </w:p>
    <w:p>
      <w:pPr>
        <w:pStyle w:val="2"/>
        <w:rPr>
          <w:rFonts w:hint="eastAsia" w:ascii="仿宋_GB2312" w:hAnsi="Calibri" w:eastAsia="仿宋_GB2312" w:cs="仿宋_GB2312"/>
          <w:kern w:val="0"/>
          <w:sz w:val="28"/>
          <w:szCs w:val="28"/>
          <w:lang w:val="en-US" w:eastAsia="zh-CN"/>
        </w:rPr>
      </w:pPr>
    </w:p>
    <w:p>
      <w:pPr>
        <w:pStyle w:val="2"/>
        <w:rPr>
          <w:rFonts w:hint="eastAsia" w:ascii="仿宋_GB2312" w:hAnsi="Calibri" w:eastAsia="仿宋_GB2312" w:cs="仿宋_GB2312"/>
          <w:kern w:val="0"/>
          <w:sz w:val="28"/>
          <w:szCs w:val="28"/>
          <w:lang w:val="en-US" w:eastAsia="zh-CN"/>
        </w:rPr>
      </w:pPr>
    </w:p>
    <w:p>
      <w:pPr>
        <w:pStyle w:val="2"/>
        <w:rPr>
          <w:rFonts w:hint="eastAsia" w:ascii="仿宋_GB2312" w:hAnsi="Calibri" w:eastAsia="仿宋_GB2312" w:cs="仿宋_GB2312"/>
          <w:kern w:val="0"/>
          <w:sz w:val="28"/>
          <w:szCs w:val="28"/>
          <w:lang w:val="en-US" w:eastAsia="zh-CN"/>
        </w:rPr>
      </w:pPr>
    </w:p>
    <w:p>
      <w:pPr>
        <w:pStyle w:val="2"/>
        <w:rPr>
          <w:rFonts w:hint="eastAsia" w:ascii="仿宋_GB2312" w:hAnsi="Calibri" w:eastAsia="仿宋_GB2312" w:cs="仿宋_GB2312"/>
          <w:kern w:val="0"/>
          <w:sz w:val="28"/>
          <w:szCs w:val="28"/>
          <w:lang w:val="en-US" w:eastAsia="zh-CN"/>
        </w:rPr>
      </w:pPr>
    </w:p>
    <w:p>
      <w:pPr>
        <w:pStyle w:val="2"/>
        <w:rPr>
          <w:rFonts w:hint="eastAsia" w:ascii="仿宋_GB2312" w:hAnsi="Calibri" w:eastAsia="仿宋_GB2312" w:cs="仿宋_GB2312"/>
          <w:kern w:val="0"/>
          <w:sz w:val="28"/>
          <w:szCs w:val="28"/>
          <w:lang w:val="en-US" w:eastAsia="zh-CN"/>
        </w:rPr>
      </w:pPr>
    </w:p>
    <w:p>
      <w:pPr>
        <w:pStyle w:val="2"/>
        <w:rPr>
          <w:rFonts w:hint="eastAsia" w:ascii="仿宋_GB2312" w:hAnsi="Calibri" w:eastAsia="仿宋_GB2312" w:cs="仿宋_GB2312"/>
          <w:kern w:val="0"/>
          <w:sz w:val="28"/>
          <w:szCs w:val="28"/>
          <w:lang w:val="en-US" w:eastAsia="zh-CN"/>
        </w:rPr>
      </w:pPr>
    </w:p>
    <w:p>
      <w:pPr>
        <w:pStyle w:val="2"/>
        <w:ind w:left="0" w:leftChars="0" w:firstLine="0" w:firstLineChars="0"/>
        <w:rPr>
          <w:rFonts w:hint="eastAsia" w:ascii="仿宋_GB2312" w:hAnsi="Calibri" w:eastAsia="仿宋_GB2312" w:cs="仿宋_GB2312"/>
          <w:kern w:val="0"/>
          <w:sz w:val="28"/>
          <w:szCs w:val="28"/>
          <w:lang w:val="en-US" w:eastAsia="zh-CN"/>
        </w:rPr>
      </w:pPr>
    </w:p>
    <w:p>
      <w:pPr>
        <w:autoSpaceDE w:val="0"/>
        <w:autoSpaceDN w:val="0"/>
        <w:adjustRightInd w:val="0"/>
        <w:jc w:val="left"/>
        <w:outlineLvl w:val="1"/>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rPr>
        <w:t>附表</w:t>
      </w:r>
      <w:r>
        <w:rPr>
          <w:rFonts w:hint="eastAsia" w:ascii="方正仿宋_GBK" w:hAnsi="方正仿宋_GBK" w:eastAsia="方正仿宋_GBK" w:cs="方正仿宋_GBK"/>
          <w:kern w:val="0"/>
          <w:sz w:val="32"/>
          <w:szCs w:val="32"/>
          <w:lang w:val="en-US" w:eastAsia="zh-CN"/>
        </w:rPr>
        <w:t>2</w:t>
      </w:r>
    </w:p>
    <w:p>
      <w:pPr>
        <w:pStyle w:val="2"/>
        <w:rPr>
          <w:rFonts w:hint="eastAsia"/>
          <w:lang w:val="en-US" w:eastAsia="zh-CN"/>
        </w:rPr>
      </w:pPr>
    </w:p>
    <w:tbl>
      <w:tblPr>
        <w:tblStyle w:val="18"/>
        <w:tblW w:w="0" w:type="auto"/>
        <w:tblInd w:w="93" w:type="dxa"/>
        <w:tblLayout w:type="autofit"/>
        <w:tblCellMar>
          <w:top w:w="0" w:type="dxa"/>
          <w:left w:w="108" w:type="dxa"/>
          <w:bottom w:w="0" w:type="dxa"/>
          <w:right w:w="108" w:type="dxa"/>
        </w:tblCellMar>
      </w:tblPr>
      <w:tblGrid>
        <w:gridCol w:w="926"/>
        <w:gridCol w:w="808"/>
        <w:gridCol w:w="1044"/>
        <w:gridCol w:w="1104"/>
        <w:gridCol w:w="1281"/>
        <w:gridCol w:w="926"/>
        <w:gridCol w:w="1459"/>
        <w:gridCol w:w="571"/>
        <w:gridCol w:w="1343"/>
        <w:gridCol w:w="1343"/>
        <w:gridCol w:w="1343"/>
        <w:gridCol w:w="1637"/>
      </w:tblGrid>
      <w:tr>
        <w:tblPrEx>
          <w:tblCellMar>
            <w:top w:w="0" w:type="dxa"/>
            <w:left w:w="108" w:type="dxa"/>
            <w:bottom w:w="0" w:type="dxa"/>
            <w:right w:w="108" w:type="dxa"/>
          </w:tblCellMar>
        </w:tblPrEx>
        <w:trPr>
          <w:trHeight w:val="780" w:hRule="atLeast"/>
        </w:trPr>
        <w:tc>
          <w:tcPr>
            <w:tcW w:w="0" w:type="auto"/>
            <w:gridSpan w:val="12"/>
            <w:tcBorders>
              <w:top w:val="nil"/>
              <w:left w:val="nil"/>
              <w:bottom w:val="nil"/>
              <w:right w:val="nil"/>
            </w:tcBorders>
            <w:noWrap/>
            <w:vAlign w:val="center"/>
          </w:tcPr>
          <w:p>
            <w:pPr>
              <w:keepNext w:val="0"/>
              <w:keepLines w:val="0"/>
              <w:widowControl/>
              <w:suppressLineNumbers w:val="0"/>
              <w:jc w:val="center"/>
              <w:textAlignment w:val="center"/>
              <w:rPr>
                <w:rFonts w:ascii="华文中宋" w:hAnsi="华文中宋" w:eastAsia="华文中宋" w:cs="华文中宋"/>
                <w:sz w:val="44"/>
                <w:szCs w:val="44"/>
              </w:rPr>
            </w:pPr>
            <w:r>
              <w:rPr>
                <w:rFonts w:hint="eastAsia" w:ascii="方正小标宋_GBK" w:hAnsi="方正小标宋_GBK" w:eastAsia="方正小标宋_GBK" w:cs="方正小标宋_GBK"/>
                <w:b w:val="0"/>
                <w:bCs w:val="0"/>
                <w:kern w:val="2"/>
                <w:sz w:val="28"/>
                <w:szCs w:val="32"/>
                <w:lang w:val="en-US" w:eastAsia="zh-CN" w:bidi="ar-SA"/>
              </w:rPr>
              <w:t>江门市江海区“十四五”期间政府专职消防员招收规划表</w:t>
            </w:r>
          </w:p>
        </w:tc>
      </w:tr>
      <w:tr>
        <w:tblPrEx>
          <w:tblCellMar>
            <w:top w:w="0" w:type="dxa"/>
            <w:left w:w="108" w:type="dxa"/>
            <w:bottom w:w="0" w:type="dxa"/>
            <w:right w:w="108" w:type="dxa"/>
          </w:tblCellMar>
        </w:tblPrEx>
        <w:trPr>
          <w:trHeight w:val="1931" w:hRule="atLeast"/>
        </w:trPr>
        <w:tc>
          <w:tcPr>
            <w:tcW w:w="0" w:type="auto"/>
            <w:tcBorders>
              <w:top w:val="single" w:color="000000" w:sz="8" w:space="0"/>
              <w:left w:val="single" w:color="000000" w:sz="8" w:space="0"/>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单位</w:t>
            </w:r>
          </w:p>
        </w:tc>
        <w:tc>
          <w:tcPr>
            <w:tcW w:w="0" w:type="auto"/>
            <w:tcBorders>
              <w:top w:val="single" w:color="000000" w:sz="8" w:space="0"/>
              <w:left w:val="nil"/>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国家队现有消防员人数</w:t>
            </w:r>
          </w:p>
        </w:tc>
        <w:tc>
          <w:tcPr>
            <w:tcW w:w="0" w:type="auto"/>
            <w:tcBorders>
              <w:top w:val="single" w:color="000000" w:sz="8" w:space="0"/>
              <w:left w:val="nil"/>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国家队现有政府专职消防员人数</w:t>
            </w:r>
          </w:p>
        </w:tc>
        <w:tc>
          <w:tcPr>
            <w:tcW w:w="0" w:type="auto"/>
            <w:tcBorders>
              <w:top w:val="single" w:color="000000" w:sz="8" w:space="0"/>
              <w:left w:val="nil"/>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现有国家队消防员缺配需补充人数</w:t>
            </w:r>
          </w:p>
        </w:tc>
        <w:tc>
          <w:tcPr>
            <w:tcW w:w="0" w:type="auto"/>
            <w:tcBorders>
              <w:top w:val="single" w:color="000000" w:sz="8" w:space="0"/>
              <w:left w:val="nil"/>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“十四五”需建设城市消防站数量及规模</w:t>
            </w:r>
          </w:p>
        </w:tc>
        <w:tc>
          <w:tcPr>
            <w:tcW w:w="0" w:type="auto"/>
            <w:tcBorders>
              <w:top w:val="single" w:color="000000" w:sz="8" w:space="0"/>
              <w:left w:val="nil"/>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新建城市站消防员应配人数</w:t>
            </w:r>
          </w:p>
        </w:tc>
        <w:tc>
          <w:tcPr>
            <w:tcW w:w="0" w:type="auto"/>
            <w:tcBorders>
              <w:top w:val="single" w:color="000000" w:sz="8" w:space="0"/>
              <w:left w:val="nil"/>
              <w:bottom w:val="single" w:color="000000" w:sz="8" w:space="0"/>
              <w:right w:val="single" w:color="auto" w:sz="4"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街道、乡镇政府专职消防队人员缺配需补充人数</w:t>
            </w:r>
          </w:p>
        </w:tc>
        <w:tc>
          <w:tcPr>
            <w:tcW w:w="0" w:type="auto"/>
            <w:tcBorders>
              <w:top w:val="single" w:color="000000" w:sz="8" w:space="0"/>
              <w:left w:val="nil"/>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消防文员缺配</w:t>
            </w:r>
          </w:p>
        </w:tc>
        <w:tc>
          <w:tcPr>
            <w:tcW w:w="0" w:type="auto"/>
            <w:tcBorders>
              <w:top w:val="single" w:color="000000" w:sz="8" w:space="0"/>
              <w:left w:val="nil"/>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2023计划招录政府专职消防队员+文员人数</w:t>
            </w:r>
          </w:p>
        </w:tc>
        <w:tc>
          <w:tcPr>
            <w:tcW w:w="0" w:type="auto"/>
            <w:tcBorders>
              <w:top w:val="single" w:color="000000" w:sz="8" w:space="0"/>
              <w:left w:val="nil"/>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2024计划招录政府专职消防队员+文员人数</w:t>
            </w:r>
          </w:p>
        </w:tc>
        <w:tc>
          <w:tcPr>
            <w:tcW w:w="0" w:type="auto"/>
            <w:tcBorders>
              <w:top w:val="single" w:color="000000" w:sz="8" w:space="0"/>
              <w:left w:val="nil"/>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2025计划招录政府专职消防队员+文员人数</w:t>
            </w:r>
          </w:p>
        </w:tc>
        <w:tc>
          <w:tcPr>
            <w:tcW w:w="0" w:type="auto"/>
            <w:tcBorders>
              <w:top w:val="single" w:color="000000" w:sz="8" w:space="0"/>
              <w:left w:val="nil"/>
              <w:bottom w:val="single" w:color="000000" w:sz="8" w:space="0"/>
              <w:right w:val="single" w:color="000000" w:sz="8" w:space="0"/>
            </w:tcBorders>
            <w:noWrap/>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“十四五”期间需招录政府专职消防员、消防文员总数</w:t>
            </w:r>
          </w:p>
        </w:tc>
      </w:tr>
      <w:tr>
        <w:tblPrEx>
          <w:tblCellMar>
            <w:top w:w="0" w:type="dxa"/>
            <w:left w:w="108" w:type="dxa"/>
            <w:bottom w:w="0" w:type="dxa"/>
            <w:right w:w="108" w:type="dxa"/>
          </w:tblCellMar>
        </w:tblPrEx>
        <w:trPr>
          <w:trHeight w:val="1226" w:hRule="atLeast"/>
        </w:trPr>
        <w:tc>
          <w:tcPr>
            <w:tcW w:w="0" w:type="auto"/>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i w:val="0"/>
                <w:iCs w:val="0"/>
                <w:color w:val="000000"/>
                <w:kern w:val="0"/>
                <w:sz w:val="21"/>
                <w:szCs w:val="21"/>
                <w:u w:val="none"/>
                <w:lang w:val="en-US" w:eastAsia="zh-CN" w:bidi="ar"/>
              </w:rPr>
              <w:t>江门市江海区消防救援大队</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21</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36</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15</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1</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36</w:t>
            </w:r>
          </w:p>
        </w:tc>
        <w:tc>
          <w:tcPr>
            <w:tcW w:w="0" w:type="auto"/>
            <w:tcBorders>
              <w:top w:val="nil"/>
              <w:left w:val="nil"/>
              <w:bottom w:val="single" w:color="000000" w:sz="8" w:space="0"/>
              <w:right w:val="single" w:color="auto" w:sz="4"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0</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4</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5</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26+2</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20+2</w:t>
            </w:r>
          </w:p>
        </w:tc>
        <w:tc>
          <w:tcPr>
            <w:tcW w:w="0" w:type="auto"/>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Style w:val="47"/>
                <w:rFonts w:hint="eastAsia" w:ascii="方正仿宋_GBK" w:hAnsi="方正仿宋_GBK" w:eastAsia="方正仿宋_GBK" w:cs="方正仿宋_GBK"/>
                <w:i w:val="0"/>
                <w:iCs w:val="0"/>
                <w:color w:val="000000"/>
                <w:lang w:val="en-US" w:eastAsia="zh-CN" w:bidi="ar"/>
              </w:rPr>
            </w:pPr>
            <w:r>
              <w:rPr>
                <w:rStyle w:val="47"/>
                <w:rFonts w:hint="eastAsia" w:ascii="方正仿宋_GBK" w:hAnsi="方正仿宋_GBK" w:eastAsia="方正仿宋_GBK" w:cs="方正仿宋_GBK"/>
                <w:i w:val="0"/>
                <w:iCs w:val="0"/>
                <w:color w:val="000000"/>
                <w:lang w:val="en-US" w:eastAsia="zh-CN" w:bidi="ar"/>
              </w:rPr>
              <w:t>55</w:t>
            </w:r>
          </w:p>
        </w:tc>
      </w:tr>
      <w:tr>
        <w:tblPrEx>
          <w:tblCellMar>
            <w:top w:w="0" w:type="dxa"/>
            <w:left w:w="108" w:type="dxa"/>
            <w:bottom w:w="0" w:type="dxa"/>
            <w:right w:w="108" w:type="dxa"/>
          </w:tblCellMar>
        </w:tblPrEx>
        <w:trPr>
          <w:trHeight w:val="1154" w:hRule="atLeast"/>
        </w:trPr>
        <w:tc>
          <w:tcPr>
            <w:tcW w:w="0" w:type="auto"/>
            <w:gridSpan w:val="12"/>
            <w:tcBorders>
              <w:top w:val="single" w:color="auto" w:sz="4" w:space="0"/>
              <w:left w:val="single" w:color="000000" w:sz="8" w:space="0"/>
              <w:bottom w:val="single" w:color="000000" w:sz="8" w:space="0"/>
              <w:right w:val="single" w:color="000000" w:sz="8" w:space="0"/>
            </w:tcBorders>
            <w:noWrap/>
            <w:vAlign w:val="center"/>
          </w:tcPr>
          <w:p>
            <w:pPr>
              <w:keepNext w:val="0"/>
              <w:keepLines w:val="0"/>
              <w:widowControl/>
              <w:suppressLineNumbers w:val="0"/>
              <w:jc w:val="both"/>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i w:val="0"/>
                <w:iCs w:val="0"/>
                <w:color w:val="000000"/>
                <w:kern w:val="0"/>
                <w:sz w:val="21"/>
                <w:szCs w:val="21"/>
                <w:u w:val="none"/>
                <w:lang w:val="en-US" w:eastAsia="zh-CN" w:bidi="ar"/>
              </w:rPr>
              <w:t>备注：</w:t>
            </w:r>
            <w:r>
              <w:rPr>
                <w:rStyle w:val="47"/>
                <w:rFonts w:hint="eastAsia" w:ascii="方正仿宋_GBK" w:hAnsi="方正仿宋_GBK" w:eastAsia="方正仿宋_GBK" w:cs="方正仿宋_GBK"/>
                <w:color w:val="000000"/>
                <w:lang w:val="en-US" w:eastAsia="zh-CN" w:bidi="ar"/>
              </w:rPr>
              <w:t>“十四五”期间需招录政府专职消防员总数=现有国家队消防员缺配需补充人数+新建城市站消防员应配人数+消防文员缺配人数+街道、乡镇政府专职消防队人员缺配需补充。</w:t>
            </w:r>
            <w:r>
              <w:rPr>
                <w:rFonts w:hint="eastAsia" w:ascii="方正仿宋_GBK" w:hAnsi="方正仿宋_GBK" w:eastAsia="方正仿宋_GBK" w:cs="方正仿宋_GBK"/>
                <w:i w:val="0"/>
                <w:iCs w:val="0"/>
                <w:color w:val="000000"/>
                <w:kern w:val="0"/>
                <w:sz w:val="21"/>
                <w:szCs w:val="21"/>
                <w:u w:val="none"/>
                <w:lang w:val="en-US" w:eastAsia="zh-CN" w:bidi="ar"/>
              </w:rPr>
              <w:t>按照“特勤站60人、普通站36-45人”的标准建强城市消防救援站，国家队编制无法满足要求的站应采取“国家队员+政府专职队员”的混编模式补齐人员缺口。</w:t>
            </w:r>
          </w:p>
        </w:tc>
      </w:tr>
    </w:tbl>
    <w:p>
      <w:pPr>
        <w:spacing w:line="580" w:lineRule="exact"/>
        <w:ind w:firstLine="420" w:firstLineChars="200"/>
        <w:rPr>
          <w:rFonts w:ascii="Calibri" w:hAnsi="Calibri" w:eastAsia="宋体" w:cs="Calibri"/>
        </w:rPr>
      </w:pPr>
    </w:p>
    <w:p>
      <w:pPr>
        <w:pStyle w:val="8"/>
        <w:rPr>
          <w:rFonts w:ascii="Calibri" w:hAnsi="Calibri" w:eastAsia="宋体" w:cs="Calibri"/>
        </w:rPr>
      </w:pPr>
    </w:p>
    <w:p>
      <w:pPr>
        <w:pStyle w:val="8"/>
        <w:rPr>
          <w:rFonts w:ascii="Calibri" w:hAnsi="Calibri" w:eastAsia="宋体" w:cs="Calibri"/>
        </w:rPr>
      </w:pPr>
    </w:p>
    <w:p>
      <w:pPr>
        <w:pStyle w:val="8"/>
        <w:rPr>
          <w:rFonts w:ascii="Calibri" w:hAnsi="Calibri" w:eastAsia="宋体" w:cs="Calibri"/>
        </w:rPr>
      </w:pPr>
    </w:p>
    <w:p>
      <w:pPr>
        <w:pStyle w:val="8"/>
        <w:rPr>
          <w:rFonts w:ascii="Calibri" w:hAnsi="Calibri" w:eastAsia="宋体" w:cs="Calibri"/>
        </w:rPr>
      </w:pPr>
    </w:p>
    <w:p>
      <w:pPr>
        <w:pStyle w:val="8"/>
        <w:rPr>
          <w:rFonts w:ascii="Calibri" w:hAnsi="Calibri" w:eastAsia="宋体" w:cs="Calibri"/>
        </w:rPr>
      </w:pPr>
    </w:p>
    <w:p>
      <w:pPr>
        <w:autoSpaceDE w:val="0"/>
        <w:autoSpaceDN w:val="0"/>
        <w:adjustRightInd w:val="0"/>
        <w:jc w:val="left"/>
        <w:outlineLvl w:val="1"/>
        <w:rPr>
          <w:rFonts w:hint="eastAsia" w:ascii="方正仿宋_GBK" w:hAnsi="方正仿宋_GBK" w:eastAsia="方正仿宋_GBK" w:cs="方正仿宋_GBK"/>
          <w:kern w:val="0"/>
          <w:sz w:val="32"/>
          <w:szCs w:val="32"/>
          <w:lang w:val="en-US" w:eastAsia="zh-CN"/>
        </w:rPr>
      </w:pPr>
      <w:bookmarkStart w:id="286" w:name="_Toc21081"/>
      <w:bookmarkStart w:id="287" w:name="_Toc81918618"/>
      <w:bookmarkStart w:id="288" w:name="_Toc5444"/>
      <w:bookmarkStart w:id="289" w:name="_Toc14921"/>
      <w:bookmarkStart w:id="290" w:name="_Toc16287"/>
      <w:bookmarkStart w:id="291" w:name="_Toc407"/>
      <w:r>
        <w:rPr>
          <w:rFonts w:hint="eastAsia" w:ascii="方正仿宋_GBK" w:hAnsi="方正仿宋_GBK" w:eastAsia="方正仿宋_GBK" w:cs="方正仿宋_GBK"/>
          <w:kern w:val="0"/>
          <w:sz w:val="32"/>
          <w:szCs w:val="32"/>
        </w:rPr>
        <w:t>附表</w:t>
      </w:r>
      <w:bookmarkEnd w:id="286"/>
      <w:bookmarkEnd w:id="287"/>
      <w:bookmarkEnd w:id="288"/>
      <w:bookmarkEnd w:id="289"/>
      <w:bookmarkEnd w:id="290"/>
      <w:bookmarkEnd w:id="291"/>
      <w:r>
        <w:rPr>
          <w:rFonts w:hint="eastAsia" w:ascii="方正仿宋_GBK" w:hAnsi="方正仿宋_GBK" w:eastAsia="方正仿宋_GBK" w:cs="方正仿宋_GBK"/>
          <w:kern w:val="0"/>
          <w:sz w:val="32"/>
          <w:szCs w:val="32"/>
          <w:lang w:val="en-US" w:eastAsia="zh-CN"/>
        </w:rPr>
        <w:t>3</w:t>
      </w:r>
    </w:p>
    <w:p>
      <w:pPr>
        <w:spacing w:line="580" w:lineRule="exact"/>
        <w:ind w:firstLine="420" w:firstLineChars="200"/>
        <w:rPr>
          <w:rFonts w:eastAsia="黑体"/>
        </w:rPr>
      </w:pPr>
    </w:p>
    <w:tbl>
      <w:tblPr>
        <w:tblStyle w:val="18"/>
        <w:tblW w:w="13760" w:type="dxa"/>
        <w:tblInd w:w="-94" w:type="dxa"/>
        <w:tblLayout w:type="fixed"/>
        <w:tblCellMar>
          <w:top w:w="0" w:type="dxa"/>
          <w:left w:w="10" w:type="dxa"/>
          <w:bottom w:w="0" w:type="dxa"/>
          <w:right w:w="10" w:type="dxa"/>
        </w:tblCellMar>
      </w:tblPr>
      <w:tblGrid>
        <w:gridCol w:w="646"/>
        <w:gridCol w:w="752"/>
        <w:gridCol w:w="2085"/>
        <w:gridCol w:w="2118"/>
        <w:gridCol w:w="1069"/>
        <w:gridCol w:w="890"/>
        <w:gridCol w:w="1226"/>
        <w:gridCol w:w="1024"/>
        <w:gridCol w:w="1070"/>
        <w:gridCol w:w="1154"/>
        <w:gridCol w:w="1726"/>
      </w:tblGrid>
      <w:tr>
        <w:tblPrEx>
          <w:tblCellMar>
            <w:top w:w="0" w:type="dxa"/>
            <w:left w:w="10" w:type="dxa"/>
            <w:bottom w:w="0" w:type="dxa"/>
            <w:right w:w="10" w:type="dxa"/>
          </w:tblCellMar>
        </w:tblPrEx>
        <w:trPr>
          <w:trHeight w:val="820" w:hRule="atLeast"/>
        </w:trPr>
        <w:tc>
          <w:tcPr>
            <w:tcW w:w="13760" w:type="dxa"/>
            <w:gridSpan w:val="11"/>
            <w:tcBorders>
              <w:top w:val="nil"/>
              <w:left w:val="nil"/>
              <w:bottom w:val="single" w:color="auto" w:sz="4" w:space="0"/>
              <w:right w:val="nil"/>
            </w:tcBorders>
            <w:noWrap w:val="0"/>
            <w:tcMar>
              <w:left w:w="14" w:type="dxa"/>
              <w:right w:w="14" w:type="dxa"/>
            </w:tcMar>
            <w:vAlign w:val="center"/>
          </w:tcPr>
          <w:p>
            <w:pPr>
              <w:pStyle w:val="6"/>
              <w:spacing w:before="120" w:after="120"/>
              <w:jc w:val="center"/>
            </w:pPr>
            <w:bookmarkStart w:id="292" w:name="_Toc81918619"/>
            <w:r>
              <w:rPr>
                <w:rFonts w:hint="eastAsia" w:ascii="方正小标宋_GBK" w:hAnsi="方正小标宋_GBK" w:eastAsia="方正小标宋_GBK" w:cs="方正小标宋_GBK"/>
                <w:b w:val="0"/>
                <w:bCs w:val="0"/>
                <w:kern w:val="2"/>
                <w:sz w:val="28"/>
                <w:szCs w:val="32"/>
                <w:lang w:val="en-US" w:eastAsia="zh-CN" w:bidi="ar-SA"/>
              </w:rPr>
              <w:t>江门市江海区“十四五”期间政府专职消防队站建设规划表</w:t>
            </w:r>
            <w:bookmarkEnd w:id="292"/>
          </w:p>
        </w:tc>
      </w:tr>
      <w:tr>
        <w:tblPrEx>
          <w:tblCellMar>
            <w:top w:w="0" w:type="dxa"/>
            <w:left w:w="10" w:type="dxa"/>
            <w:bottom w:w="0" w:type="dxa"/>
            <w:right w:w="10" w:type="dxa"/>
          </w:tblCellMar>
        </w:tblPrEx>
        <w:trPr>
          <w:trHeight w:val="528" w:hRule="atLeast"/>
        </w:trPr>
        <w:tc>
          <w:tcPr>
            <w:tcW w:w="646" w:type="dxa"/>
            <w:vMerge w:val="restart"/>
            <w:tcBorders>
              <w:top w:val="single" w:color="auto" w:sz="4" w:space="0"/>
              <w:left w:val="single" w:color="auto" w:sz="4" w:space="0"/>
              <w:bottom w:val="single" w:color="auto" w:sz="4" w:space="0"/>
              <w:right w:val="single" w:color="auto"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编号</w:t>
            </w:r>
          </w:p>
        </w:tc>
        <w:tc>
          <w:tcPr>
            <w:tcW w:w="752" w:type="dxa"/>
            <w:vMerge w:val="restart"/>
            <w:tcBorders>
              <w:top w:val="single" w:color="auto" w:sz="4" w:space="0"/>
              <w:left w:val="single" w:color="auto" w:sz="4" w:space="0"/>
              <w:bottom w:val="single" w:color="auto" w:sz="4" w:space="0"/>
              <w:right w:val="single" w:color="auto"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街道</w:t>
            </w:r>
          </w:p>
        </w:tc>
        <w:tc>
          <w:tcPr>
            <w:tcW w:w="2085" w:type="dxa"/>
            <w:vMerge w:val="restart"/>
            <w:tcBorders>
              <w:top w:val="single" w:color="auto" w:sz="4" w:space="0"/>
              <w:left w:val="single" w:color="auto" w:sz="4" w:space="0"/>
              <w:bottom w:val="single" w:color="auto" w:sz="4" w:space="0"/>
              <w:right w:val="single" w:color="auto"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项目名称</w:t>
            </w:r>
          </w:p>
        </w:tc>
        <w:tc>
          <w:tcPr>
            <w:tcW w:w="2118" w:type="dxa"/>
            <w:vMerge w:val="restart"/>
            <w:tcBorders>
              <w:top w:val="single" w:color="auto" w:sz="4" w:space="0"/>
              <w:left w:val="single" w:color="auto" w:sz="4" w:space="0"/>
              <w:bottom w:val="single" w:color="auto" w:sz="4" w:space="0"/>
              <w:right w:val="single" w:color="auto"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类别</w:t>
            </w:r>
          </w:p>
        </w:tc>
        <w:tc>
          <w:tcPr>
            <w:tcW w:w="1069" w:type="dxa"/>
            <w:vMerge w:val="restart"/>
            <w:tcBorders>
              <w:top w:val="single" w:color="auto" w:sz="4" w:space="0"/>
              <w:left w:val="single" w:color="auto" w:sz="4" w:space="0"/>
              <w:bottom w:val="single" w:color="auto" w:sz="4" w:space="0"/>
              <w:right w:val="single" w:color="auto"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最小用地面积（㎡）</w:t>
            </w:r>
          </w:p>
        </w:tc>
        <w:tc>
          <w:tcPr>
            <w:tcW w:w="890" w:type="dxa"/>
            <w:vMerge w:val="restart"/>
            <w:tcBorders>
              <w:top w:val="single" w:color="auto" w:sz="4" w:space="0"/>
              <w:left w:val="single" w:color="auto" w:sz="4" w:space="0"/>
              <w:bottom w:val="single" w:color="auto" w:sz="4" w:space="0"/>
              <w:right w:val="single" w:color="auto"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最小建筑面积（㎡）</w:t>
            </w:r>
          </w:p>
        </w:tc>
        <w:tc>
          <w:tcPr>
            <w:tcW w:w="1226" w:type="dxa"/>
            <w:vMerge w:val="restart"/>
            <w:tcBorders>
              <w:top w:val="single" w:color="auto" w:sz="4" w:space="0"/>
              <w:left w:val="single" w:color="auto" w:sz="4" w:space="0"/>
              <w:bottom w:val="single" w:color="auto" w:sz="4" w:space="0"/>
              <w:right w:val="single" w:color="auto"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新建、升级或完善</w:t>
            </w:r>
          </w:p>
        </w:tc>
        <w:tc>
          <w:tcPr>
            <w:tcW w:w="2094" w:type="dxa"/>
            <w:gridSpan w:val="2"/>
            <w:tcBorders>
              <w:top w:val="single" w:color="auto" w:sz="4" w:space="0"/>
              <w:left w:val="single" w:color="auto" w:sz="4" w:space="0"/>
              <w:bottom w:val="single" w:color="auto" w:sz="4" w:space="0"/>
              <w:right w:val="single" w:color="auto"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实施时间</w:t>
            </w:r>
          </w:p>
        </w:tc>
        <w:tc>
          <w:tcPr>
            <w:tcW w:w="1154" w:type="dxa"/>
            <w:vMerge w:val="restart"/>
            <w:tcBorders>
              <w:top w:val="single" w:color="auto" w:sz="4" w:space="0"/>
              <w:left w:val="single" w:color="auto" w:sz="4" w:space="0"/>
              <w:bottom w:val="single" w:color="auto" w:sz="4" w:space="0"/>
              <w:right w:val="single" w:color="auto"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等级</w:t>
            </w:r>
            <w:r>
              <w:rPr>
                <w:rFonts w:hint="eastAsia" w:ascii="方正黑体_GBK" w:hAnsi="方正黑体_GBK" w:eastAsia="方正黑体_GBK" w:cs="方正黑体_GBK"/>
                <w:b w:val="0"/>
                <w:bCs w:val="0"/>
                <w:lang w:val="en-US" w:eastAsia="zh-CN"/>
              </w:rPr>
              <w:br w:type="textWrapping"/>
            </w:r>
            <w:r>
              <w:rPr>
                <w:rFonts w:hint="eastAsia" w:ascii="方正黑体_GBK" w:hAnsi="方正黑体_GBK" w:eastAsia="方正黑体_GBK" w:cs="方正黑体_GBK"/>
                <w:b w:val="0"/>
                <w:bCs w:val="0"/>
                <w:lang w:val="en-US" w:eastAsia="zh-CN"/>
              </w:rPr>
              <w:t>（新建、升级、完善后的等级）</w:t>
            </w:r>
          </w:p>
        </w:tc>
        <w:tc>
          <w:tcPr>
            <w:tcW w:w="1726" w:type="dxa"/>
            <w:vMerge w:val="restart"/>
            <w:tcBorders>
              <w:top w:val="single" w:color="auto" w:sz="4" w:space="0"/>
              <w:left w:val="single" w:color="auto" w:sz="4" w:space="0"/>
              <w:bottom w:val="single" w:color="auto" w:sz="4" w:space="0"/>
              <w:right w:val="single" w:color="auto"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乡镇消防队员最少配置人数</w:t>
            </w:r>
          </w:p>
        </w:tc>
      </w:tr>
      <w:tr>
        <w:tblPrEx>
          <w:tblCellMar>
            <w:top w:w="0" w:type="dxa"/>
            <w:left w:w="10" w:type="dxa"/>
            <w:bottom w:w="0" w:type="dxa"/>
            <w:right w:w="10" w:type="dxa"/>
          </w:tblCellMar>
        </w:tblPrEx>
        <w:trPr>
          <w:trHeight w:val="634" w:hRule="atLeast"/>
        </w:trPr>
        <w:tc>
          <w:tcPr>
            <w:tcW w:w="646" w:type="dxa"/>
            <w:vMerge w:val="continue"/>
            <w:tcBorders>
              <w:top w:val="single" w:color="auto" w:sz="4" w:space="0"/>
              <w:left w:val="single" w:color="auto" w:sz="4" w:space="0"/>
              <w:bottom w:val="single" w:color="000000" w:sz="4" w:space="0"/>
              <w:right w:val="single" w:color="000000" w:sz="4" w:space="0"/>
            </w:tcBorders>
            <w:noWrap w:val="0"/>
            <w:tcMar>
              <w:left w:w="14" w:type="dxa"/>
              <w:right w:w="14" w:type="dxa"/>
            </w:tcMar>
            <w:vAlign w:val="center"/>
          </w:tcPr>
          <w:p>
            <w:pPr>
              <w:spacing w:after="200" w:line="580" w:lineRule="exact"/>
              <w:ind w:firstLine="440" w:firstLineChars="200"/>
              <w:jc w:val="left"/>
              <w:rPr>
                <w:rFonts w:ascii="宋体" w:hAnsi="宋体" w:cs="宋体"/>
                <w:sz w:val="22"/>
              </w:rPr>
            </w:pPr>
          </w:p>
        </w:tc>
        <w:tc>
          <w:tcPr>
            <w:tcW w:w="752" w:type="dxa"/>
            <w:vMerge w:val="continue"/>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spacing w:after="200" w:line="580" w:lineRule="exact"/>
              <w:ind w:firstLine="440" w:firstLineChars="200"/>
              <w:jc w:val="left"/>
              <w:rPr>
                <w:rFonts w:ascii="宋体" w:hAnsi="宋体" w:cs="宋体"/>
                <w:sz w:val="22"/>
              </w:rPr>
            </w:pPr>
          </w:p>
        </w:tc>
        <w:tc>
          <w:tcPr>
            <w:tcW w:w="2085" w:type="dxa"/>
            <w:vMerge w:val="continue"/>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spacing w:after="200" w:line="580" w:lineRule="exact"/>
              <w:ind w:firstLine="440" w:firstLineChars="200"/>
              <w:jc w:val="left"/>
              <w:rPr>
                <w:rFonts w:ascii="宋体" w:hAnsi="宋体" w:cs="宋体"/>
                <w:sz w:val="22"/>
              </w:rPr>
            </w:pPr>
          </w:p>
        </w:tc>
        <w:tc>
          <w:tcPr>
            <w:tcW w:w="2118" w:type="dxa"/>
            <w:vMerge w:val="continue"/>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spacing w:after="200" w:line="580" w:lineRule="exact"/>
              <w:ind w:firstLine="440" w:firstLineChars="200"/>
              <w:jc w:val="left"/>
              <w:rPr>
                <w:rFonts w:ascii="宋体" w:hAnsi="宋体" w:cs="宋体"/>
                <w:sz w:val="22"/>
              </w:rPr>
            </w:pPr>
          </w:p>
        </w:tc>
        <w:tc>
          <w:tcPr>
            <w:tcW w:w="1069" w:type="dxa"/>
            <w:vMerge w:val="continue"/>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spacing w:after="200" w:line="580" w:lineRule="exact"/>
              <w:ind w:firstLine="440" w:firstLineChars="200"/>
              <w:jc w:val="left"/>
              <w:rPr>
                <w:rFonts w:ascii="宋体" w:hAnsi="宋体" w:cs="宋体"/>
                <w:sz w:val="22"/>
              </w:rPr>
            </w:pPr>
          </w:p>
        </w:tc>
        <w:tc>
          <w:tcPr>
            <w:tcW w:w="890" w:type="dxa"/>
            <w:vMerge w:val="continue"/>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spacing w:after="200" w:line="580" w:lineRule="exact"/>
              <w:ind w:firstLine="440" w:firstLineChars="200"/>
              <w:jc w:val="left"/>
              <w:rPr>
                <w:rFonts w:ascii="宋体" w:hAnsi="宋体" w:cs="宋体"/>
                <w:sz w:val="22"/>
              </w:rPr>
            </w:pPr>
          </w:p>
        </w:tc>
        <w:tc>
          <w:tcPr>
            <w:tcW w:w="1226" w:type="dxa"/>
            <w:vMerge w:val="continue"/>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spacing w:after="200" w:line="580" w:lineRule="exact"/>
              <w:ind w:firstLine="440" w:firstLineChars="200"/>
              <w:jc w:val="left"/>
              <w:rPr>
                <w:rFonts w:ascii="宋体" w:hAnsi="宋体" w:cs="宋体"/>
                <w:sz w:val="22"/>
              </w:rPr>
            </w:pPr>
          </w:p>
        </w:tc>
        <w:tc>
          <w:tcPr>
            <w:tcW w:w="1024" w:type="dxa"/>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启动时间</w:t>
            </w:r>
          </w:p>
        </w:tc>
        <w:tc>
          <w:tcPr>
            <w:tcW w:w="1070" w:type="dxa"/>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widowControl/>
              <w:spacing w:line="240" w:lineRule="exact"/>
              <w:jc w:val="center"/>
              <w:rPr>
                <w:rFonts w:hint="eastAsia"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val="en-US" w:eastAsia="zh-CN"/>
              </w:rPr>
              <w:t>完成时间</w:t>
            </w:r>
          </w:p>
        </w:tc>
        <w:tc>
          <w:tcPr>
            <w:tcW w:w="1154" w:type="dxa"/>
            <w:vMerge w:val="continue"/>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spacing w:after="200" w:line="580" w:lineRule="exact"/>
              <w:ind w:firstLine="440" w:firstLineChars="200"/>
              <w:jc w:val="left"/>
              <w:rPr>
                <w:rFonts w:ascii="宋体" w:hAnsi="宋体" w:cs="宋体"/>
                <w:sz w:val="22"/>
              </w:rPr>
            </w:pPr>
          </w:p>
        </w:tc>
        <w:tc>
          <w:tcPr>
            <w:tcW w:w="1726" w:type="dxa"/>
            <w:vMerge w:val="continue"/>
            <w:tcBorders>
              <w:top w:val="single" w:color="auto" w:sz="4" w:space="0"/>
              <w:left w:val="single" w:color="000000" w:sz="4" w:space="0"/>
              <w:bottom w:val="single" w:color="000000" w:sz="4" w:space="0"/>
              <w:right w:val="single" w:color="auto" w:sz="4" w:space="0"/>
            </w:tcBorders>
            <w:noWrap w:val="0"/>
            <w:tcMar>
              <w:left w:w="14" w:type="dxa"/>
              <w:right w:w="14" w:type="dxa"/>
            </w:tcMar>
            <w:vAlign w:val="center"/>
          </w:tcPr>
          <w:p>
            <w:pPr>
              <w:spacing w:after="200" w:line="580" w:lineRule="exact"/>
              <w:ind w:firstLine="440" w:firstLineChars="200"/>
              <w:jc w:val="left"/>
              <w:rPr>
                <w:rFonts w:ascii="宋体" w:hAnsi="宋体" w:cs="宋体"/>
                <w:sz w:val="22"/>
              </w:rPr>
            </w:pPr>
          </w:p>
        </w:tc>
      </w:tr>
      <w:tr>
        <w:tblPrEx>
          <w:tblCellMar>
            <w:top w:w="0" w:type="dxa"/>
            <w:left w:w="10" w:type="dxa"/>
            <w:bottom w:w="0" w:type="dxa"/>
            <w:right w:w="10" w:type="dxa"/>
          </w:tblCellMar>
        </w:tblPrEx>
        <w:trPr>
          <w:trHeight w:val="679" w:hRule="atLeast"/>
        </w:trPr>
        <w:tc>
          <w:tcPr>
            <w:tcW w:w="646" w:type="dxa"/>
            <w:tcBorders>
              <w:top w:val="single" w:color="000000" w:sz="4" w:space="0"/>
              <w:left w:val="single" w:color="000000" w:sz="4" w:space="0"/>
              <w:bottom w:val="single" w:color="auto"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1</w:t>
            </w:r>
          </w:p>
        </w:tc>
        <w:tc>
          <w:tcPr>
            <w:tcW w:w="752" w:type="dxa"/>
            <w:vMerge w:val="restart"/>
            <w:tcBorders>
              <w:top w:val="single" w:color="000000" w:sz="4" w:space="0"/>
              <w:left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eastAsia="zh-CN"/>
              </w:rPr>
              <w:t>外海</w:t>
            </w:r>
          </w:p>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eastAsia="zh-CN"/>
              </w:rPr>
              <w:t>街道</w:t>
            </w:r>
          </w:p>
        </w:tc>
        <w:tc>
          <w:tcPr>
            <w:tcW w:w="2085"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外海中心片区专职消防队</w:t>
            </w:r>
          </w:p>
        </w:tc>
        <w:tc>
          <w:tcPr>
            <w:tcW w:w="2118"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政府专职消防队</w:t>
            </w:r>
          </w:p>
        </w:tc>
        <w:tc>
          <w:tcPr>
            <w:tcW w:w="1069"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700</w:t>
            </w:r>
          </w:p>
        </w:tc>
        <w:tc>
          <w:tcPr>
            <w:tcW w:w="890"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400</w:t>
            </w:r>
          </w:p>
        </w:tc>
        <w:tc>
          <w:tcPr>
            <w:tcW w:w="1226"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新建</w:t>
            </w:r>
          </w:p>
        </w:tc>
        <w:tc>
          <w:tcPr>
            <w:tcW w:w="1024"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rPr>
              <w:t>202</w:t>
            </w:r>
            <w:r>
              <w:rPr>
                <w:rFonts w:hint="eastAsia" w:ascii="方正仿宋_GBK" w:hAnsi="方正仿宋_GBK" w:eastAsia="方正仿宋_GBK" w:cs="方正仿宋_GBK"/>
                <w:kern w:val="0"/>
                <w:szCs w:val="21"/>
                <w:lang w:val="en-US" w:eastAsia="zh-CN"/>
              </w:rPr>
              <w:t>1</w:t>
            </w:r>
          </w:p>
        </w:tc>
        <w:tc>
          <w:tcPr>
            <w:tcW w:w="1070"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rPr>
              <w:t>202</w:t>
            </w:r>
            <w:r>
              <w:rPr>
                <w:rFonts w:hint="eastAsia" w:ascii="方正仿宋_GBK" w:hAnsi="方正仿宋_GBK" w:eastAsia="方正仿宋_GBK" w:cs="方正仿宋_GBK"/>
                <w:kern w:val="0"/>
                <w:szCs w:val="21"/>
                <w:lang w:val="en-US" w:eastAsia="zh-CN"/>
              </w:rPr>
              <w:t>2</w:t>
            </w:r>
          </w:p>
        </w:tc>
        <w:tc>
          <w:tcPr>
            <w:tcW w:w="1154"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二级</w:t>
            </w:r>
          </w:p>
        </w:tc>
        <w:tc>
          <w:tcPr>
            <w:tcW w:w="1726"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10</w:t>
            </w:r>
          </w:p>
        </w:tc>
      </w:tr>
      <w:tr>
        <w:tblPrEx>
          <w:tblCellMar>
            <w:top w:w="0" w:type="dxa"/>
            <w:left w:w="10" w:type="dxa"/>
            <w:bottom w:w="0" w:type="dxa"/>
            <w:right w:w="10" w:type="dxa"/>
          </w:tblCellMar>
        </w:tblPrEx>
        <w:trPr>
          <w:trHeight w:val="679" w:hRule="atLeast"/>
        </w:trPr>
        <w:tc>
          <w:tcPr>
            <w:tcW w:w="646" w:type="dxa"/>
            <w:tcBorders>
              <w:top w:val="single" w:color="auto" w:sz="4" w:space="0"/>
              <w:left w:val="single" w:color="000000" w:sz="4" w:space="0"/>
              <w:bottom w:val="single" w:color="auto"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2</w:t>
            </w:r>
          </w:p>
        </w:tc>
        <w:tc>
          <w:tcPr>
            <w:tcW w:w="752" w:type="dxa"/>
            <w:vMerge w:val="continue"/>
            <w:tcBorders>
              <w:left w:val="single" w:color="000000" w:sz="4" w:space="0"/>
              <w:bottom w:val="single" w:color="auto"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p>
        </w:tc>
        <w:tc>
          <w:tcPr>
            <w:tcW w:w="2085"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外海麻园片区专职消防队</w:t>
            </w:r>
          </w:p>
        </w:tc>
        <w:tc>
          <w:tcPr>
            <w:tcW w:w="2118"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政府专职消防队</w:t>
            </w:r>
          </w:p>
        </w:tc>
        <w:tc>
          <w:tcPr>
            <w:tcW w:w="1069"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700</w:t>
            </w:r>
          </w:p>
        </w:tc>
        <w:tc>
          <w:tcPr>
            <w:tcW w:w="890"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400</w:t>
            </w:r>
          </w:p>
        </w:tc>
        <w:tc>
          <w:tcPr>
            <w:tcW w:w="1226"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完善</w:t>
            </w:r>
          </w:p>
        </w:tc>
        <w:tc>
          <w:tcPr>
            <w:tcW w:w="1024"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2022</w:t>
            </w:r>
          </w:p>
        </w:tc>
        <w:tc>
          <w:tcPr>
            <w:tcW w:w="1070"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2023</w:t>
            </w:r>
          </w:p>
        </w:tc>
        <w:tc>
          <w:tcPr>
            <w:tcW w:w="1154"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二级</w:t>
            </w:r>
          </w:p>
        </w:tc>
        <w:tc>
          <w:tcPr>
            <w:tcW w:w="1726"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10</w:t>
            </w:r>
          </w:p>
        </w:tc>
      </w:tr>
      <w:tr>
        <w:tblPrEx>
          <w:tblCellMar>
            <w:top w:w="0" w:type="dxa"/>
            <w:left w:w="10" w:type="dxa"/>
            <w:bottom w:w="0" w:type="dxa"/>
            <w:right w:w="10" w:type="dxa"/>
          </w:tblCellMar>
        </w:tblPrEx>
        <w:trPr>
          <w:trHeight w:val="679" w:hRule="atLeast"/>
        </w:trPr>
        <w:tc>
          <w:tcPr>
            <w:tcW w:w="646" w:type="dxa"/>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3</w:t>
            </w:r>
          </w:p>
        </w:tc>
        <w:tc>
          <w:tcPr>
            <w:tcW w:w="752" w:type="dxa"/>
            <w:tcBorders>
              <w:top w:val="single" w:color="auto" w:sz="4" w:space="0"/>
              <w:left w:val="single" w:color="000000" w:sz="4" w:space="0"/>
              <w:bottom w:val="single" w:color="auto"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eastAsia="zh-CN"/>
              </w:rPr>
              <w:t>江南</w:t>
            </w:r>
          </w:p>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eastAsia="zh-CN"/>
              </w:rPr>
              <w:t>街道</w:t>
            </w:r>
          </w:p>
        </w:tc>
        <w:tc>
          <w:tcPr>
            <w:tcW w:w="2085"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江南街道政府专职消防队</w:t>
            </w:r>
          </w:p>
        </w:tc>
        <w:tc>
          <w:tcPr>
            <w:tcW w:w="2118"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政府专职消防队</w:t>
            </w:r>
          </w:p>
        </w:tc>
        <w:tc>
          <w:tcPr>
            <w:tcW w:w="1069"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700</w:t>
            </w:r>
          </w:p>
        </w:tc>
        <w:tc>
          <w:tcPr>
            <w:tcW w:w="890"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400</w:t>
            </w:r>
          </w:p>
        </w:tc>
        <w:tc>
          <w:tcPr>
            <w:tcW w:w="1226"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完善</w:t>
            </w:r>
          </w:p>
        </w:tc>
        <w:tc>
          <w:tcPr>
            <w:tcW w:w="1024"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rPr>
              <w:t>202</w:t>
            </w:r>
            <w:r>
              <w:rPr>
                <w:rFonts w:hint="eastAsia" w:ascii="方正仿宋_GBK" w:hAnsi="方正仿宋_GBK" w:eastAsia="方正仿宋_GBK" w:cs="方正仿宋_GBK"/>
                <w:kern w:val="0"/>
                <w:szCs w:val="21"/>
                <w:lang w:val="en-US" w:eastAsia="zh-CN"/>
              </w:rPr>
              <w:t>0</w:t>
            </w:r>
          </w:p>
        </w:tc>
        <w:tc>
          <w:tcPr>
            <w:tcW w:w="1070"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rPr>
              <w:t>202</w:t>
            </w:r>
            <w:r>
              <w:rPr>
                <w:rFonts w:hint="eastAsia" w:ascii="方正仿宋_GBK" w:hAnsi="方正仿宋_GBK" w:eastAsia="方正仿宋_GBK" w:cs="方正仿宋_GBK"/>
                <w:kern w:val="0"/>
                <w:szCs w:val="21"/>
                <w:lang w:val="en-US" w:eastAsia="zh-CN"/>
              </w:rPr>
              <w:t>1</w:t>
            </w:r>
          </w:p>
        </w:tc>
        <w:tc>
          <w:tcPr>
            <w:tcW w:w="1154"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二级</w:t>
            </w:r>
          </w:p>
        </w:tc>
        <w:tc>
          <w:tcPr>
            <w:tcW w:w="1726"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10</w:t>
            </w:r>
          </w:p>
        </w:tc>
      </w:tr>
      <w:tr>
        <w:tblPrEx>
          <w:tblCellMar>
            <w:top w:w="0" w:type="dxa"/>
            <w:left w:w="10" w:type="dxa"/>
            <w:bottom w:w="0" w:type="dxa"/>
            <w:right w:w="10" w:type="dxa"/>
          </w:tblCellMar>
        </w:tblPrEx>
        <w:trPr>
          <w:trHeight w:val="679" w:hRule="atLeast"/>
        </w:trPr>
        <w:tc>
          <w:tcPr>
            <w:tcW w:w="646"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w:t>
            </w:r>
          </w:p>
        </w:tc>
        <w:tc>
          <w:tcPr>
            <w:tcW w:w="752" w:type="dxa"/>
            <w:tcBorders>
              <w:top w:val="single" w:color="auto"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eastAsia="zh-CN"/>
              </w:rPr>
              <w:t>礼乐</w:t>
            </w:r>
          </w:p>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eastAsia="zh-CN"/>
              </w:rPr>
              <w:t>街道</w:t>
            </w:r>
          </w:p>
        </w:tc>
        <w:tc>
          <w:tcPr>
            <w:tcW w:w="2085"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礼乐</w:t>
            </w:r>
            <w:r>
              <w:rPr>
                <w:rFonts w:hint="eastAsia" w:ascii="方正仿宋_GBK" w:hAnsi="方正仿宋_GBK" w:eastAsia="方正仿宋_GBK" w:cs="方正仿宋_GBK"/>
                <w:kern w:val="0"/>
                <w:szCs w:val="21"/>
              </w:rPr>
              <w:t>街道政府专职消防队</w:t>
            </w:r>
          </w:p>
        </w:tc>
        <w:tc>
          <w:tcPr>
            <w:tcW w:w="2118"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政府专职消防队</w:t>
            </w:r>
          </w:p>
        </w:tc>
        <w:tc>
          <w:tcPr>
            <w:tcW w:w="1069"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rPr>
              <w:t>700</w:t>
            </w:r>
          </w:p>
        </w:tc>
        <w:tc>
          <w:tcPr>
            <w:tcW w:w="890"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rPr>
              <w:t>400</w:t>
            </w:r>
          </w:p>
        </w:tc>
        <w:tc>
          <w:tcPr>
            <w:tcW w:w="1226"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rPr>
              <w:t>完善</w:t>
            </w:r>
          </w:p>
        </w:tc>
        <w:tc>
          <w:tcPr>
            <w:tcW w:w="1024"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rPr>
              <w:t>2022</w:t>
            </w:r>
          </w:p>
        </w:tc>
        <w:tc>
          <w:tcPr>
            <w:tcW w:w="1070"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rPr>
              <w:t>2023</w:t>
            </w:r>
          </w:p>
        </w:tc>
        <w:tc>
          <w:tcPr>
            <w:tcW w:w="1154"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rPr>
              <w:t>二级</w:t>
            </w:r>
          </w:p>
        </w:tc>
        <w:tc>
          <w:tcPr>
            <w:tcW w:w="1726" w:type="dxa"/>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widowControl/>
              <w:jc w:val="center"/>
              <w:textAlignment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rPr>
              <w:t>10</w:t>
            </w:r>
          </w:p>
        </w:tc>
      </w:tr>
      <w:tr>
        <w:tblPrEx>
          <w:tblCellMar>
            <w:top w:w="0" w:type="dxa"/>
            <w:left w:w="10" w:type="dxa"/>
            <w:bottom w:w="0" w:type="dxa"/>
            <w:right w:w="10" w:type="dxa"/>
          </w:tblCellMar>
        </w:tblPrEx>
        <w:trPr>
          <w:trHeight w:val="1566" w:hRule="atLeast"/>
        </w:trPr>
        <w:tc>
          <w:tcPr>
            <w:tcW w:w="13760" w:type="dxa"/>
            <w:gridSpan w:val="11"/>
            <w:tcBorders>
              <w:top w:val="single" w:color="000000" w:sz="4" w:space="0"/>
              <w:left w:val="single" w:color="000000" w:sz="4" w:space="0"/>
              <w:bottom w:val="single" w:color="000000" w:sz="4" w:space="0"/>
              <w:right w:val="single" w:color="000000" w:sz="4" w:space="0"/>
            </w:tcBorders>
            <w:noWrap w:val="0"/>
            <w:tcMar>
              <w:left w:w="14" w:type="dxa"/>
              <w:right w:w="14" w:type="dxa"/>
            </w:tcMar>
            <w:vAlign w:val="center"/>
          </w:tcPr>
          <w:p>
            <w:pPr>
              <w:spacing w:line="360" w:lineRule="exact"/>
              <w:jc w:val="left"/>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备注：</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1、政府专职队、乡镇志愿队营房、装备、人员等建设按照《乡镇消防队标准》（GBT 35547-2017）执行。</w:t>
            </w:r>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2、政府专职消防队由</w:t>
            </w:r>
            <w:r>
              <w:rPr>
                <w:rFonts w:hint="eastAsia" w:ascii="方正仿宋_GBK" w:hAnsi="方正仿宋_GBK" w:eastAsia="方正仿宋_GBK" w:cs="方正仿宋_GBK"/>
                <w:szCs w:val="21"/>
                <w:lang w:val="en-US" w:eastAsia="zh-CN"/>
              </w:rPr>
              <w:t>区</w:t>
            </w:r>
            <w:r>
              <w:rPr>
                <w:rFonts w:hint="eastAsia" w:ascii="方正仿宋_GBK" w:hAnsi="方正仿宋_GBK" w:eastAsia="方正仿宋_GBK" w:cs="方正仿宋_GBK"/>
                <w:szCs w:val="21"/>
              </w:rPr>
              <w:t>人民政府负责建设，由区消防救援大队统一管理。</w:t>
            </w:r>
            <w:bookmarkStart w:id="385" w:name="_GoBack"/>
            <w:bookmarkEnd w:id="385"/>
            <w:r>
              <w:rPr>
                <w:rFonts w:hint="eastAsia" w:ascii="方正仿宋_GBK" w:hAnsi="方正仿宋_GBK" w:eastAsia="方正仿宋_GBK" w:cs="方正仿宋_GBK"/>
                <w:szCs w:val="21"/>
              </w:rPr>
              <w:br w:type="textWrapping"/>
            </w:r>
            <w:r>
              <w:rPr>
                <w:rFonts w:hint="eastAsia" w:ascii="方正仿宋_GBK" w:hAnsi="方正仿宋_GBK" w:eastAsia="方正仿宋_GBK" w:cs="方正仿宋_GBK"/>
                <w:szCs w:val="21"/>
              </w:rPr>
              <w:t>3、政府专职消防队主管单位对所辖政府专职消防队依法申请法人登记。</w:t>
            </w:r>
          </w:p>
        </w:tc>
      </w:tr>
    </w:tbl>
    <w:p>
      <w:pPr>
        <w:pStyle w:val="8"/>
        <w:spacing w:line="580" w:lineRule="exact"/>
        <w:ind w:firstLine="420" w:firstLineChars="200"/>
        <w:sectPr>
          <w:pgSz w:w="16838" w:h="11906" w:orient="landscape"/>
          <w:pgMar w:top="1701" w:right="1588" w:bottom="1701" w:left="1588" w:header="851" w:footer="992" w:gutter="0"/>
          <w:pgBorders>
            <w:top w:val="none" w:sz="0" w:space="0"/>
            <w:left w:val="none" w:sz="0" w:space="0"/>
            <w:bottom w:val="none" w:sz="0" w:space="0"/>
            <w:right w:val="none" w:sz="0" w:space="0"/>
          </w:pgBorders>
          <w:pgNumType w:fmt="decimal"/>
          <w:cols w:space="720" w:num="1"/>
          <w:docGrid w:linePitch="312" w:charSpace="0"/>
        </w:sectPr>
      </w:pPr>
    </w:p>
    <w:p>
      <w:pPr>
        <w:autoSpaceDE w:val="0"/>
        <w:autoSpaceDN w:val="0"/>
        <w:adjustRightInd w:val="0"/>
        <w:jc w:val="left"/>
        <w:outlineLvl w:val="1"/>
        <w:rPr>
          <w:rFonts w:hint="eastAsia" w:ascii="方正仿宋_GBK" w:hAnsi="方正仿宋_GBK" w:eastAsia="方正仿宋_GBK" w:cs="方正仿宋_GBK"/>
          <w:kern w:val="0"/>
          <w:sz w:val="32"/>
          <w:szCs w:val="32"/>
          <w:lang w:val="en-US" w:eastAsia="zh-CN"/>
        </w:rPr>
      </w:pPr>
      <w:bookmarkStart w:id="293" w:name="_Toc31123"/>
      <w:bookmarkStart w:id="294" w:name="_Toc17529"/>
      <w:bookmarkStart w:id="295" w:name="_Toc11576"/>
      <w:bookmarkStart w:id="296" w:name="_Toc18063"/>
      <w:bookmarkStart w:id="297" w:name="_Toc1851"/>
      <w:bookmarkStart w:id="298" w:name="_Toc19959"/>
      <w:bookmarkStart w:id="299" w:name="_Toc21862"/>
      <w:bookmarkStart w:id="300" w:name="_Toc978"/>
      <w:bookmarkStart w:id="301" w:name="_Toc81918620"/>
      <w:bookmarkStart w:id="302" w:name="_Toc2293"/>
      <w:bookmarkStart w:id="303" w:name="_Toc22150"/>
      <w:bookmarkStart w:id="304" w:name="_Toc13692"/>
      <w:r>
        <w:rPr>
          <w:rFonts w:hint="eastAsia" w:ascii="方正仿宋_GBK" w:hAnsi="方正仿宋_GBK" w:eastAsia="方正仿宋_GBK" w:cs="方正仿宋_GBK"/>
          <w:kern w:val="0"/>
          <w:sz w:val="32"/>
          <w:szCs w:val="32"/>
        </w:rPr>
        <w:t>附表</w:t>
      </w:r>
      <w:bookmarkEnd w:id="293"/>
      <w:bookmarkEnd w:id="294"/>
      <w:bookmarkEnd w:id="295"/>
      <w:bookmarkEnd w:id="296"/>
      <w:bookmarkEnd w:id="297"/>
      <w:bookmarkEnd w:id="298"/>
      <w:bookmarkEnd w:id="299"/>
      <w:bookmarkEnd w:id="300"/>
      <w:bookmarkEnd w:id="301"/>
      <w:bookmarkEnd w:id="302"/>
      <w:bookmarkEnd w:id="303"/>
      <w:bookmarkEnd w:id="304"/>
      <w:r>
        <w:rPr>
          <w:rFonts w:hint="eastAsia" w:ascii="方正仿宋_GBK" w:hAnsi="方正仿宋_GBK" w:eastAsia="方正仿宋_GBK" w:cs="方正仿宋_GBK"/>
          <w:kern w:val="0"/>
          <w:sz w:val="32"/>
          <w:szCs w:val="32"/>
          <w:lang w:val="en-US" w:eastAsia="zh-CN"/>
        </w:rPr>
        <w:t>4</w:t>
      </w:r>
    </w:p>
    <w:p>
      <w:pPr>
        <w:pStyle w:val="2"/>
        <w:rPr>
          <w:rFonts w:hint="eastAsia"/>
          <w:lang w:val="en-US" w:eastAsia="zh-CN"/>
        </w:rPr>
      </w:pPr>
    </w:p>
    <w:p>
      <w:pPr>
        <w:pStyle w:val="6"/>
        <w:spacing w:before="120" w:after="120"/>
        <w:jc w:val="center"/>
        <w:rPr>
          <w:rFonts w:hint="eastAsia" w:ascii="方正小标宋_GBK" w:hAnsi="方正小标宋_GBK" w:eastAsia="方正小标宋_GBK" w:cs="方正小标宋_GBK"/>
          <w:b w:val="0"/>
          <w:bCs w:val="0"/>
          <w:kern w:val="2"/>
          <w:sz w:val="28"/>
          <w:szCs w:val="32"/>
          <w:lang w:val="en-US" w:eastAsia="zh-CN" w:bidi="ar-SA"/>
        </w:rPr>
      </w:pPr>
      <w:bookmarkStart w:id="305" w:name="_Toc23928"/>
      <w:bookmarkStart w:id="306" w:name="_Toc81918621"/>
      <w:bookmarkStart w:id="307" w:name="_Toc30099"/>
      <w:bookmarkStart w:id="308" w:name="_Toc31483"/>
      <w:bookmarkStart w:id="309" w:name="_Toc24833"/>
      <w:r>
        <w:rPr>
          <w:rFonts w:hint="eastAsia" w:ascii="方正小标宋_GBK" w:hAnsi="方正小标宋_GBK" w:eastAsia="方正小标宋_GBK" w:cs="方正小标宋_GBK"/>
          <w:b w:val="0"/>
          <w:bCs w:val="0"/>
          <w:kern w:val="2"/>
          <w:sz w:val="28"/>
          <w:szCs w:val="32"/>
          <w:lang w:val="en-US" w:eastAsia="zh-CN" w:bidi="ar-SA"/>
        </w:rPr>
        <w:t>江门市江海区“十四五”期间消防志愿者服务队建设达标规划表</w:t>
      </w:r>
      <w:bookmarkEnd w:id="305"/>
      <w:bookmarkEnd w:id="306"/>
      <w:bookmarkEnd w:id="307"/>
      <w:bookmarkEnd w:id="308"/>
      <w:bookmarkEnd w:id="309"/>
    </w:p>
    <w:tbl>
      <w:tblPr>
        <w:tblStyle w:val="19"/>
        <w:tblW w:w="13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857"/>
        <w:gridCol w:w="857"/>
        <w:gridCol w:w="858"/>
        <w:gridCol w:w="856"/>
        <w:gridCol w:w="857"/>
        <w:gridCol w:w="859"/>
        <w:gridCol w:w="857"/>
        <w:gridCol w:w="857"/>
        <w:gridCol w:w="859"/>
        <w:gridCol w:w="856"/>
        <w:gridCol w:w="857"/>
        <w:gridCol w:w="859"/>
        <w:gridCol w:w="857"/>
        <w:gridCol w:w="857"/>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7" w:type="dxa"/>
            <w:vMerge w:val="restart"/>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片区</w:t>
            </w:r>
          </w:p>
        </w:tc>
        <w:tc>
          <w:tcPr>
            <w:tcW w:w="2572" w:type="dxa"/>
            <w:gridSpan w:val="3"/>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2021年计划总量</w:t>
            </w:r>
          </w:p>
        </w:tc>
        <w:tc>
          <w:tcPr>
            <w:tcW w:w="2572" w:type="dxa"/>
            <w:gridSpan w:val="3"/>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2022年计划总量</w:t>
            </w:r>
          </w:p>
        </w:tc>
        <w:tc>
          <w:tcPr>
            <w:tcW w:w="2573" w:type="dxa"/>
            <w:gridSpan w:val="3"/>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2023年计划总量</w:t>
            </w:r>
          </w:p>
        </w:tc>
        <w:tc>
          <w:tcPr>
            <w:tcW w:w="2572" w:type="dxa"/>
            <w:gridSpan w:val="3"/>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2024年计划总量</w:t>
            </w:r>
          </w:p>
        </w:tc>
        <w:tc>
          <w:tcPr>
            <w:tcW w:w="2572" w:type="dxa"/>
            <w:gridSpan w:val="3"/>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2025年计划总量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857" w:type="dxa"/>
            <w:vMerge w:val="continue"/>
            <w:noWrap w:val="0"/>
            <w:vAlign w:val="center"/>
          </w:tcPr>
          <w:p>
            <w:pPr>
              <w:widowControl/>
              <w:spacing w:line="240" w:lineRule="exact"/>
              <w:jc w:val="center"/>
              <w:rPr>
                <w:rFonts w:hint="eastAsia" w:ascii="方正黑体_GBK" w:hAnsi="方正黑体_GBK" w:eastAsia="方正黑体_GBK" w:cs="方正黑体_GBK"/>
                <w:b w:val="0"/>
                <w:bCs w:val="0"/>
              </w:rPr>
            </w:pPr>
          </w:p>
        </w:tc>
        <w:tc>
          <w:tcPr>
            <w:tcW w:w="857" w:type="dxa"/>
            <w:noWrap w:val="0"/>
            <w:vAlign w:val="center"/>
          </w:tcPr>
          <w:p>
            <w:pPr>
              <w:widowControl/>
              <w:spacing w:line="240" w:lineRule="exact"/>
              <w:jc w:val="center"/>
              <w:rPr>
                <w:rFonts w:hint="eastAsia" w:ascii="方正黑体_GBK" w:hAnsi="方正黑体_GBK" w:eastAsia="方正黑体_GBK" w:cs="方正黑体_GBK"/>
                <w:b w:val="0"/>
                <w:bCs w:val="0"/>
              </w:rPr>
            </w:pP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区</w:t>
            </w:r>
            <w:r>
              <w:rPr>
                <w:rFonts w:hint="eastAsia" w:ascii="方正黑体_GBK" w:hAnsi="方正黑体_GBK" w:eastAsia="方正黑体_GBK" w:cs="方正黑体_GBK"/>
                <w:b w:val="0"/>
                <w:bCs w:val="0"/>
              </w:rPr>
              <w:t>级消防志愿服务队</w:t>
            </w:r>
          </w:p>
          <w:p>
            <w:pPr>
              <w:widowControl/>
              <w:spacing w:line="240" w:lineRule="exact"/>
              <w:jc w:val="center"/>
              <w:rPr>
                <w:rFonts w:hint="eastAsia" w:ascii="方正黑体_GBK" w:hAnsi="方正黑体_GBK" w:eastAsia="方正黑体_GBK" w:cs="方正黑体_GBK"/>
                <w:b w:val="0"/>
                <w:bCs w:val="0"/>
              </w:rPr>
            </w:pPr>
          </w:p>
        </w:tc>
        <w:tc>
          <w:tcPr>
            <w:tcW w:w="857"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街道</w:t>
            </w:r>
            <w:r>
              <w:rPr>
                <w:rFonts w:hint="eastAsia" w:ascii="方正黑体_GBK" w:hAnsi="方正黑体_GBK" w:eastAsia="方正黑体_GBK" w:cs="方正黑体_GBK"/>
                <w:b w:val="0"/>
                <w:bCs w:val="0"/>
              </w:rPr>
              <w:t>级消防志愿服务队</w:t>
            </w:r>
          </w:p>
        </w:tc>
        <w:tc>
          <w:tcPr>
            <w:tcW w:w="858"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消防志愿者总人数</w:t>
            </w:r>
          </w:p>
        </w:tc>
        <w:tc>
          <w:tcPr>
            <w:tcW w:w="856" w:type="dxa"/>
            <w:noWrap w:val="0"/>
            <w:vAlign w:val="center"/>
          </w:tcPr>
          <w:p>
            <w:pPr>
              <w:widowControl/>
              <w:spacing w:line="240" w:lineRule="exact"/>
              <w:jc w:val="center"/>
              <w:rPr>
                <w:rFonts w:hint="eastAsia" w:ascii="方正黑体_GBK" w:hAnsi="方正黑体_GBK" w:eastAsia="方正黑体_GBK" w:cs="方正黑体_GBK"/>
                <w:b w:val="0"/>
                <w:bCs w:val="0"/>
              </w:rPr>
            </w:pP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区</w:t>
            </w:r>
            <w:r>
              <w:rPr>
                <w:rFonts w:hint="eastAsia" w:ascii="方正黑体_GBK" w:hAnsi="方正黑体_GBK" w:eastAsia="方正黑体_GBK" w:cs="方正黑体_GBK"/>
                <w:b w:val="0"/>
                <w:bCs w:val="0"/>
              </w:rPr>
              <w:t>级消防志愿服务队</w:t>
            </w:r>
          </w:p>
          <w:p>
            <w:pPr>
              <w:widowControl/>
              <w:spacing w:line="240" w:lineRule="exact"/>
              <w:jc w:val="center"/>
              <w:rPr>
                <w:rFonts w:hint="eastAsia" w:ascii="方正黑体_GBK" w:hAnsi="方正黑体_GBK" w:eastAsia="方正黑体_GBK" w:cs="方正黑体_GBK"/>
                <w:b w:val="0"/>
                <w:bCs w:val="0"/>
              </w:rPr>
            </w:pPr>
          </w:p>
        </w:tc>
        <w:tc>
          <w:tcPr>
            <w:tcW w:w="857"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街道</w:t>
            </w:r>
            <w:r>
              <w:rPr>
                <w:rFonts w:hint="eastAsia" w:ascii="方正黑体_GBK" w:hAnsi="方正黑体_GBK" w:eastAsia="方正黑体_GBK" w:cs="方正黑体_GBK"/>
                <w:b w:val="0"/>
                <w:bCs w:val="0"/>
              </w:rPr>
              <w:t>级消防志愿服务队</w:t>
            </w:r>
          </w:p>
        </w:tc>
        <w:tc>
          <w:tcPr>
            <w:tcW w:w="859"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消防志愿者总人数</w:t>
            </w:r>
          </w:p>
        </w:tc>
        <w:tc>
          <w:tcPr>
            <w:tcW w:w="857" w:type="dxa"/>
            <w:noWrap w:val="0"/>
            <w:vAlign w:val="center"/>
          </w:tcPr>
          <w:p>
            <w:pPr>
              <w:widowControl/>
              <w:spacing w:line="240" w:lineRule="exact"/>
              <w:jc w:val="center"/>
              <w:rPr>
                <w:rFonts w:hint="eastAsia" w:ascii="方正黑体_GBK" w:hAnsi="方正黑体_GBK" w:eastAsia="方正黑体_GBK" w:cs="方正黑体_GBK"/>
                <w:b w:val="0"/>
                <w:bCs w:val="0"/>
              </w:rPr>
            </w:pP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区</w:t>
            </w:r>
            <w:r>
              <w:rPr>
                <w:rFonts w:hint="eastAsia" w:ascii="方正黑体_GBK" w:hAnsi="方正黑体_GBK" w:eastAsia="方正黑体_GBK" w:cs="方正黑体_GBK"/>
                <w:b w:val="0"/>
                <w:bCs w:val="0"/>
              </w:rPr>
              <w:t>级消防志愿服务队</w:t>
            </w:r>
          </w:p>
          <w:p>
            <w:pPr>
              <w:widowControl/>
              <w:spacing w:line="240" w:lineRule="exact"/>
              <w:jc w:val="center"/>
              <w:rPr>
                <w:rFonts w:hint="eastAsia" w:ascii="方正黑体_GBK" w:hAnsi="方正黑体_GBK" w:eastAsia="方正黑体_GBK" w:cs="方正黑体_GBK"/>
                <w:b w:val="0"/>
                <w:bCs w:val="0"/>
              </w:rPr>
            </w:pPr>
          </w:p>
        </w:tc>
        <w:tc>
          <w:tcPr>
            <w:tcW w:w="857"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街道</w:t>
            </w:r>
            <w:r>
              <w:rPr>
                <w:rFonts w:hint="eastAsia" w:ascii="方正黑体_GBK" w:hAnsi="方正黑体_GBK" w:eastAsia="方正黑体_GBK" w:cs="方正黑体_GBK"/>
                <w:b w:val="0"/>
                <w:bCs w:val="0"/>
              </w:rPr>
              <w:t>级消防志愿服务队</w:t>
            </w:r>
          </w:p>
        </w:tc>
        <w:tc>
          <w:tcPr>
            <w:tcW w:w="859"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消防志愿者总人数</w:t>
            </w:r>
          </w:p>
        </w:tc>
        <w:tc>
          <w:tcPr>
            <w:tcW w:w="856" w:type="dxa"/>
            <w:noWrap w:val="0"/>
            <w:vAlign w:val="center"/>
          </w:tcPr>
          <w:p>
            <w:pPr>
              <w:widowControl/>
              <w:spacing w:line="240" w:lineRule="exact"/>
              <w:jc w:val="center"/>
              <w:rPr>
                <w:rFonts w:hint="eastAsia" w:ascii="方正黑体_GBK" w:hAnsi="方正黑体_GBK" w:eastAsia="方正黑体_GBK" w:cs="方正黑体_GBK"/>
                <w:b w:val="0"/>
                <w:bCs w:val="0"/>
              </w:rPr>
            </w:pP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区</w:t>
            </w:r>
            <w:r>
              <w:rPr>
                <w:rFonts w:hint="eastAsia" w:ascii="方正黑体_GBK" w:hAnsi="方正黑体_GBK" w:eastAsia="方正黑体_GBK" w:cs="方正黑体_GBK"/>
                <w:b w:val="0"/>
                <w:bCs w:val="0"/>
              </w:rPr>
              <w:t>级消防志愿服务队</w:t>
            </w:r>
          </w:p>
          <w:p>
            <w:pPr>
              <w:widowControl/>
              <w:spacing w:line="240" w:lineRule="exact"/>
              <w:jc w:val="center"/>
              <w:rPr>
                <w:rFonts w:hint="eastAsia" w:ascii="方正黑体_GBK" w:hAnsi="方正黑体_GBK" w:eastAsia="方正黑体_GBK" w:cs="方正黑体_GBK"/>
                <w:b w:val="0"/>
                <w:bCs w:val="0"/>
              </w:rPr>
            </w:pPr>
          </w:p>
        </w:tc>
        <w:tc>
          <w:tcPr>
            <w:tcW w:w="857"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街道</w:t>
            </w:r>
            <w:r>
              <w:rPr>
                <w:rFonts w:hint="eastAsia" w:ascii="方正黑体_GBK" w:hAnsi="方正黑体_GBK" w:eastAsia="方正黑体_GBK" w:cs="方正黑体_GBK"/>
                <w:b w:val="0"/>
                <w:bCs w:val="0"/>
              </w:rPr>
              <w:t>级消防志愿服务队</w:t>
            </w:r>
          </w:p>
        </w:tc>
        <w:tc>
          <w:tcPr>
            <w:tcW w:w="859"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消防志愿者总人数</w:t>
            </w:r>
          </w:p>
        </w:tc>
        <w:tc>
          <w:tcPr>
            <w:tcW w:w="857" w:type="dxa"/>
            <w:noWrap w:val="0"/>
            <w:vAlign w:val="center"/>
          </w:tcPr>
          <w:p>
            <w:pPr>
              <w:widowControl/>
              <w:spacing w:line="240" w:lineRule="exact"/>
              <w:jc w:val="center"/>
              <w:rPr>
                <w:rFonts w:hint="eastAsia" w:ascii="方正黑体_GBK" w:hAnsi="方正黑体_GBK" w:eastAsia="方正黑体_GBK" w:cs="方正黑体_GBK"/>
                <w:b w:val="0"/>
                <w:bCs w:val="0"/>
              </w:rPr>
            </w:pP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区</w:t>
            </w:r>
            <w:r>
              <w:rPr>
                <w:rFonts w:hint="eastAsia" w:ascii="方正黑体_GBK" w:hAnsi="方正黑体_GBK" w:eastAsia="方正黑体_GBK" w:cs="方正黑体_GBK"/>
                <w:b w:val="0"/>
                <w:bCs w:val="0"/>
              </w:rPr>
              <w:t>级消防志愿服务队</w:t>
            </w:r>
          </w:p>
          <w:p>
            <w:pPr>
              <w:widowControl/>
              <w:spacing w:line="240" w:lineRule="exact"/>
              <w:jc w:val="center"/>
              <w:rPr>
                <w:rFonts w:hint="eastAsia" w:ascii="方正黑体_GBK" w:hAnsi="方正黑体_GBK" w:eastAsia="方正黑体_GBK" w:cs="方正黑体_GBK"/>
                <w:b w:val="0"/>
                <w:bCs w:val="0"/>
              </w:rPr>
            </w:pPr>
          </w:p>
        </w:tc>
        <w:tc>
          <w:tcPr>
            <w:tcW w:w="857"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街道</w:t>
            </w:r>
            <w:r>
              <w:rPr>
                <w:rFonts w:hint="eastAsia" w:ascii="方正黑体_GBK" w:hAnsi="方正黑体_GBK" w:eastAsia="方正黑体_GBK" w:cs="方正黑体_GBK"/>
                <w:b w:val="0"/>
                <w:bCs w:val="0"/>
              </w:rPr>
              <w:t>级消防志愿服务队</w:t>
            </w:r>
          </w:p>
        </w:tc>
        <w:tc>
          <w:tcPr>
            <w:tcW w:w="858"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消防志愿者总人数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57"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rPr>
              <w:t>江海</w:t>
            </w:r>
            <w:r>
              <w:rPr>
                <w:rFonts w:hint="eastAsia" w:ascii="方正仿宋_GBK" w:hAnsi="方正仿宋_GBK" w:eastAsia="方正仿宋_GBK" w:cs="方正仿宋_GBK"/>
                <w:kern w:val="0"/>
                <w:szCs w:val="21"/>
                <w:lang w:eastAsia="zh-CN"/>
              </w:rPr>
              <w:t>区</w:t>
            </w:r>
          </w:p>
        </w:tc>
        <w:tc>
          <w:tcPr>
            <w:tcW w:w="857"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w:t>
            </w:r>
          </w:p>
        </w:tc>
        <w:tc>
          <w:tcPr>
            <w:tcW w:w="857"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0</w:t>
            </w:r>
          </w:p>
        </w:tc>
        <w:tc>
          <w:tcPr>
            <w:tcW w:w="858"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1000</w:t>
            </w:r>
          </w:p>
        </w:tc>
        <w:tc>
          <w:tcPr>
            <w:tcW w:w="856"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w:t>
            </w:r>
          </w:p>
        </w:tc>
        <w:tc>
          <w:tcPr>
            <w:tcW w:w="857"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w:t>
            </w:r>
          </w:p>
        </w:tc>
        <w:tc>
          <w:tcPr>
            <w:tcW w:w="859"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1300</w:t>
            </w:r>
          </w:p>
        </w:tc>
        <w:tc>
          <w:tcPr>
            <w:tcW w:w="857"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w:t>
            </w:r>
          </w:p>
        </w:tc>
        <w:tc>
          <w:tcPr>
            <w:tcW w:w="857"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w:t>
            </w:r>
          </w:p>
        </w:tc>
        <w:tc>
          <w:tcPr>
            <w:tcW w:w="859"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1800</w:t>
            </w:r>
          </w:p>
        </w:tc>
        <w:tc>
          <w:tcPr>
            <w:tcW w:w="856"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w:t>
            </w:r>
          </w:p>
        </w:tc>
        <w:tc>
          <w:tcPr>
            <w:tcW w:w="857"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p>
        </w:tc>
        <w:tc>
          <w:tcPr>
            <w:tcW w:w="859"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2300</w:t>
            </w:r>
          </w:p>
        </w:tc>
        <w:tc>
          <w:tcPr>
            <w:tcW w:w="857"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w:t>
            </w:r>
          </w:p>
        </w:tc>
        <w:tc>
          <w:tcPr>
            <w:tcW w:w="857"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3</w:t>
            </w:r>
          </w:p>
        </w:tc>
        <w:tc>
          <w:tcPr>
            <w:tcW w:w="858" w:type="dxa"/>
            <w:noWrap w:val="0"/>
            <w:vAlign w:val="center"/>
          </w:tcPr>
          <w:p>
            <w:pPr>
              <w:widowControl/>
              <w:spacing w:line="300" w:lineRule="exact"/>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w:t>
            </w:r>
            <w:r>
              <w:rPr>
                <w:rFonts w:hint="eastAsia" w:ascii="方正仿宋_GBK" w:hAnsi="方正仿宋_GBK" w:eastAsia="方正仿宋_GBK" w:cs="方正仿宋_GBK"/>
                <w:kern w:val="0"/>
                <w:szCs w:val="21"/>
                <w:lang w:val="en-US" w:eastAsia="zh-CN"/>
              </w:rPr>
              <w:t>8</w:t>
            </w:r>
            <w:r>
              <w:rPr>
                <w:rFonts w:hint="eastAsia" w:ascii="方正仿宋_GBK" w:hAnsi="方正仿宋_GBK" w:eastAsia="方正仿宋_GBK" w:cs="方正仿宋_GBK"/>
                <w:kern w:val="0"/>
                <w:szCs w:val="21"/>
              </w:rPr>
              <w:t>00</w:t>
            </w:r>
          </w:p>
        </w:tc>
      </w:tr>
    </w:tbl>
    <w:p>
      <w:pPr>
        <w:spacing w:line="580" w:lineRule="exact"/>
        <w:ind w:left="-630" w:leftChars="-300" w:firstLine="420" w:firstLineChars="200"/>
        <w:sectPr>
          <w:pgSz w:w="16838" w:h="11906" w:orient="landscape"/>
          <w:pgMar w:top="2098" w:right="1588" w:bottom="1701" w:left="1588" w:header="851" w:footer="992" w:gutter="0"/>
          <w:pgBorders>
            <w:top w:val="none" w:sz="0" w:space="0"/>
            <w:left w:val="none" w:sz="0" w:space="0"/>
            <w:bottom w:val="none" w:sz="0" w:space="0"/>
            <w:right w:val="none" w:sz="0" w:space="0"/>
          </w:pgBorders>
          <w:pgNumType w:fmt="decimal"/>
          <w:cols w:space="720" w:num="1"/>
          <w:docGrid w:linePitch="435" w:charSpace="0"/>
        </w:sectPr>
      </w:pPr>
    </w:p>
    <w:p>
      <w:pPr>
        <w:autoSpaceDE w:val="0"/>
        <w:autoSpaceDN w:val="0"/>
        <w:adjustRightInd w:val="0"/>
        <w:jc w:val="left"/>
        <w:outlineLvl w:val="1"/>
        <w:rPr>
          <w:rFonts w:hint="eastAsia" w:ascii="方正仿宋_GBK" w:hAnsi="方正仿宋_GBK" w:eastAsia="方正仿宋_GBK" w:cs="方正仿宋_GBK"/>
          <w:kern w:val="0"/>
          <w:sz w:val="32"/>
          <w:szCs w:val="32"/>
          <w:lang w:val="en-US" w:eastAsia="zh-CN"/>
        </w:rPr>
      </w:pPr>
      <w:bookmarkStart w:id="310" w:name="_Toc13674"/>
      <w:bookmarkStart w:id="311" w:name="_Toc15657"/>
      <w:bookmarkStart w:id="312" w:name="_Toc24624"/>
      <w:bookmarkStart w:id="313" w:name="_Toc13967"/>
      <w:bookmarkStart w:id="314" w:name="_Toc21903"/>
      <w:bookmarkStart w:id="315" w:name="_Toc13559"/>
      <w:bookmarkStart w:id="316" w:name="_Toc20809"/>
      <w:bookmarkStart w:id="317" w:name="_Toc1282"/>
      <w:bookmarkStart w:id="318" w:name="_Toc11659"/>
      <w:bookmarkStart w:id="319" w:name="_Toc14346"/>
      <w:bookmarkStart w:id="320" w:name="_Toc81918622"/>
      <w:bookmarkStart w:id="321" w:name="_Toc26138"/>
      <w:r>
        <w:rPr>
          <w:rFonts w:hint="eastAsia" w:ascii="方正仿宋_GBK" w:hAnsi="方正仿宋_GBK" w:eastAsia="方正仿宋_GBK" w:cs="方正仿宋_GBK"/>
          <w:kern w:val="0"/>
          <w:sz w:val="32"/>
          <w:szCs w:val="32"/>
        </w:rPr>
        <w:t>附表</w:t>
      </w:r>
      <w:bookmarkEnd w:id="310"/>
      <w:bookmarkEnd w:id="311"/>
      <w:bookmarkEnd w:id="312"/>
      <w:bookmarkEnd w:id="313"/>
      <w:bookmarkEnd w:id="314"/>
      <w:bookmarkEnd w:id="315"/>
      <w:bookmarkEnd w:id="316"/>
      <w:bookmarkEnd w:id="317"/>
      <w:bookmarkEnd w:id="318"/>
      <w:bookmarkEnd w:id="319"/>
      <w:bookmarkEnd w:id="320"/>
      <w:bookmarkEnd w:id="321"/>
      <w:r>
        <w:rPr>
          <w:rFonts w:hint="eastAsia" w:ascii="方正仿宋_GBK" w:hAnsi="方正仿宋_GBK" w:eastAsia="方正仿宋_GBK" w:cs="方正仿宋_GBK"/>
          <w:kern w:val="0"/>
          <w:sz w:val="32"/>
          <w:szCs w:val="32"/>
          <w:lang w:val="en-US" w:eastAsia="zh-CN"/>
        </w:rPr>
        <w:t>5</w:t>
      </w:r>
    </w:p>
    <w:p>
      <w:pPr>
        <w:pStyle w:val="2"/>
        <w:rPr>
          <w:rFonts w:hint="eastAsia"/>
          <w:lang w:val="en-US" w:eastAsia="zh-CN"/>
        </w:rPr>
      </w:pPr>
    </w:p>
    <w:p>
      <w:pPr>
        <w:pStyle w:val="6"/>
        <w:spacing w:before="120" w:after="120"/>
        <w:jc w:val="center"/>
        <w:rPr>
          <w:rFonts w:hint="eastAsia" w:ascii="方正小标宋_GBK" w:hAnsi="方正小标宋_GBK" w:eastAsia="方正小标宋_GBK" w:cs="方正小标宋_GBK"/>
          <w:b w:val="0"/>
          <w:bCs w:val="0"/>
          <w:kern w:val="2"/>
          <w:sz w:val="28"/>
          <w:szCs w:val="32"/>
          <w:lang w:val="en-US" w:eastAsia="zh-CN" w:bidi="ar-SA"/>
        </w:rPr>
      </w:pPr>
      <w:bookmarkStart w:id="322" w:name="_Toc81918623"/>
      <w:bookmarkStart w:id="323" w:name="_Toc16469"/>
      <w:bookmarkStart w:id="324" w:name="_Toc32486"/>
      <w:bookmarkStart w:id="325" w:name="_Toc27527"/>
      <w:bookmarkStart w:id="326" w:name="_Toc27537"/>
      <w:r>
        <w:rPr>
          <w:rFonts w:hint="eastAsia" w:ascii="方正小标宋_GBK" w:hAnsi="方正小标宋_GBK" w:eastAsia="方正小标宋_GBK" w:cs="方正小标宋_GBK"/>
          <w:b w:val="0"/>
          <w:bCs w:val="0"/>
          <w:kern w:val="2"/>
          <w:sz w:val="28"/>
          <w:szCs w:val="32"/>
          <w:lang w:val="en-US" w:eastAsia="zh-CN" w:bidi="ar-SA"/>
        </w:rPr>
        <w:t>江门市江海区“十四五”期间微型消防站达标建设规划表</w:t>
      </w:r>
      <w:bookmarkEnd w:id="322"/>
      <w:bookmarkEnd w:id="323"/>
      <w:bookmarkEnd w:id="324"/>
      <w:bookmarkEnd w:id="325"/>
      <w:bookmarkEnd w:id="326"/>
    </w:p>
    <w:tbl>
      <w:tblPr>
        <w:tblStyle w:val="19"/>
        <w:tblW w:w="14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887"/>
        <w:gridCol w:w="887"/>
        <w:gridCol w:w="887"/>
        <w:gridCol w:w="887"/>
        <w:gridCol w:w="887"/>
        <w:gridCol w:w="887"/>
        <w:gridCol w:w="887"/>
        <w:gridCol w:w="887"/>
        <w:gridCol w:w="887"/>
        <w:gridCol w:w="887"/>
        <w:gridCol w:w="888"/>
        <w:gridCol w:w="888"/>
        <w:gridCol w:w="888"/>
        <w:gridCol w:w="888"/>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45" w:type="dxa"/>
            <w:vMerge w:val="restart"/>
            <w:noWrap w:val="0"/>
            <w:vAlign w:val="center"/>
          </w:tcPr>
          <w:p>
            <w:pPr>
              <w:widowControl/>
              <w:spacing w:line="240" w:lineRule="exact"/>
              <w:jc w:val="center"/>
              <w:rPr>
                <w:rFonts w:hint="eastAsia" w:ascii="方正黑体_GBK" w:hAnsi="方正黑体_GBK" w:eastAsia="方正黑体_GBK" w:cs="方正黑体_GBK"/>
                <w:b w:val="0"/>
                <w:bCs w:val="0"/>
                <w:lang w:eastAsia="zh-CN"/>
              </w:rPr>
            </w:pPr>
            <w:r>
              <w:rPr>
                <w:rFonts w:hint="eastAsia" w:ascii="方正黑体_GBK" w:hAnsi="方正黑体_GBK" w:eastAsia="方正黑体_GBK" w:cs="方正黑体_GBK"/>
                <w:b w:val="0"/>
                <w:bCs w:val="0"/>
                <w:lang w:val="en-US" w:eastAsia="zh-CN"/>
              </w:rPr>
              <w:t>区域</w:t>
            </w:r>
          </w:p>
        </w:tc>
        <w:tc>
          <w:tcPr>
            <w:tcW w:w="850" w:type="dxa"/>
            <w:gridSpan w:val="3"/>
            <w:noWrap w:val="0"/>
            <w:vAlign w:val="center"/>
          </w:tcPr>
          <w:p>
            <w:pPr>
              <w:widowControl/>
              <w:spacing w:line="240" w:lineRule="exact"/>
              <w:jc w:val="both"/>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val="en-US" w:eastAsia="zh-CN"/>
              </w:rPr>
              <w:t>截止至</w:t>
            </w:r>
            <w:r>
              <w:rPr>
                <w:rFonts w:hint="eastAsia" w:ascii="方正黑体_GBK" w:hAnsi="方正黑体_GBK" w:eastAsia="方正黑体_GBK" w:cs="方正黑体_GBK"/>
                <w:b w:val="0"/>
                <w:bCs w:val="0"/>
              </w:rPr>
              <w:t>2021年</w:t>
            </w:r>
            <w:r>
              <w:rPr>
                <w:rFonts w:hint="eastAsia" w:ascii="方正黑体_GBK" w:hAnsi="方正黑体_GBK" w:eastAsia="方正黑体_GBK" w:cs="方正黑体_GBK"/>
                <w:b w:val="0"/>
                <w:bCs w:val="0"/>
                <w:lang w:val="en-US" w:eastAsia="zh-CN"/>
              </w:rPr>
              <w:t>底建设</w:t>
            </w:r>
            <w:r>
              <w:rPr>
                <w:rFonts w:hint="eastAsia" w:ascii="方正黑体_GBK" w:hAnsi="方正黑体_GBK" w:eastAsia="方正黑体_GBK" w:cs="方正黑体_GBK"/>
                <w:b w:val="0"/>
                <w:bCs w:val="0"/>
              </w:rPr>
              <w:t>总量</w:t>
            </w:r>
          </w:p>
        </w:tc>
        <w:tc>
          <w:tcPr>
            <w:tcW w:w="850" w:type="dxa"/>
            <w:gridSpan w:val="3"/>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val="en-US" w:eastAsia="zh-CN"/>
              </w:rPr>
              <w:t>截止至</w:t>
            </w:r>
            <w:r>
              <w:rPr>
                <w:rFonts w:hint="eastAsia" w:ascii="方正黑体_GBK" w:hAnsi="方正黑体_GBK" w:eastAsia="方正黑体_GBK" w:cs="方正黑体_GBK"/>
                <w:b w:val="0"/>
                <w:bCs w:val="0"/>
              </w:rPr>
              <w:t>202</w:t>
            </w:r>
            <w:r>
              <w:rPr>
                <w:rFonts w:hint="eastAsia" w:ascii="方正黑体_GBK" w:hAnsi="方正黑体_GBK" w:eastAsia="方正黑体_GBK" w:cs="方正黑体_GBK"/>
                <w:b w:val="0"/>
                <w:bCs w:val="0"/>
                <w:lang w:val="en-US" w:eastAsia="zh-CN"/>
              </w:rPr>
              <w:t>2</w:t>
            </w:r>
            <w:r>
              <w:rPr>
                <w:rFonts w:hint="eastAsia" w:ascii="方正黑体_GBK" w:hAnsi="方正黑体_GBK" w:eastAsia="方正黑体_GBK" w:cs="方正黑体_GBK"/>
                <w:b w:val="0"/>
                <w:bCs w:val="0"/>
              </w:rPr>
              <w:t>年</w:t>
            </w:r>
            <w:r>
              <w:rPr>
                <w:rFonts w:hint="eastAsia" w:ascii="方正黑体_GBK" w:hAnsi="方正黑体_GBK" w:eastAsia="方正黑体_GBK" w:cs="方正黑体_GBK"/>
                <w:b w:val="0"/>
                <w:bCs w:val="0"/>
                <w:lang w:val="en-US" w:eastAsia="zh-CN"/>
              </w:rPr>
              <w:t>底建设</w:t>
            </w:r>
            <w:r>
              <w:rPr>
                <w:rFonts w:hint="eastAsia" w:ascii="方正黑体_GBK" w:hAnsi="方正黑体_GBK" w:eastAsia="方正黑体_GBK" w:cs="方正黑体_GBK"/>
                <w:b w:val="0"/>
                <w:bCs w:val="0"/>
              </w:rPr>
              <w:t>总量</w:t>
            </w:r>
          </w:p>
        </w:tc>
        <w:tc>
          <w:tcPr>
            <w:tcW w:w="850" w:type="dxa"/>
            <w:gridSpan w:val="3"/>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val="en-US" w:eastAsia="zh-CN"/>
              </w:rPr>
              <w:t>截止至</w:t>
            </w:r>
            <w:r>
              <w:rPr>
                <w:rFonts w:hint="eastAsia" w:ascii="方正黑体_GBK" w:hAnsi="方正黑体_GBK" w:eastAsia="方正黑体_GBK" w:cs="方正黑体_GBK"/>
                <w:b w:val="0"/>
                <w:bCs w:val="0"/>
              </w:rPr>
              <w:t>202</w:t>
            </w:r>
            <w:r>
              <w:rPr>
                <w:rFonts w:hint="eastAsia" w:ascii="方正黑体_GBK" w:hAnsi="方正黑体_GBK" w:eastAsia="方正黑体_GBK" w:cs="方正黑体_GBK"/>
                <w:b w:val="0"/>
                <w:bCs w:val="0"/>
                <w:lang w:val="en-US" w:eastAsia="zh-CN"/>
              </w:rPr>
              <w:t>3</w:t>
            </w:r>
            <w:r>
              <w:rPr>
                <w:rFonts w:hint="eastAsia" w:ascii="方正黑体_GBK" w:hAnsi="方正黑体_GBK" w:eastAsia="方正黑体_GBK" w:cs="方正黑体_GBK"/>
                <w:b w:val="0"/>
                <w:bCs w:val="0"/>
              </w:rPr>
              <w:t>年</w:t>
            </w:r>
            <w:r>
              <w:rPr>
                <w:rFonts w:hint="eastAsia" w:ascii="方正黑体_GBK" w:hAnsi="方正黑体_GBK" w:eastAsia="方正黑体_GBK" w:cs="方正黑体_GBK"/>
                <w:b w:val="0"/>
                <w:bCs w:val="0"/>
                <w:lang w:val="en-US" w:eastAsia="zh-CN"/>
              </w:rPr>
              <w:t>底建设</w:t>
            </w:r>
            <w:r>
              <w:rPr>
                <w:rFonts w:hint="eastAsia" w:ascii="方正黑体_GBK" w:hAnsi="方正黑体_GBK" w:eastAsia="方正黑体_GBK" w:cs="方正黑体_GBK"/>
                <w:b w:val="0"/>
                <w:bCs w:val="0"/>
              </w:rPr>
              <w:t>总量</w:t>
            </w:r>
          </w:p>
        </w:tc>
        <w:tc>
          <w:tcPr>
            <w:tcW w:w="850" w:type="dxa"/>
            <w:gridSpan w:val="3"/>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val="en-US" w:eastAsia="zh-CN"/>
              </w:rPr>
              <w:t>截止至</w:t>
            </w:r>
            <w:r>
              <w:rPr>
                <w:rFonts w:hint="eastAsia" w:ascii="方正黑体_GBK" w:hAnsi="方正黑体_GBK" w:eastAsia="方正黑体_GBK" w:cs="方正黑体_GBK"/>
                <w:b w:val="0"/>
                <w:bCs w:val="0"/>
              </w:rPr>
              <w:t>202</w:t>
            </w:r>
            <w:r>
              <w:rPr>
                <w:rFonts w:hint="eastAsia" w:ascii="方正黑体_GBK" w:hAnsi="方正黑体_GBK" w:eastAsia="方正黑体_GBK" w:cs="方正黑体_GBK"/>
                <w:b w:val="0"/>
                <w:bCs w:val="0"/>
                <w:lang w:val="en-US" w:eastAsia="zh-CN"/>
              </w:rPr>
              <w:t>4</w:t>
            </w:r>
            <w:r>
              <w:rPr>
                <w:rFonts w:hint="eastAsia" w:ascii="方正黑体_GBK" w:hAnsi="方正黑体_GBK" w:eastAsia="方正黑体_GBK" w:cs="方正黑体_GBK"/>
                <w:b w:val="0"/>
                <w:bCs w:val="0"/>
              </w:rPr>
              <w:t>年</w:t>
            </w:r>
            <w:r>
              <w:rPr>
                <w:rFonts w:hint="eastAsia" w:ascii="方正黑体_GBK" w:hAnsi="方正黑体_GBK" w:eastAsia="方正黑体_GBK" w:cs="方正黑体_GBK"/>
                <w:b w:val="0"/>
                <w:bCs w:val="0"/>
                <w:lang w:val="en-US" w:eastAsia="zh-CN"/>
              </w:rPr>
              <w:t>底建设</w:t>
            </w:r>
            <w:r>
              <w:rPr>
                <w:rFonts w:hint="eastAsia" w:ascii="方正黑体_GBK" w:hAnsi="方正黑体_GBK" w:eastAsia="方正黑体_GBK" w:cs="方正黑体_GBK"/>
                <w:b w:val="0"/>
                <w:bCs w:val="0"/>
              </w:rPr>
              <w:t>总量</w:t>
            </w:r>
          </w:p>
        </w:tc>
        <w:tc>
          <w:tcPr>
            <w:tcW w:w="850" w:type="dxa"/>
            <w:gridSpan w:val="3"/>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val="en-US" w:eastAsia="zh-CN"/>
              </w:rPr>
              <w:t>截止至</w:t>
            </w:r>
            <w:r>
              <w:rPr>
                <w:rFonts w:hint="eastAsia" w:ascii="方正黑体_GBK" w:hAnsi="方正黑体_GBK" w:eastAsia="方正黑体_GBK" w:cs="方正黑体_GBK"/>
                <w:b w:val="0"/>
                <w:bCs w:val="0"/>
              </w:rPr>
              <w:t>202</w:t>
            </w:r>
            <w:r>
              <w:rPr>
                <w:rFonts w:hint="eastAsia" w:ascii="方正黑体_GBK" w:hAnsi="方正黑体_GBK" w:eastAsia="方正黑体_GBK" w:cs="方正黑体_GBK"/>
                <w:b w:val="0"/>
                <w:bCs w:val="0"/>
                <w:lang w:val="en-US" w:eastAsia="zh-CN"/>
              </w:rPr>
              <w:t>5</w:t>
            </w:r>
            <w:r>
              <w:rPr>
                <w:rFonts w:hint="eastAsia" w:ascii="方正黑体_GBK" w:hAnsi="方正黑体_GBK" w:eastAsia="方正黑体_GBK" w:cs="方正黑体_GBK"/>
                <w:b w:val="0"/>
                <w:bCs w:val="0"/>
              </w:rPr>
              <w:t>年</w:t>
            </w:r>
            <w:r>
              <w:rPr>
                <w:rFonts w:hint="eastAsia" w:ascii="方正黑体_GBK" w:hAnsi="方正黑体_GBK" w:eastAsia="方正黑体_GBK" w:cs="方正黑体_GBK"/>
                <w:b w:val="0"/>
                <w:bCs w:val="0"/>
                <w:lang w:val="en-US" w:eastAsia="zh-CN"/>
              </w:rPr>
              <w:t>底建设</w:t>
            </w:r>
            <w:r>
              <w:rPr>
                <w:rFonts w:hint="eastAsia" w:ascii="方正黑体_GBK" w:hAnsi="方正黑体_GBK" w:eastAsia="方正黑体_GBK" w:cs="方正黑体_GBK"/>
                <w:b w:val="0"/>
                <w:bCs w:val="0"/>
              </w:rPr>
              <w:t>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945" w:type="dxa"/>
            <w:vMerge w:val="continue"/>
            <w:noWrap w:val="0"/>
            <w:vAlign w:val="center"/>
          </w:tcPr>
          <w:p>
            <w:pPr>
              <w:widowControl/>
              <w:spacing w:line="240" w:lineRule="exact"/>
              <w:jc w:val="center"/>
              <w:rPr>
                <w:rFonts w:hint="eastAsia" w:ascii="方正黑体_GBK" w:hAnsi="方正黑体_GBK" w:eastAsia="方正黑体_GBK" w:cs="方正黑体_GBK"/>
                <w:b w:val="0"/>
                <w:bCs w:val="0"/>
              </w:rPr>
            </w:pP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村居微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社区微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消防安</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全重点</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单位微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村居微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社区微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消防安</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全重点</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单位微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村居微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社区微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消防安</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全重点</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单位微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村居微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社区微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消防安</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全重点</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单位微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村居微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社区微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c>
          <w:tcPr>
            <w:tcW w:w="850" w:type="dxa"/>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消防安</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全重点</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单位微</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型消防</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站（个）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45"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江海区</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17</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15</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55</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25</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17</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61</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33</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19</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68</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41</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rPr>
              <w:t>2</w:t>
            </w:r>
            <w:r>
              <w:rPr>
                <w:rFonts w:hint="eastAsia" w:ascii="方正仿宋_GBK" w:hAnsi="方正仿宋_GBK" w:eastAsia="方正仿宋_GBK" w:cs="方正仿宋_GBK"/>
                <w:kern w:val="0"/>
                <w:szCs w:val="21"/>
                <w:lang w:val="en-US" w:eastAsia="zh-CN"/>
              </w:rPr>
              <w:t>2</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74</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41</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rPr>
              <w:t>2</w:t>
            </w:r>
            <w:r>
              <w:rPr>
                <w:rFonts w:hint="eastAsia" w:ascii="方正仿宋_GBK" w:hAnsi="方正仿宋_GBK" w:eastAsia="方正仿宋_GBK" w:cs="方正仿宋_GBK"/>
                <w:kern w:val="0"/>
                <w:szCs w:val="21"/>
                <w:lang w:val="en-US" w:eastAsia="zh-CN"/>
              </w:rPr>
              <w:t>2</w:t>
            </w:r>
          </w:p>
        </w:tc>
        <w:tc>
          <w:tcPr>
            <w:tcW w:w="850"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80</w:t>
            </w:r>
          </w:p>
        </w:tc>
      </w:tr>
    </w:tbl>
    <w:p>
      <w:pPr>
        <w:spacing w:line="580" w:lineRule="exact"/>
        <w:ind w:firstLine="420" w:firstLineChars="200"/>
        <w:jc w:val="center"/>
        <w:rPr>
          <w:rFonts w:ascii="仿宋_GB2312"/>
          <w:bCs/>
          <w:szCs w:val="21"/>
        </w:rPr>
      </w:pPr>
    </w:p>
    <w:p>
      <w:pPr>
        <w:rPr>
          <w:rFonts w:hint="eastAsia" w:ascii="仿宋_GB2312" w:hAnsi="Calibri" w:eastAsia="仿宋_GB2312" w:cs="仿宋_GB2312"/>
          <w:kern w:val="0"/>
          <w:sz w:val="32"/>
          <w:szCs w:val="32"/>
          <w:lang w:val="en-US" w:eastAsia="zh-CN"/>
        </w:rPr>
      </w:pPr>
      <w:bookmarkStart w:id="327" w:name="_Toc13937"/>
      <w:bookmarkStart w:id="328" w:name="_Toc11518"/>
      <w:bookmarkStart w:id="329" w:name="_Toc24457"/>
      <w:bookmarkStart w:id="330" w:name="_Toc31576"/>
      <w:bookmarkStart w:id="331" w:name="_Toc5353"/>
      <w:bookmarkStart w:id="332" w:name="_Toc23514"/>
      <w:r>
        <w:rPr>
          <w:rFonts w:hint="eastAsia" w:ascii="仿宋_GB2312" w:hAnsi="Calibri" w:eastAsia="仿宋_GB2312" w:cs="仿宋_GB2312"/>
          <w:kern w:val="0"/>
          <w:sz w:val="32"/>
          <w:szCs w:val="32"/>
        </w:rPr>
        <w:br w:type="page"/>
      </w:r>
      <w:bookmarkStart w:id="333" w:name="_Toc81918624"/>
      <w:bookmarkStart w:id="334" w:name="_Toc17370"/>
      <w:bookmarkStart w:id="335" w:name="_Toc11097"/>
      <w:bookmarkStart w:id="336" w:name="_Toc5149"/>
      <w:r>
        <w:rPr>
          <w:rFonts w:hint="eastAsia" w:ascii="方正仿宋_GBK" w:hAnsi="方正仿宋_GBK" w:eastAsia="方正仿宋_GBK" w:cs="方正仿宋_GBK"/>
          <w:kern w:val="0"/>
          <w:sz w:val="32"/>
          <w:szCs w:val="32"/>
        </w:rPr>
        <w:t>附表</w:t>
      </w:r>
      <w:bookmarkEnd w:id="327"/>
      <w:bookmarkEnd w:id="328"/>
      <w:bookmarkEnd w:id="329"/>
      <w:bookmarkEnd w:id="330"/>
      <w:bookmarkEnd w:id="331"/>
      <w:bookmarkEnd w:id="332"/>
      <w:bookmarkEnd w:id="333"/>
      <w:bookmarkEnd w:id="334"/>
      <w:bookmarkEnd w:id="335"/>
      <w:bookmarkEnd w:id="336"/>
      <w:r>
        <w:rPr>
          <w:rFonts w:hint="eastAsia" w:ascii="方正仿宋_GBK" w:hAnsi="方正仿宋_GBK" w:eastAsia="方正仿宋_GBK" w:cs="方正仿宋_GBK"/>
          <w:kern w:val="0"/>
          <w:sz w:val="32"/>
          <w:szCs w:val="32"/>
          <w:lang w:val="en-US" w:eastAsia="zh-CN"/>
        </w:rPr>
        <w:t>6</w:t>
      </w:r>
    </w:p>
    <w:p>
      <w:pPr>
        <w:pStyle w:val="6"/>
        <w:spacing w:before="120" w:after="120"/>
        <w:jc w:val="center"/>
        <w:rPr>
          <w:rFonts w:hint="eastAsia" w:ascii="方正小标宋_GBK" w:hAnsi="方正小标宋_GBK" w:eastAsia="方正小标宋_GBK" w:cs="方正小标宋_GBK"/>
          <w:b w:val="0"/>
          <w:bCs w:val="0"/>
          <w:kern w:val="2"/>
          <w:sz w:val="28"/>
          <w:szCs w:val="32"/>
          <w:lang w:val="en-US" w:eastAsia="zh-CN" w:bidi="ar-SA"/>
        </w:rPr>
      </w:pPr>
      <w:bookmarkStart w:id="337" w:name="_Toc9569"/>
      <w:bookmarkStart w:id="338" w:name="_Toc81918625"/>
      <w:bookmarkStart w:id="339" w:name="_Toc12810"/>
      <w:bookmarkStart w:id="340" w:name="_Toc3593"/>
      <w:bookmarkStart w:id="341" w:name="_Toc3084"/>
      <w:r>
        <w:rPr>
          <w:rFonts w:hint="eastAsia" w:ascii="方正小标宋_GBK" w:hAnsi="方正小标宋_GBK" w:eastAsia="方正小标宋_GBK" w:cs="方正小标宋_GBK"/>
          <w:b w:val="0"/>
          <w:bCs w:val="0"/>
          <w:kern w:val="2"/>
          <w:sz w:val="28"/>
          <w:szCs w:val="32"/>
          <w:lang w:val="en-US" w:eastAsia="zh-CN" w:bidi="ar-SA"/>
        </w:rPr>
        <w:t>江门市江海区“十四五”期间市政消火栓和消防取水平台建设规划表</w:t>
      </w:r>
      <w:bookmarkEnd w:id="337"/>
      <w:bookmarkEnd w:id="338"/>
      <w:bookmarkEnd w:id="339"/>
      <w:bookmarkEnd w:id="340"/>
      <w:bookmarkEnd w:id="341"/>
    </w:p>
    <w:tbl>
      <w:tblPr>
        <w:tblStyle w:val="19"/>
        <w:tblpPr w:leftFromText="180" w:rightFromText="180" w:vertAnchor="text" w:horzAnchor="page" w:tblpXSpec="center" w:tblpY="124"/>
        <w:tblOverlap w:val="never"/>
        <w:tblW w:w="14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222"/>
        <w:gridCol w:w="1223"/>
        <w:gridCol w:w="1294"/>
        <w:gridCol w:w="1294"/>
        <w:gridCol w:w="1294"/>
        <w:gridCol w:w="1295"/>
        <w:gridCol w:w="1295"/>
        <w:gridCol w:w="1295"/>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437" w:type="dxa"/>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片区年份</w:t>
            </w:r>
          </w:p>
        </w:tc>
        <w:tc>
          <w:tcPr>
            <w:tcW w:w="2445" w:type="dxa"/>
            <w:gridSpan w:val="2"/>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2021</w:t>
            </w:r>
          </w:p>
        </w:tc>
        <w:tc>
          <w:tcPr>
            <w:tcW w:w="2588" w:type="dxa"/>
            <w:gridSpan w:val="2"/>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2022</w:t>
            </w:r>
          </w:p>
        </w:tc>
        <w:tc>
          <w:tcPr>
            <w:tcW w:w="2589" w:type="dxa"/>
            <w:gridSpan w:val="2"/>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2023</w:t>
            </w:r>
          </w:p>
        </w:tc>
        <w:tc>
          <w:tcPr>
            <w:tcW w:w="2590" w:type="dxa"/>
            <w:gridSpan w:val="2"/>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2024</w:t>
            </w:r>
          </w:p>
        </w:tc>
        <w:tc>
          <w:tcPr>
            <w:tcW w:w="2590" w:type="dxa"/>
            <w:gridSpan w:val="2"/>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437" w:type="dxa"/>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建设类别</w:t>
            </w:r>
          </w:p>
        </w:tc>
        <w:tc>
          <w:tcPr>
            <w:tcW w:w="1222" w:type="dxa"/>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市政消火栓</w:t>
            </w:r>
          </w:p>
        </w:tc>
        <w:tc>
          <w:tcPr>
            <w:tcW w:w="1223" w:type="dxa"/>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消防取水平台</w:t>
            </w:r>
          </w:p>
        </w:tc>
        <w:tc>
          <w:tcPr>
            <w:tcW w:w="1294" w:type="dxa"/>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市政消火栓</w:t>
            </w:r>
          </w:p>
        </w:tc>
        <w:tc>
          <w:tcPr>
            <w:tcW w:w="1294" w:type="dxa"/>
            <w:noWrap w:val="0"/>
            <w:vAlign w:val="center"/>
          </w:tcPr>
          <w:p>
            <w:pPr>
              <w:widowControl/>
              <w:jc w:val="center"/>
              <w:textAlignment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消防取水</w:t>
            </w:r>
          </w:p>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平台</w:t>
            </w:r>
          </w:p>
        </w:tc>
        <w:tc>
          <w:tcPr>
            <w:tcW w:w="1294" w:type="dxa"/>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市政消火栓</w:t>
            </w:r>
          </w:p>
        </w:tc>
        <w:tc>
          <w:tcPr>
            <w:tcW w:w="1295" w:type="dxa"/>
            <w:noWrap w:val="0"/>
            <w:vAlign w:val="center"/>
          </w:tcPr>
          <w:p>
            <w:pPr>
              <w:widowControl/>
              <w:jc w:val="center"/>
              <w:textAlignment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消防取水</w:t>
            </w:r>
          </w:p>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平台</w:t>
            </w:r>
          </w:p>
        </w:tc>
        <w:tc>
          <w:tcPr>
            <w:tcW w:w="1295" w:type="dxa"/>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市政消火栓</w:t>
            </w:r>
          </w:p>
        </w:tc>
        <w:tc>
          <w:tcPr>
            <w:tcW w:w="1295" w:type="dxa"/>
            <w:noWrap w:val="0"/>
            <w:vAlign w:val="center"/>
          </w:tcPr>
          <w:p>
            <w:pPr>
              <w:widowControl/>
              <w:jc w:val="center"/>
              <w:textAlignment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消防取水</w:t>
            </w:r>
          </w:p>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平台</w:t>
            </w:r>
          </w:p>
        </w:tc>
        <w:tc>
          <w:tcPr>
            <w:tcW w:w="1295" w:type="dxa"/>
            <w:noWrap w:val="0"/>
            <w:vAlign w:val="center"/>
          </w:tcPr>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市政消火栓</w:t>
            </w:r>
          </w:p>
        </w:tc>
        <w:tc>
          <w:tcPr>
            <w:tcW w:w="1295" w:type="dxa"/>
            <w:noWrap w:val="0"/>
            <w:vAlign w:val="center"/>
          </w:tcPr>
          <w:p>
            <w:pPr>
              <w:widowControl/>
              <w:jc w:val="center"/>
              <w:textAlignment w:val="center"/>
              <w:rPr>
                <w:rFonts w:hint="eastAsia" w:ascii="方正黑体_GBK" w:hAnsi="方正黑体_GBK" w:eastAsia="方正黑体_GBK" w:cs="方正黑体_GBK"/>
                <w:b w:val="0"/>
                <w:bCs w:val="0"/>
                <w:color w:val="000000"/>
                <w:kern w:val="0"/>
                <w:szCs w:val="21"/>
              </w:rPr>
            </w:pPr>
            <w:r>
              <w:rPr>
                <w:rFonts w:hint="eastAsia" w:ascii="方正黑体_GBK" w:hAnsi="方正黑体_GBK" w:eastAsia="方正黑体_GBK" w:cs="方正黑体_GBK"/>
                <w:b w:val="0"/>
                <w:bCs w:val="0"/>
                <w:color w:val="000000"/>
                <w:kern w:val="0"/>
                <w:szCs w:val="21"/>
              </w:rPr>
              <w:t>消防取水</w:t>
            </w:r>
          </w:p>
          <w:p>
            <w:pPr>
              <w:widowControl/>
              <w:jc w:val="center"/>
              <w:textAlignment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color w:val="000000"/>
                <w:kern w:val="0"/>
                <w:szCs w:val="21"/>
              </w:rPr>
              <w:t>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7"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江海区</w:t>
            </w:r>
          </w:p>
        </w:tc>
        <w:tc>
          <w:tcPr>
            <w:tcW w:w="1222"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100</w:t>
            </w:r>
          </w:p>
        </w:tc>
        <w:tc>
          <w:tcPr>
            <w:tcW w:w="1223"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94"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95</w:t>
            </w:r>
          </w:p>
        </w:tc>
        <w:tc>
          <w:tcPr>
            <w:tcW w:w="1294"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94"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95</w:t>
            </w:r>
          </w:p>
        </w:tc>
        <w:tc>
          <w:tcPr>
            <w:tcW w:w="1295"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95"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90</w:t>
            </w:r>
          </w:p>
        </w:tc>
        <w:tc>
          <w:tcPr>
            <w:tcW w:w="1295"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95"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90</w:t>
            </w:r>
          </w:p>
        </w:tc>
        <w:tc>
          <w:tcPr>
            <w:tcW w:w="1295" w:type="dxa"/>
            <w:noWrap w:val="0"/>
            <w:vAlign w:val="center"/>
          </w:tcPr>
          <w:p>
            <w:pPr>
              <w:widowControl/>
              <w:jc w:val="center"/>
              <w:textAlignment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r>
    </w:tbl>
    <w:p>
      <w:pPr>
        <w:rPr>
          <w:rFonts w:hint="eastAsia" w:ascii="仿宋_GB2312" w:hAnsi="Calibri" w:eastAsia="仿宋_GB2312" w:cs="仿宋_GB2312"/>
          <w:kern w:val="0"/>
          <w:sz w:val="32"/>
          <w:szCs w:val="32"/>
          <w:lang w:val="en-US" w:eastAsia="zh-CN"/>
        </w:rPr>
      </w:pPr>
      <w:r>
        <w:rPr>
          <w:rFonts w:hint="eastAsia" w:ascii="仿宋_GB2312" w:hAnsi="Calibri" w:eastAsia="仿宋_GB2312" w:cs="仿宋_GB2312"/>
          <w:kern w:val="0"/>
          <w:sz w:val="32"/>
          <w:szCs w:val="32"/>
        </w:rPr>
        <w:br w:type="page"/>
      </w:r>
      <w:bookmarkStart w:id="342" w:name="_Toc19592"/>
      <w:bookmarkStart w:id="343" w:name="_Toc81918626"/>
      <w:bookmarkStart w:id="344" w:name="_Toc25172"/>
      <w:bookmarkStart w:id="345" w:name="_Toc25630"/>
      <w:r>
        <w:rPr>
          <w:rFonts w:hint="eastAsia" w:ascii="方正仿宋_GBK" w:hAnsi="方正仿宋_GBK" w:eastAsia="方正仿宋_GBK" w:cs="方正仿宋_GBK"/>
          <w:kern w:val="0"/>
          <w:sz w:val="32"/>
          <w:szCs w:val="32"/>
        </w:rPr>
        <w:t>附表</w:t>
      </w:r>
      <w:bookmarkEnd w:id="342"/>
      <w:bookmarkEnd w:id="343"/>
      <w:bookmarkEnd w:id="344"/>
      <w:bookmarkEnd w:id="345"/>
      <w:bookmarkStart w:id="346" w:name="_Toc81918627"/>
      <w:r>
        <w:rPr>
          <w:rFonts w:hint="eastAsia" w:ascii="方正仿宋_GBK" w:hAnsi="方正仿宋_GBK" w:eastAsia="方正仿宋_GBK" w:cs="方正仿宋_GBK"/>
          <w:kern w:val="0"/>
          <w:sz w:val="32"/>
          <w:szCs w:val="32"/>
          <w:lang w:val="en-US" w:eastAsia="zh-CN"/>
        </w:rPr>
        <w:t>7</w:t>
      </w:r>
    </w:p>
    <w:p>
      <w:pPr>
        <w:pStyle w:val="6"/>
        <w:spacing w:before="120" w:after="120"/>
        <w:jc w:val="center"/>
        <w:rPr>
          <w:rFonts w:hint="eastAsia" w:ascii="方正小标宋_GBK" w:hAnsi="方正小标宋_GBK" w:eastAsia="方正小标宋_GBK" w:cs="方正小标宋_GBK"/>
          <w:b w:val="0"/>
          <w:bCs w:val="0"/>
          <w:kern w:val="2"/>
          <w:sz w:val="28"/>
          <w:szCs w:val="32"/>
          <w:lang w:val="en-US" w:eastAsia="zh-CN" w:bidi="ar-SA"/>
        </w:rPr>
      </w:pPr>
      <w:r>
        <w:rPr>
          <w:rFonts w:hint="eastAsia" w:ascii="方正小标宋_GBK" w:hAnsi="方正小标宋_GBK" w:eastAsia="方正小标宋_GBK" w:cs="方正小标宋_GBK"/>
          <w:b w:val="0"/>
          <w:bCs w:val="0"/>
          <w:kern w:val="2"/>
          <w:sz w:val="28"/>
          <w:szCs w:val="32"/>
          <w:lang w:val="en-US" w:eastAsia="zh-CN" w:bidi="ar-SA"/>
        </w:rPr>
        <w:t>江门市江海区“十四五”期间消防车辆配置规划表</w:t>
      </w:r>
      <w:bookmarkEnd w:id="346"/>
    </w:p>
    <w:tbl>
      <w:tblPr>
        <w:tblStyle w:val="18"/>
        <w:tblW w:w="4999" w:type="pct"/>
        <w:jc w:val="center"/>
        <w:tblLayout w:type="autofit"/>
        <w:tblCellMar>
          <w:top w:w="0" w:type="dxa"/>
          <w:left w:w="0" w:type="dxa"/>
          <w:bottom w:w="0" w:type="dxa"/>
          <w:right w:w="0" w:type="dxa"/>
        </w:tblCellMar>
      </w:tblPr>
      <w:tblGrid>
        <w:gridCol w:w="5130"/>
        <w:gridCol w:w="6029"/>
        <w:gridCol w:w="705"/>
        <w:gridCol w:w="705"/>
        <w:gridCol w:w="705"/>
        <w:gridCol w:w="711"/>
      </w:tblGrid>
      <w:tr>
        <w:tblPrEx>
          <w:tblCellMar>
            <w:top w:w="0" w:type="dxa"/>
            <w:left w:w="0" w:type="dxa"/>
            <w:bottom w:w="0" w:type="dxa"/>
            <w:right w:w="0" w:type="dxa"/>
          </w:tblCellMar>
        </w:tblPrEx>
        <w:trPr>
          <w:trHeight w:val="285" w:hRule="atLeast"/>
          <w:jc w:val="center"/>
        </w:trPr>
        <w:tc>
          <w:tcPr>
            <w:tcW w:w="3989" w:type="pct"/>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装备项目</w:t>
            </w:r>
          </w:p>
        </w:tc>
        <w:tc>
          <w:tcPr>
            <w:tcW w:w="1010" w:type="pct"/>
            <w:gridSpan w:val="4"/>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江海区</w:t>
            </w:r>
          </w:p>
        </w:tc>
      </w:tr>
      <w:tr>
        <w:tblPrEx>
          <w:tblCellMar>
            <w:top w:w="0" w:type="dxa"/>
            <w:left w:w="0" w:type="dxa"/>
            <w:bottom w:w="0" w:type="dxa"/>
            <w:right w:w="0" w:type="dxa"/>
          </w:tblCellMar>
        </w:tblPrEx>
        <w:trPr>
          <w:trHeight w:val="359" w:hRule="atLeast"/>
          <w:jc w:val="center"/>
        </w:trPr>
        <w:tc>
          <w:tcPr>
            <w:tcW w:w="1834"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黑体_GBK" w:hAnsi="方正黑体_GBK" w:eastAsia="方正黑体_GBK" w:cs="方正黑体_GBK"/>
                <w:b w:val="0"/>
                <w:bCs w:val="0"/>
                <w:sz w:val="24"/>
              </w:rPr>
            </w:pPr>
          </w:p>
        </w:tc>
        <w:tc>
          <w:tcPr>
            <w:tcW w:w="2155" w:type="pct"/>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both"/>
              <w:rPr>
                <w:rFonts w:hint="eastAsia" w:ascii="方正黑体_GBK" w:hAnsi="方正黑体_GBK" w:eastAsia="方正黑体_GBK" w:cs="方正黑体_GBK"/>
                <w:b w:val="0"/>
                <w:bCs w:val="0"/>
                <w:sz w:val="24"/>
              </w:rPr>
            </w:pPr>
          </w:p>
        </w:tc>
        <w:tc>
          <w:tcPr>
            <w:tcW w:w="252" w:type="pct"/>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黑体_GBK" w:hAnsi="方正黑体_GBK" w:eastAsia="方正黑体_GBK" w:cs="方正黑体_GBK"/>
                <w:b w:val="0"/>
                <w:bCs w:val="0"/>
                <w:sz w:val="11"/>
              </w:rPr>
            </w:pPr>
            <w:r>
              <w:rPr>
                <w:rFonts w:hint="eastAsia" w:ascii="方正黑体_GBK" w:hAnsi="方正黑体_GBK" w:eastAsia="方正黑体_GBK" w:cs="方正黑体_GBK"/>
                <w:b w:val="0"/>
                <w:bCs w:val="0"/>
                <w:sz w:val="11"/>
              </w:rPr>
              <w:t>2022</w:t>
            </w:r>
          </w:p>
        </w:tc>
        <w:tc>
          <w:tcPr>
            <w:tcW w:w="252" w:type="pct"/>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黑体_GBK" w:hAnsi="方正黑体_GBK" w:eastAsia="方正黑体_GBK" w:cs="方正黑体_GBK"/>
                <w:b w:val="0"/>
                <w:bCs w:val="0"/>
                <w:sz w:val="11"/>
              </w:rPr>
            </w:pPr>
            <w:r>
              <w:rPr>
                <w:rFonts w:hint="eastAsia" w:ascii="方正黑体_GBK" w:hAnsi="方正黑体_GBK" w:eastAsia="方正黑体_GBK" w:cs="方正黑体_GBK"/>
                <w:b w:val="0"/>
                <w:bCs w:val="0"/>
                <w:sz w:val="11"/>
              </w:rPr>
              <w:t>2023</w:t>
            </w:r>
          </w:p>
        </w:tc>
        <w:tc>
          <w:tcPr>
            <w:tcW w:w="252" w:type="pct"/>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黑体_GBK" w:hAnsi="方正黑体_GBK" w:eastAsia="方正黑体_GBK" w:cs="方正黑体_GBK"/>
                <w:b w:val="0"/>
                <w:bCs w:val="0"/>
                <w:sz w:val="11"/>
              </w:rPr>
            </w:pPr>
            <w:r>
              <w:rPr>
                <w:rFonts w:hint="eastAsia" w:ascii="方正黑体_GBK" w:hAnsi="方正黑体_GBK" w:eastAsia="方正黑体_GBK" w:cs="方正黑体_GBK"/>
                <w:b w:val="0"/>
                <w:bCs w:val="0"/>
                <w:sz w:val="11"/>
              </w:rPr>
              <w:t>2024</w:t>
            </w:r>
          </w:p>
        </w:tc>
        <w:tc>
          <w:tcPr>
            <w:tcW w:w="253" w:type="pct"/>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黑体_GBK" w:hAnsi="方正黑体_GBK" w:eastAsia="方正黑体_GBK" w:cs="方正黑体_GBK"/>
                <w:b w:val="0"/>
                <w:bCs w:val="0"/>
                <w:sz w:val="11"/>
              </w:rPr>
            </w:pPr>
            <w:r>
              <w:rPr>
                <w:rFonts w:hint="eastAsia" w:ascii="方正黑体_GBK" w:hAnsi="方正黑体_GBK" w:eastAsia="方正黑体_GBK" w:cs="方正黑体_GBK"/>
                <w:b w:val="0"/>
                <w:bCs w:val="0"/>
                <w:sz w:val="11"/>
              </w:rPr>
              <w:t>2025</w:t>
            </w:r>
          </w:p>
        </w:tc>
      </w:tr>
      <w:tr>
        <w:tblPrEx>
          <w:tblCellMar>
            <w:top w:w="0" w:type="dxa"/>
            <w:left w:w="0" w:type="dxa"/>
            <w:bottom w:w="0" w:type="dxa"/>
            <w:right w:w="0" w:type="dxa"/>
          </w:tblCellMar>
        </w:tblPrEx>
        <w:trPr>
          <w:trHeight w:val="455" w:hRule="atLeast"/>
          <w:jc w:val="center"/>
        </w:trPr>
        <w:tc>
          <w:tcPr>
            <w:tcW w:w="1834" w:type="pct"/>
            <w:vMerge w:val="restart"/>
            <w:tcBorders>
              <w:top w:val="nil"/>
              <w:left w:val="single" w:color="auto" w:sz="4" w:space="0"/>
              <w:bottom w:val="single" w:color="000000" w:sz="4" w:space="0"/>
              <w:right w:val="single" w:color="auto" w:sz="4" w:space="0"/>
            </w:tcBorders>
            <w:noWrap/>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8"/>
              </w:rPr>
              <w:t>灭火消防车</w:t>
            </w: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10吨以下水罐（泡沫）消防车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r>
      <w:tr>
        <w:tblPrEx>
          <w:tblCellMar>
            <w:top w:w="0" w:type="dxa"/>
            <w:left w:w="0" w:type="dxa"/>
            <w:bottom w:w="0" w:type="dxa"/>
            <w:right w:w="0" w:type="dxa"/>
          </w:tblCellMar>
        </w:tblPrEx>
        <w:trPr>
          <w:trHeight w:val="485" w:hRule="atLeast"/>
          <w:jc w:val="center"/>
        </w:trPr>
        <w:tc>
          <w:tcPr>
            <w:tcW w:w="1834" w:type="pct"/>
            <w:vMerge w:val="continue"/>
            <w:tcBorders>
              <w:top w:val="nil"/>
              <w:left w:val="single" w:color="auto" w:sz="4" w:space="0"/>
              <w:bottom w:val="single" w:color="000000"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12吨以上水罐（泡沫）消防车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lang w:val="en-US" w:eastAsia="zh-CN"/>
              </w:rPr>
            </w:pPr>
            <w:r>
              <w:rPr>
                <w:rFonts w:hint="eastAsia" w:ascii="方正仿宋_GBK" w:hAnsi="方正仿宋_GBK" w:eastAsia="方正仿宋_GBK" w:cs="方正仿宋_GBK"/>
                <w:color w:val="000000"/>
                <w:sz w:val="16"/>
                <w:lang w:val="en-US" w:eastAsia="zh-CN"/>
              </w:rPr>
              <w:t>1</w:t>
            </w: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lang w:val="en-US" w:eastAsia="zh-CN"/>
              </w:rPr>
            </w:pPr>
            <w:r>
              <w:rPr>
                <w:rFonts w:hint="eastAsia" w:ascii="方正仿宋_GBK" w:hAnsi="方正仿宋_GBK" w:eastAsia="方正仿宋_GBK" w:cs="方正仿宋_GBK"/>
                <w:color w:val="000000"/>
                <w:sz w:val="16"/>
                <w:lang w:val="en-US" w:eastAsia="zh-CN"/>
              </w:rPr>
              <w:t>1</w:t>
            </w: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000000"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干粉消防车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000000"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压缩空气泡沫消防车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r>
              <w:rPr>
                <w:rFonts w:hint="eastAsia" w:ascii="方正仿宋_GBK" w:hAnsi="方正仿宋_GBK" w:eastAsia="方正仿宋_GBK" w:cs="方正仿宋_GBK"/>
                <w:color w:val="000000"/>
                <w:sz w:val="16"/>
              </w:rPr>
              <w:t>1</w:t>
            </w: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r>
      <w:tr>
        <w:tblPrEx>
          <w:tblCellMar>
            <w:top w:w="0" w:type="dxa"/>
            <w:left w:w="0" w:type="dxa"/>
            <w:bottom w:w="0" w:type="dxa"/>
            <w:right w:w="0" w:type="dxa"/>
          </w:tblCellMar>
        </w:tblPrEx>
        <w:trPr>
          <w:trHeight w:val="270" w:hRule="atLeast"/>
          <w:jc w:val="center"/>
        </w:trPr>
        <w:tc>
          <w:tcPr>
            <w:tcW w:w="1834" w:type="pct"/>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举高消防车（70米以下）</w:t>
            </w: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登高平台消防车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lang w:eastAsia="zh-CN"/>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lang w:val="en-US" w:eastAsia="zh-CN"/>
              </w:rPr>
            </w:pPr>
            <w:r>
              <w:rPr>
                <w:rFonts w:hint="eastAsia" w:ascii="方正仿宋_GBK" w:hAnsi="方正仿宋_GBK" w:eastAsia="方正仿宋_GBK" w:cs="方正仿宋_GBK"/>
                <w:color w:val="000000"/>
                <w:sz w:val="16"/>
                <w:lang w:val="en-US" w:eastAsia="zh-CN"/>
              </w:rPr>
              <w:t>1</w:t>
            </w:r>
          </w:p>
        </w:tc>
      </w:tr>
      <w:tr>
        <w:tblPrEx>
          <w:tblCellMar>
            <w:top w:w="0" w:type="dxa"/>
            <w:left w:w="0" w:type="dxa"/>
            <w:bottom w:w="0" w:type="dxa"/>
            <w:right w:w="0" w:type="dxa"/>
          </w:tblCellMar>
        </w:tblPrEx>
        <w:trPr>
          <w:trHeight w:val="343"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云梯消防车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r>
      <w:tr>
        <w:tblPrEx>
          <w:tblCellMar>
            <w:top w:w="0" w:type="dxa"/>
            <w:left w:w="0" w:type="dxa"/>
            <w:bottom w:w="0" w:type="dxa"/>
            <w:right w:w="0" w:type="dxa"/>
          </w:tblCellMar>
        </w:tblPrEx>
        <w:trPr>
          <w:trHeight w:val="260"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举高喷射消防车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r>
      <w:tr>
        <w:tblPrEx>
          <w:tblCellMar>
            <w:top w:w="0" w:type="dxa"/>
            <w:left w:w="0" w:type="dxa"/>
            <w:bottom w:w="0" w:type="dxa"/>
            <w:right w:w="0" w:type="dxa"/>
          </w:tblCellMar>
        </w:tblPrEx>
        <w:trPr>
          <w:trHeight w:val="285" w:hRule="atLeast"/>
          <w:jc w:val="center"/>
        </w:trPr>
        <w:tc>
          <w:tcPr>
            <w:tcW w:w="1834" w:type="pct"/>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专勤消防车</w:t>
            </w: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抢险救援消防车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1</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lang w:eastAsia="zh-CN"/>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高层供水消防车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照明消防车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化学事故抢险救援消防车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color w:val="000000"/>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通信指挥消防车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1</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消防宣传车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1</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火调勘察车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供气消防车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器材运输消防车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供液消防车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供水消防车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自卸式消防车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top w:val="nil"/>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装备抢修车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sz w:val="16"/>
              </w:rPr>
            </w:pPr>
          </w:p>
          <w:p>
            <w:pPr>
              <w:ind w:firstLine="2080" w:firstLineChars="1300"/>
              <w:rPr>
                <w:rFonts w:hint="eastAsia" w:ascii="方正仿宋_GBK" w:hAnsi="方正仿宋_GBK" w:eastAsia="方正仿宋_GBK" w:cs="方正仿宋_GBK"/>
              </w:rPr>
            </w:pPr>
            <w:r>
              <w:rPr>
                <w:rFonts w:hint="eastAsia" w:ascii="方正仿宋_GBK" w:hAnsi="方正仿宋_GBK" w:eastAsia="方正仿宋_GBK" w:cs="方正仿宋_GBK"/>
                <w:sz w:val="16"/>
              </w:rPr>
              <w:t>其他类消防车</w:t>
            </w:r>
          </w:p>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sz w:val="16"/>
              </w:rPr>
            </w:pPr>
          </w:p>
        </w:tc>
        <w:tc>
          <w:tcPr>
            <w:tcW w:w="2155" w:type="pc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消防摩托车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通信应急方舱指挥车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平板运输车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被服洗涤车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舟艇运输车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震灾抢险救援车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全地形水域抢险救援车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搜救犬运输车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285" w:hRule="atLeast"/>
          <w:jc w:val="center"/>
        </w:trPr>
        <w:tc>
          <w:tcPr>
            <w:tcW w:w="1834" w:type="pct"/>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重型抢险救援消防车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565" w:hRule="atLeast"/>
          <w:jc w:val="center"/>
        </w:trPr>
        <w:tc>
          <w:tcPr>
            <w:tcW w:w="1834" w:type="pct"/>
            <w:vMerge w:val="continue"/>
            <w:tcBorders>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155"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水陆两用消防车</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方正仿宋_GBK" w:hAnsi="方正仿宋_GBK" w:eastAsia="方正仿宋_GBK" w:cs="方正仿宋_GBK"/>
                <w:sz w:val="16"/>
              </w:rPr>
            </w:pPr>
          </w:p>
        </w:tc>
      </w:tr>
      <w:tr>
        <w:tblPrEx>
          <w:tblCellMar>
            <w:top w:w="0" w:type="dxa"/>
            <w:left w:w="0" w:type="dxa"/>
            <w:bottom w:w="0" w:type="dxa"/>
            <w:right w:w="0" w:type="dxa"/>
          </w:tblCellMar>
        </w:tblPrEx>
        <w:trPr>
          <w:trHeight w:val="567" w:hRule="atLeast"/>
          <w:jc w:val="center"/>
        </w:trPr>
        <w:tc>
          <w:tcPr>
            <w:tcW w:w="3989" w:type="pct"/>
            <w:gridSpan w:val="2"/>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eastAsia="宋体" w:cs="宋体"/>
                <w:b/>
                <w:bCs/>
                <w:sz w:val="16"/>
              </w:rPr>
            </w:pPr>
            <w:r>
              <w:rPr>
                <w:rFonts w:hint="eastAsia" w:ascii="方正黑体_GBK" w:hAnsi="方正黑体_GBK" w:eastAsia="方正黑体_GBK" w:cs="方正黑体_GBK"/>
                <w:b w:val="0"/>
                <w:bCs w:val="0"/>
                <w:sz w:val="16"/>
              </w:rPr>
              <w:t>规划购置数量      合计</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宋体" w:hAnsi="宋体" w:eastAsia="宋体" w:cs="宋体"/>
                <w:sz w:val="16"/>
                <w:lang w:eastAsia="zh-CN"/>
              </w:rPr>
            </w:pPr>
            <w:r>
              <w:rPr>
                <w:rFonts w:hint="eastAsia" w:ascii="宋体" w:hAnsi="宋体" w:eastAsia="宋体" w:cs="宋体"/>
                <w:sz w:val="16"/>
                <w:lang w:val="en-US" w:eastAsia="zh-CN"/>
              </w:rPr>
              <w:t>2</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宋体" w:hAnsi="宋体" w:eastAsia="宋体" w:cs="宋体"/>
                <w:sz w:val="16"/>
                <w:lang w:eastAsia="zh-CN"/>
              </w:rPr>
            </w:pPr>
            <w:r>
              <w:rPr>
                <w:rFonts w:hint="eastAsia" w:ascii="宋体" w:hAnsi="宋体" w:eastAsia="宋体" w:cs="宋体"/>
                <w:sz w:val="16"/>
                <w:lang w:val="en-US" w:eastAsia="zh-CN"/>
              </w:rPr>
              <w:t>1</w:t>
            </w:r>
          </w:p>
        </w:tc>
        <w:tc>
          <w:tcPr>
            <w:tcW w:w="252"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eastAsia" w:ascii="宋体" w:hAnsi="宋体" w:eastAsia="宋体" w:cs="宋体"/>
                <w:sz w:val="16"/>
                <w:lang w:eastAsia="zh-CN"/>
              </w:rPr>
            </w:pPr>
            <w:r>
              <w:rPr>
                <w:rFonts w:hint="eastAsia" w:ascii="宋体" w:hAnsi="宋体" w:eastAsia="宋体" w:cs="宋体"/>
                <w:sz w:val="16"/>
                <w:lang w:val="en-US" w:eastAsia="zh-CN"/>
              </w:rPr>
              <w:t>2</w:t>
            </w:r>
          </w:p>
        </w:tc>
        <w:tc>
          <w:tcPr>
            <w:tcW w:w="253" w:type="pct"/>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hint="default" w:ascii="宋体" w:hAnsi="宋体" w:eastAsia="宋体" w:cs="宋体"/>
                <w:sz w:val="16"/>
                <w:lang w:val="en-US" w:eastAsia="zh-CN"/>
              </w:rPr>
            </w:pPr>
            <w:r>
              <w:rPr>
                <w:rFonts w:hint="eastAsia" w:ascii="宋体" w:hAnsi="宋体" w:eastAsia="宋体" w:cs="宋体"/>
                <w:sz w:val="16"/>
                <w:lang w:val="en-US" w:eastAsia="zh-CN"/>
              </w:rPr>
              <w:t>2</w:t>
            </w:r>
          </w:p>
        </w:tc>
      </w:tr>
    </w:tbl>
    <w:p>
      <w:pPr>
        <w:rPr>
          <w:rFonts w:ascii="仿宋_GB2312"/>
          <w:bCs/>
          <w:szCs w:val="21"/>
        </w:rPr>
      </w:pPr>
    </w:p>
    <w:p>
      <w:pPr>
        <w:rPr>
          <w:rFonts w:ascii="仿宋_GB2312"/>
          <w:bCs/>
          <w:szCs w:val="21"/>
        </w:rPr>
      </w:pPr>
    </w:p>
    <w:p>
      <w:pPr>
        <w:rPr>
          <w:rFonts w:ascii="仿宋_GB2312"/>
          <w:bCs/>
          <w:szCs w:val="21"/>
        </w:rPr>
      </w:pPr>
    </w:p>
    <w:p>
      <w:pPr>
        <w:rPr>
          <w:rFonts w:ascii="仿宋_GB2312"/>
          <w:bCs/>
          <w:szCs w:val="21"/>
        </w:rPr>
      </w:pPr>
    </w:p>
    <w:p>
      <w:pPr>
        <w:pStyle w:val="8"/>
        <w:rPr>
          <w:rFonts w:ascii="仿宋_GB2312"/>
          <w:bCs/>
          <w:szCs w:val="21"/>
        </w:rPr>
      </w:pPr>
    </w:p>
    <w:p>
      <w:pPr>
        <w:pStyle w:val="8"/>
        <w:rPr>
          <w:rFonts w:ascii="仿宋_GB2312"/>
          <w:bCs/>
          <w:szCs w:val="21"/>
        </w:rPr>
      </w:pPr>
    </w:p>
    <w:p>
      <w:pPr>
        <w:pStyle w:val="8"/>
        <w:rPr>
          <w:rFonts w:ascii="仿宋_GB2312"/>
          <w:bCs/>
          <w:szCs w:val="21"/>
        </w:rPr>
      </w:pPr>
    </w:p>
    <w:p>
      <w:pPr>
        <w:pStyle w:val="8"/>
        <w:rPr>
          <w:rFonts w:ascii="仿宋_GB2312"/>
          <w:bCs/>
          <w:szCs w:val="21"/>
        </w:rPr>
      </w:pPr>
    </w:p>
    <w:p>
      <w:pPr>
        <w:autoSpaceDE w:val="0"/>
        <w:autoSpaceDN w:val="0"/>
        <w:adjustRightInd w:val="0"/>
        <w:jc w:val="left"/>
        <w:outlineLvl w:val="1"/>
        <w:rPr>
          <w:rFonts w:hint="eastAsia" w:ascii="方正仿宋_GBK" w:hAnsi="方正仿宋_GBK" w:eastAsia="方正仿宋_GBK" w:cs="方正仿宋_GBK"/>
          <w:kern w:val="0"/>
          <w:sz w:val="32"/>
          <w:szCs w:val="32"/>
          <w:lang w:val="en-US" w:eastAsia="zh-CN"/>
        </w:rPr>
      </w:pPr>
      <w:bookmarkStart w:id="347" w:name="_Toc22816"/>
      <w:bookmarkStart w:id="348" w:name="_Toc23085"/>
      <w:bookmarkStart w:id="349" w:name="_Toc81918628"/>
      <w:bookmarkStart w:id="350" w:name="_Toc1918"/>
      <w:r>
        <w:rPr>
          <w:rFonts w:hint="eastAsia" w:ascii="方正仿宋_GBK" w:hAnsi="方正仿宋_GBK" w:eastAsia="方正仿宋_GBK" w:cs="方正仿宋_GBK"/>
          <w:kern w:val="0"/>
          <w:sz w:val="32"/>
          <w:szCs w:val="32"/>
        </w:rPr>
        <w:t>附表</w:t>
      </w:r>
      <w:bookmarkEnd w:id="347"/>
      <w:bookmarkEnd w:id="348"/>
      <w:bookmarkEnd w:id="349"/>
      <w:bookmarkEnd w:id="350"/>
      <w:r>
        <w:rPr>
          <w:rFonts w:hint="eastAsia" w:ascii="方正仿宋_GBK" w:hAnsi="方正仿宋_GBK" w:eastAsia="方正仿宋_GBK" w:cs="方正仿宋_GBK"/>
          <w:kern w:val="0"/>
          <w:sz w:val="32"/>
          <w:szCs w:val="32"/>
          <w:lang w:val="en-US" w:eastAsia="zh-CN"/>
        </w:rPr>
        <w:t>8</w:t>
      </w:r>
    </w:p>
    <w:tbl>
      <w:tblPr>
        <w:tblStyle w:val="18"/>
        <w:tblpPr w:leftFromText="180" w:rightFromText="180" w:vertAnchor="text" w:horzAnchor="page" w:tblpXSpec="center" w:tblpY="407"/>
        <w:tblOverlap w:val="never"/>
        <w:tblW w:w="5000" w:type="pct"/>
        <w:jc w:val="center"/>
        <w:tblLayout w:type="autofit"/>
        <w:tblCellMar>
          <w:top w:w="0" w:type="dxa"/>
          <w:left w:w="108" w:type="dxa"/>
          <w:bottom w:w="0" w:type="dxa"/>
          <w:right w:w="108" w:type="dxa"/>
        </w:tblCellMar>
      </w:tblPr>
      <w:tblGrid>
        <w:gridCol w:w="654"/>
        <w:gridCol w:w="866"/>
        <w:gridCol w:w="1622"/>
        <w:gridCol w:w="1205"/>
        <w:gridCol w:w="1500"/>
        <w:gridCol w:w="1191"/>
        <w:gridCol w:w="1840"/>
        <w:gridCol w:w="1176"/>
        <w:gridCol w:w="1721"/>
        <w:gridCol w:w="1140"/>
        <w:gridCol w:w="1259"/>
      </w:tblGrid>
      <w:tr>
        <w:tblPrEx>
          <w:tblCellMar>
            <w:top w:w="0" w:type="dxa"/>
            <w:left w:w="108" w:type="dxa"/>
            <w:bottom w:w="0" w:type="dxa"/>
            <w:right w:w="108" w:type="dxa"/>
          </w:tblCellMar>
        </w:tblPrEx>
        <w:trPr>
          <w:trHeight w:val="859" w:hRule="atLeast"/>
          <w:jc w:val="center"/>
        </w:trPr>
        <w:tc>
          <w:tcPr>
            <w:tcW w:w="5000" w:type="pct"/>
            <w:gridSpan w:val="11"/>
            <w:tcBorders>
              <w:top w:val="nil"/>
              <w:left w:val="nil"/>
              <w:bottom w:val="single" w:color="auto" w:sz="4" w:space="0"/>
              <w:right w:val="nil"/>
            </w:tcBorders>
            <w:noWrap w:val="0"/>
            <w:vAlign w:val="center"/>
          </w:tcPr>
          <w:p>
            <w:pPr>
              <w:widowControl/>
              <w:spacing w:line="360" w:lineRule="auto"/>
              <w:jc w:val="center"/>
              <w:rPr>
                <w:rFonts w:ascii="黑体" w:hAnsi="黑体" w:eastAsia="黑体"/>
                <w:b/>
                <w:bCs/>
              </w:rPr>
            </w:pPr>
            <w:bookmarkStart w:id="351" w:name="OLE_LINK1" w:colFirst="0" w:colLast="9"/>
            <w:r>
              <w:rPr>
                <w:rFonts w:hint="eastAsia" w:ascii="方正小标宋_GBK" w:hAnsi="方正小标宋_GBK" w:eastAsia="方正小标宋_GBK" w:cs="方正小标宋_GBK"/>
                <w:b w:val="0"/>
                <w:bCs w:val="0"/>
                <w:kern w:val="2"/>
                <w:sz w:val="28"/>
                <w:szCs w:val="32"/>
                <w:lang w:val="en-US" w:eastAsia="zh-CN" w:bidi="ar-SA"/>
              </w:rPr>
              <w:t>江门市江海区“十四五”期间消防车辆配备汇总表</w:t>
            </w:r>
          </w:p>
        </w:tc>
      </w:tr>
      <w:tr>
        <w:tblPrEx>
          <w:tblCellMar>
            <w:top w:w="0" w:type="dxa"/>
            <w:left w:w="108" w:type="dxa"/>
            <w:bottom w:w="0" w:type="dxa"/>
            <w:right w:w="108" w:type="dxa"/>
          </w:tblCellMar>
        </w:tblPrEx>
        <w:trPr>
          <w:trHeight w:val="859" w:hRule="atLeast"/>
          <w:jc w:val="center"/>
        </w:trPr>
        <w:tc>
          <w:tcPr>
            <w:tcW w:w="23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序号</w:t>
            </w:r>
          </w:p>
        </w:tc>
        <w:tc>
          <w:tcPr>
            <w:tcW w:w="306"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区域</w:t>
            </w:r>
          </w:p>
        </w:tc>
        <w:tc>
          <w:tcPr>
            <w:tcW w:w="57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2022年计划</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（万元）</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小计</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（万元）</w:t>
            </w:r>
          </w:p>
        </w:tc>
        <w:tc>
          <w:tcPr>
            <w:tcW w:w="529"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2023年计划</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（万元）</w:t>
            </w:r>
          </w:p>
        </w:tc>
        <w:tc>
          <w:tcPr>
            <w:tcW w:w="420"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小计</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（万元）</w:t>
            </w:r>
          </w:p>
        </w:tc>
        <w:tc>
          <w:tcPr>
            <w:tcW w:w="649"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2024年计划</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（万元）</w:t>
            </w:r>
          </w:p>
        </w:tc>
        <w:tc>
          <w:tcPr>
            <w:tcW w:w="41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小计</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（万元）</w:t>
            </w:r>
          </w:p>
        </w:tc>
        <w:tc>
          <w:tcPr>
            <w:tcW w:w="60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2025年计划（万元）</w:t>
            </w:r>
          </w:p>
        </w:tc>
        <w:tc>
          <w:tcPr>
            <w:tcW w:w="402"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小计</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（万元）</w:t>
            </w:r>
          </w:p>
        </w:tc>
        <w:tc>
          <w:tcPr>
            <w:tcW w:w="43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总计</w:t>
            </w:r>
          </w:p>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（万元）</w:t>
            </w:r>
          </w:p>
        </w:tc>
      </w:tr>
      <w:tr>
        <w:tblPrEx>
          <w:tblCellMar>
            <w:top w:w="0" w:type="dxa"/>
            <w:left w:w="108" w:type="dxa"/>
            <w:bottom w:w="0" w:type="dxa"/>
            <w:right w:w="108" w:type="dxa"/>
          </w:tblCellMar>
        </w:tblPrEx>
        <w:trPr>
          <w:trHeight w:val="1005" w:hRule="atLeast"/>
          <w:jc w:val="center"/>
        </w:trPr>
        <w:tc>
          <w:tcPr>
            <w:tcW w:w="231"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sz w:val="16"/>
                <w:lang w:eastAsia="zh-CN"/>
              </w:rPr>
            </w:pPr>
            <w:r>
              <w:rPr>
                <w:rFonts w:hint="eastAsia" w:ascii="方正仿宋_GBK" w:hAnsi="方正仿宋_GBK" w:eastAsia="方正仿宋_GBK" w:cs="方正仿宋_GBK"/>
                <w:sz w:val="16"/>
                <w:lang w:val="en-US" w:eastAsia="zh-CN"/>
              </w:rPr>
              <w:t>1</w:t>
            </w:r>
          </w:p>
        </w:tc>
        <w:tc>
          <w:tcPr>
            <w:tcW w:w="30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rPr>
            </w:pPr>
            <w:r>
              <w:rPr>
                <w:rFonts w:hint="eastAsia" w:ascii="方正仿宋_GBK" w:hAnsi="方正仿宋_GBK" w:eastAsia="方正仿宋_GBK" w:cs="方正仿宋_GBK"/>
                <w:sz w:val="16"/>
              </w:rPr>
              <w:t>江海区</w:t>
            </w:r>
          </w:p>
        </w:tc>
        <w:tc>
          <w:tcPr>
            <w:tcW w:w="57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消防指挥车</w:t>
            </w:r>
          </w:p>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（150）</w:t>
            </w:r>
          </w:p>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抢险救援消防车（200）</w:t>
            </w:r>
          </w:p>
        </w:tc>
        <w:tc>
          <w:tcPr>
            <w:tcW w:w="4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350</w:t>
            </w:r>
          </w:p>
        </w:tc>
        <w:tc>
          <w:tcPr>
            <w:tcW w:w="52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宣传消防车</w:t>
            </w:r>
          </w:p>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（140）</w:t>
            </w:r>
          </w:p>
        </w:tc>
        <w:tc>
          <w:tcPr>
            <w:tcW w:w="42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140</w:t>
            </w:r>
          </w:p>
        </w:tc>
        <w:tc>
          <w:tcPr>
            <w:tcW w:w="64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压缩空气泡沫消防车</w:t>
            </w:r>
          </w:p>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（250）</w:t>
            </w:r>
          </w:p>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18吨泡沫水罐消防车</w:t>
            </w:r>
          </w:p>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（250）</w:t>
            </w:r>
          </w:p>
        </w:tc>
        <w:tc>
          <w:tcPr>
            <w:tcW w:w="41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500</w:t>
            </w:r>
          </w:p>
        </w:tc>
        <w:tc>
          <w:tcPr>
            <w:tcW w:w="60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12吨以上泡沫</w:t>
            </w:r>
          </w:p>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水罐消防车</w:t>
            </w:r>
          </w:p>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（150）</w:t>
            </w:r>
          </w:p>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登高平台消防车</w:t>
            </w:r>
          </w:p>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（350）</w:t>
            </w:r>
          </w:p>
        </w:tc>
        <w:tc>
          <w:tcPr>
            <w:tcW w:w="402"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500</w:t>
            </w:r>
          </w:p>
        </w:tc>
        <w:tc>
          <w:tcPr>
            <w:tcW w:w="43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sz w:val="16"/>
                <w:lang w:val="en-US" w:eastAsia="zh-CN"/>
              </w:rPr>
            </w:pPr>
            <w:r>
              <w:rPr>
                <w:rFonts w:hint="eastAsia" w:ascii="方正仿宋_GBK" w:hAnsi="方正仿宋_GBK" w:eastAsia="方正仿宋_GBK" w:cs="方正仿宋_GBK"/>
                <w:sz w:val="16"/>
                <w:lang w:val="en-US" w:eastAsia="zh-CN"/>
              </w:rPr>
              <w:t>1490</w:t>
            </w:r>
          </w:p>
        </w:tc>
      </w:tr>
      <w:bookmarkEnd w:id="351"/>
    </w:tbl>
    <w:p>
      <w:pPr>
        <w:ind w:left="-630" w:leftChars="-300"/>
        <w:outlineLvl w:val="1"/>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adjustRightInd w:val="0"/>
        <w:jc w:val="left"/>
        <w:outlineLvl w:val="1"/>
        <w:rPr>
          <w:rFonts w:hint="eastAsia" w:ascii="方正仿宋_GBK" w:hAnsi="方正仿宋_GBK" w:eastAsia="方正仿宋_GBK" w:cs="方正仿宋_GBK"/>
          <w:kern w:val="0"/>
          <w:sz w:val="32"/>
          <w:szCs w:val="32"/>
          <w:lang w:val="en-US" w:eastAsia="zh-CN"/>
        </w:rPr>
      </w:pPr>
      <w:bookmarkStart w:id="352" w:name="_Toc10382"/>
      <w:bookmarkStart w:id="353" w:name="_Toc81918630"/>
      <w:bookmarkStart w:id="354" w:name="_Toc18804"/>
      <w:bookmarkStart w:id="355" w:name="_Toc22007"/>
      <w:r>
        <w:rPr>
          <w:rFonts w:hint="eastAsia" w:ascii="方正仿宋_GBK" w:hAnsi="方正仿宋_GBK" w:eastAsia="方正仿宋_GBK" w:cs="方正仿宋_GBK"/>
          <w:kern w:val="0"/>
          <w:sz w:val="32"/>
          <w:szCs w:val="32"/>
        </w:rPr>
        <w:t>附表</w:t>
      </w:r>
      <w:bookmarkEnd w:id="352"/>
      <w:bookmarkEnd w:id="353"/>
      <w:bookmarkEnd w:id="354"/>
      <w:bookmarkEnd w:id="355"/>
      <w:r>
        <w:rPr>
          <w:rFonts w:hint="eastAsia" w:ascii="方正仿宋_GBK" w:hAnsi="方正仿宋_GBK" w:eastAsia="方正仿宋_GBK" w:cs="方正仿宋_GBK"/>
          <w:kern w:val="0"/>
          <w:sz w:val="32"/>
          <w:szCs w:val="32"/>
          <w:lang w:val="en-US" w:eastAsia="zh-CN"/>
        </w:rPr>
        <w:t>9</w:t>
      </w:r>
    </w:p>
    <w:tbl>
      <w:tblPr>
        <w:tblStyle w:val="18"/>
        <w:tblW w:w="13745" w:type="dxa"/>
        <w:tblInd w:w="96" w:type="dxa"/>
        <w:tblLayout w:type="fixed"/>
        <w:tblCellMar>
          <w:top w:w="0" w:type="dxa"/>
          <w:left w:w="108" w:type="dxa"/>
          <w:bottom w:w="0" w:type="dxa"/>
          <w:right w:w="108" w:type="dxa"/>
        </w:tblCellMar>
      </w:tblPr>
      <w:tblGrid>
        <w:gridCol w:w="549"/>
        <w:gridCol w:w="735"/>
        <w:gridCol w:w="705"/>
        <w:gridCol w:w="2289"/>
        <w:gridCol w:w="726"/>
        <w:gridCol w:w="2205"/>
        <w:gridCol w:w="810"/>
        <w:gridCol w:w="2430"/>
        <w:gridCol w:w="843"/>
        <w:gridCol w:w="2453"/>
      </w:tblGrid>
      <w:tr>
        <w:tblPrEx>
          <w:tblCellMar>
            <w:top w:w="0" w:type="dxa"/>
            <w:left w:w="108" w:type="dxa"/>
            <w:bottom w:w="0" w:type="dxa"/>
            <w:right w:w="108" w:type="dxa"/>
          </w:tblCellMar>
        </w:tblPrEx>
        <w:trPr>
          <w:trHeight w:val="812" w:hRule="atLeast"/>
        </w:trPr>
        <w:tc>
          <w:tcPr>
            <w:tcW w:w="13745" w:type="dxa"/>
            <w:gridSpan w:val="10"/>
            <w:tcBorders>
              <w:top w:val="nil"/>
              <w:left w:val="nil"/>
              <w:bottom w:val="single" w:color="auto" w:sz="4" w:space="0"/>
              <w:right w:val="nil"/>
            </w:tcBorders>
            <w:noWrap/>
            <w:vAlign w:val="center"/>
          </w:tcPr>
          <w:p>
            <w:pPr>
              <w:widowControl/>
              <w:spacing w:line="360" w:lineRule="auto"/>
              <w:jc w:val="center"/>
              <w:rPr>
                <w:rFonts w:ascii="黑体" w:hAnsi="黑体" w:eastAsia="黑体"/>
                <w:b/>
                <w:bCs/>
              </w:rPr>
            </w:pPr>
            <w:bookmarkStart w:id="356" w:name="_Toc81918629"/>
            <w:r>
              <w:rPr>
                <w:rFonts w:hint="eastAsia" w:ascii="方正小标宋_GBK" w:hAnsi="方正小标宋_GBK" w:eastAsia="方正小标宋_GBK" w:cs="方正小标宋_GBK"/>
                <w:b w:val="0"/>
                <w:bCs w:val="0"/>
                <w:kern w:val="2"/>
                <w:sz w:val="28"/>
                <w:szCs w:val="32"/>
                <w:lang w:val="en-US" w:eastAsia="zh-CN" w:bidi="ar-SA"/>
              </w:rPr>
              <w:t>江门市江海区“十四五”期间消防器材装备配备汇总表</w:t>
            </w:r>
            <w:bookmarkEnd w:id="356"/>
          </w:p>
        </w:tc>
      </w:tr>
      <w:tr>
        <w:tblPrEx>
          <w:tblCellMar>
            <w:top w:w="0" w:type="dxa"/>
            <w:left w:w="108" w:type="dxa"/>
            <w:bottom w:w="0" w:type="dxa"/>
            <w:right w:w="108" w:type="dxa"/>
          </w:tblCellMar>
        </w:tblPrEx>
        <w:trPr>
          <w:trHeight w:val="522" w:hRule="atLeast"/>
        </w:trPr>
        <w:tc>
          <w:tcPr>
            <w:tcW w:w="54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序号</w:t>
            </w:r>
          </w:p>
        </w:tc>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单位</w:t>
            </w:r>
          </w:p>
        </w:tc>
        <w:tc>
          <w:tcPr>
            <w:tcW w:w="29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2022年计划</w:t>
            </w:r>
          </w:p>
        </w:tc>
        <w:tc>
          <w:tcPr>
            <w:tcW w:w="29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2023年计划</w:t>
            </w:r>
          </w:p>
        </w:tc>
        <w:tc>
          <w:tcPr>
            <w:tcW w:w="32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2024年计划</w:t>
            </w:r>
          </w:p>
        </w:tc>
        <w:tc>
          <w:tcPr>
            <w:tcW w:w="329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2025年计划</w:t>
            </w:r>
          </w:p>
        </w:tc>
      </w:tr>
      <w:tr>
        <w:tblPrEx>
          <w:tblCellMar>
            <w:top w:w="0" w:type="dxa"/>
            <w:left w:w="108" w:type="dxa"/>
            <w:bottom w:w="0" w:type="dxa"/>
            <w:right w:w="108" w:type="dxa"/>
          </w:tblCellMar>
        </w:tblPrEx>
        <w:trPr>
          <w:trHeight w:val="1408" w:hRule="atLeast"/>
        </w:trPr>
        <w:tc>
          <w:tcPr>
            <w:tcW w:w="54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黑体_GBK" w:hAnsi="方正黑体_GBK" w:eastAsia="方正黑体_GBK" w:cs="方正黑体_GBK"/>
                <w:b w:val="0"/>
                <w:bCs w:val="0"/>
              </w:rPr>
            </w:pPr>
          </w:p>
        </w:tc>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黑体_GBK" w:hAnsi="方正黑体_GBK" w:eastAsia="方正黑体_GBK" w:cs="方正黑体_GBK"/>
                <w:b w:val="0"/>
                <w:bCs w:val="0"/>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预算金额（万元）</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列出部分必配器材名称及数量</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预算金额（万元）</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列出部分必配器材名称及数量</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预算金额（万元）</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列出部分必配器材名称及数量</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预算金额（万元）</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列出部分必配器材名称及数量</w:t>
            </w:r>
          </w:p>
        </w:tc>
      </w:tr>
      <w:tr>
        <w:tblPrEx>
          <w:tblCellMar>
            <w:top w:w="0" w:type="dxa"/>
            <w:left w:w="108" w:type="dxa"/>
            <w:bottom w:w="0" w:type="dxa"/>
            <w:right w:w="108" w:type="dxa"/>
          </w:tblCellMar>
        </w:tblPrEx>
        <w:trPr>
          <w:trHeight w:val="1366" w:hRule="atLeast"/>
        </w:trPr>
        <w:tc>
          <w:tcPr>
            <w:tcW w:w="54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lang w:val="en-US" w:eastAsia="zh-CN"/>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lang w:eastAsia="zh-CN"/>
              </w:rPr>
              <w:t>江门市江海区消防救援大队</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240</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基本防护类500（件套）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特种防护类100（件套）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抢险救援类</w:t>
            </w:r>
            <w:r>
              <w:rPr>
                <w:rFonts w:hint="eastAsia" w:ascii="方正仿宋_GBK" w:hAnsi="方正仿宋_GBK" w:eastAsia="方正仿宋_GBK" w:cs="方正仿宋_GBK"/>
                <w:color w:val="000000"/>
                <w:kern w:val="0"/>
                <w:sz w:val="20"/>
                <w:szCs w:val="20"/>
                <w:lang w:val="en-US" w:eastAsia="zh-CN"/>
              </w:rPr>
              <w:t>150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灭火类670（件套）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通讯类</w:t>
            </w:r>
            <w:r>
              <w:rPr>
                <w:rFonts w:hint="eastAsia" w:ascii="方正仿宋_GBK" w:hAnsi="方正仿宋_GBK" w:eastAsia="方正仿宋_GBK" w:cs="方正仿宋_GBK"/>
                <w:color w:val="000000"/>
                <w:kern w:val="0"/>
                <w:sz w:val="20"/>
                <w:szCs w:val="20"/>
                <w:lang w:val="en-US" w:eastAsia="zh-CN"/>
              </w:rPr>
              <w:t>30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高空救援队50（件套）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其他类</w:t>
            </w:r>
          </w:p>
        </w:tc>
        <w:tc>
          <w:tcPr>
            <w:tcW w:w="7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lang w:val="en-US" w:eastAsia="zh-CN"/>
              </w:rPr>
              <w:t>100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基本防护类</w:t>
            </w:r>
            <w:r>
              <w:rPr>
                <w:rFonts w:hint="eastAsia" w:ascii="方正仿宋_GBK" w:hAnsi="方正仿宋_GBK" w:eastAsia="方正仿宋_GBK" w:cs="方正仿宋_GBK"/>
                <w:color w:val="000000"/>
                <w:kern w:val="0"/>
                <w:sz w:val="20"/>
                <w:szCs w:val="20"/>
                <w:lang w:val="en-US" w:eastAsia="zh-CN"/>
              </w:rPr>
              <w:t>300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特种防护类</w:t>
            </w:r>
            <w:r>
              <w:rPr>
                <w:rFonts w:hint="eastAsia" w:ascii="方正仿宋_GBK" w:hAnsi="方正仿宋_GBK" w:eastAsia="方正仿宋_GBK" w:cs="方正仿宋_GBK"/>
                <w:color w:val="000000"/>
                <w:kern w:val="0"/>
                <w:sz w:val="20"/>
                <w:szCs w:val="20"/>
                <w:lang w:val="en-US" w:eastAsia="zh-CN"/>
              </w:rPr>
              <w:t>50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抢险救援类</w:t>
            </w:r>
            <w:r>
              <w:rPr>
                <w:rFonts w:hint="eastAsia" w:ascii="方正仿宋_GBK" w:hAnsi="方正仿宋_GBK" w:eastAsia="方正仿宋_GBK" w:cs="方正仿宋_GBK"/>
                <w:color w:val="000000"/>
                <w:kern w:val="0"/>
                <w:sz w:val="20"/>
                <w:szCs w:val="20"/>
                <w:lang w:val="en-US" w:eastAsia="zh-CN"/>
              </w:rPr>
              <w:t>50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灭火类</w:t>
            </w:r>
            <w:r>
              <w:rPr>
                <w:rFonts w:hint="eastAsia" w:ascii="方正仿宋_GBK" w:hAnsi="方正仿宋_GBK" w:eastAsia="方正仿宋_GBK" w:cs="方正仿宋_GBK"/>
                <w:color w:val="000000"/>
                <w:kern w:val="0"/>
                <w:sz w:val="20"/>
                <w:szCs w:val="20"/>
                <w:lang w:val="en-US" w:eastAsia="zh-CN"/>
              </w:rPr>
              <w:t>250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通讯类</w:t>
            </w:r>
            <w:r>
              <w:rPr>
                <w:rFonts w:hint="eastAsia" w:ascii="方正仿宋_GBK" w:hAnsi="方正仿宋_GBK" w:eastAsia="方正仿宋_GBK" w:cs="方正仿宋_GBK"/>
                <w:color w:val="000000"/>
                <w:kern w:val="0"/>
                <w:sz w:val="20"/>
                <w:szCs w:val="20"/>
                <w:lang w:val="en-US" w:eastAsia="zh-CN"/>
              </w:rPr>
              <w:t>20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高空救援队</w:t>
            </w:r>
            <w:r>
              <w:rPr>
                <w:rFonts w:hint="eastAsia" w:ascii="方正仿宋_GBK" w:hAnsi="方正仿宋_GBK" w:eastAsia="方正仿宋_GBK" w:cs="方正仿宋_GBK"/>
                <w:color w:val="000000"/>
                <w:kern w:val="0"/>
                <w:sz w:val="20"/>
                <w:szCs w:val="20"/>
                <w:lang w:val="en-US" w:eastAsia="zh-CN"/>
              </w:rPr>
              <w:t>30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其他类</w:t>
            </w:r>
          </w:p>
        </w:tc>
        <w:tc>
          <w:tcPr>
            <w:tcW w:w="8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lang w:val="en-US" w:eastAsia="zh-CN"/>
              </w:rPr>
              <w:t>300</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基本防护类</w:t>
            </w:r>
            <w:r>
              <w:rPr>
                <w:rFonts w:hint="eastAsia" w:ascii="方正仿宋_GBK" w:hAnsi="方正仿宋_GBK" w:eastAsia="方正仿宋_GBK" w:cs="方正仿宋_GBK"/>
                <w:color w:val="000000"/>
                <w:kern w:val="0"/>
                <w:sz w:val="20"/>
                <w:szCs w:val="20"/>
                <w:lang w:val="en-US" w:eastAsia="zh-CN"/>
              </w:rPr>
              <w:t>500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特种防护类</w:t>
            </w:r>
            <w:r>
              <w:rPr>
                <w:rFonts w:hint="eastAsia" w:ascii="方正仿宋_GBK" w:hAnsi="方正仿宋_GBK" w:eastAsia="方正仿宋_GBK" w:cs="方正仿宋_GBK"/>
                <w:color w:val="000000"/>
                <w:kern w:val="0"/>
                <w:sz w:val="20"/>
                <w:szCs w:val="20"/>
                <w:lang w:val="en-US" w:eastAsia="zh-CN"/>
              </w:rPr>
              <w:t>150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抢险救援类</w:t>
            </w:r>
            <w:r>
              <w:rPr>
                <w:rFonts w:hint="eastAsia" w:ascii="方正仿宋_GBK" w:hAnsi="方正仿宋_GBK" w:eastAsia="方正仿宋_GBK" w:cs="方正仿宋_GBK"/>
                <w:color w:val="000000"/>
                <w:kern w:val="0"/>
                <w:sz w:val="20"/>
                <w:szCs w:val="20"/>
                <w:lang w:val="en-US" w:eastAsia="zh-CN"/>
              </w:rPr>
              <w:t>350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灭火类</w:t>
            </w:r>
            <w:r>
              <w:rPr>
                <w:rFonts w:hint="eastAsia" w:ascii="方正仿宋_GBK" w:hAnsi="方正仿宋_GBK" w:eastAsia="方正仿宋_GBK" w:cs="方正仿宋_GBK"/>
                <w:color w:val="000000"/>
                <w:kern w:val="0"/>
                <w:sz w:val="20"/>
                <w:szCs w:val="20"/>
                <w:lang w:val="en-US" w:eastAsia="zh-CN"/>
              </w:rPr>
              <w:t>600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通讯类</w:t>
            </w:r>
            <w:r>
              <w:rPr>
                <w:rFonts w:hint="eastAsia" w:ascii="方正仿宋_GBK" w:hAnsi="方正仿宋_GBK" w:eastAsia="方正仿宋_GBK" w:cs="方正仿宋_GBK"/>
                <w:color w:val="000000"/>
                <w:kern w:val="0"/>
                <w:sz w:val="20"/>
                <w:szCs w:val="20"/>
                <w:lang w:val="en-US" w:eastAsia="zh-CN"/>
              </w:rPr>
              <w:t>30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水域救援队</w:t>
            </w:r>
            <w:r>
              <w:rPr>
                <w:rFonts w:hint="eastAsia" w:ascii="方正仿宋_GBK" w:hAnsi="方正仿宋_GBK" w:eastAsia="方正仿宋_GBK" w:cs="方正仿宋_GBK"/>
                <w:color w:val="000000"/>
                <w:kern w:val="0"/>
                <w:sz w:val="20"/>
                <w:szCs w:val="20"/>
                <w:lang w:val="en-US" w:eastAsia="zh-CN"/>
              </w:rPr>
              <w:t>50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其他类</w:t>
            </w:r>
          </w:p>
        </w:tc>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color w:val="000000"/>
                <w:kern w:val="0"/>
                <w:sz w:val="20"/>
                <w:szCs w:val="20"/>
                <w:lang w:val="en-US"/>
              </w:rPr>
            </w:pPr>
            <w:r>
              <w:rPr>
                <w:rFonts w:hint="eastAsia" w:ascii="方正仿宋_GBK" w:hAnsi="方正仿宋_GBK" w:eastAsia="方正仿宋_GBK" w:cs="方正仿宋_GBK"/>
                <w:color w:val="000000"/>
                <w:kern w:val="0"/>
                <w:sz w:val="20"/>
                <w:szCs w:val="20"/>
                <w:lang w:val="en-US" w:eastAsia="zh-CN"/>
              </w:rPr>
              <w:t>300</w:t>
            </w:r>
          </w:p>
        </w:tc>
        <w:tc>
          <w:tcPr>
            <w:tcW w:w="245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基本防护类</w:t>
            </w:r>
            <w:r>
              <w:rPr>
                <w:rFonts w:hint="eastAsia" w:ascii="方正仿宋_GBK" w:hAnsi="方正仿宋_GBK" w:eastAsia="方正仿宋_GBK" w:cs="方正仿宋_GBK"/>
                <w:color w:val="000000"/>
                <w:kern w:val="0"/>
                <w:sz w:val="20"/>
                <w:szCs w:val="20"/>
                <w:lang w:val="en-US" w:eastAsia="zh-CN"/>
              </w:rPr>
              <w:t>500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特种防护类</w:t>
            </w:r>
            <w:r>
              <w:rPr>
                <w:rFonts w:hint="eastAsia" w:ascii="方正仿宋_GBK" w:hAnsi="方正仿宋_GBK" w:eastAsia="方正仿宋_GBK" w:cs="方正仿宋_GBK"/>
                <w:color w:val="000000"/>
                <w:kern w:val="0"/>
                <w:sz w:val="20"/>
                <w:szCs w:val="20"/>
                <w:lang w:val="en-US" w:eastAsia="zh-CN"/>
              </w:rPr>
              <w:t>150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抢险救援类</w:t>
            </w:r>
            <w:r>
              <w:rPr>
                <w:rFonts w:hint="eastAsia" w:ascii="方正仿宋_GBK" w:hAnsi="方正仿宋_GBK" w:eastAsia="方正仿宋_GBK" w:cs="方正仿宋_GBK"/>
                <w:color w:val="000000"/>
                <w:kern w:val="0"/>
                <w:sz w:val="20"/>
                <w:szCs w:val="20"/>
                <w:lang w:val="en-US" w:eastAsia="zh-CN"/>
              </w:rPr>
              <w:t>350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灭火类</w:t>
            </w:r>
            <w:r>
              <w:rPr>
                <w:rFonts w:hint="eastAsia" w:ascii="方正仿宋_GBK" w:hAnsi="方正仿宋_GBK" w:eastAsia="方正仿宋_GBK" w:cs="方正仿宋_GBK"/>
                <w:color w:val="000000"/>
                <w:kern w:val="0"/>
                <w:sz w:val="20"/>
                <w:szCs w:val="20"/>
                <w:lang w:val="en-US" w:eastAsia="zh-CN"/>
              </w:rPr>
              <w:t>600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通讯类</w:t>
            </w:r>
            <w:r>
              <w:rPr>
                <w:rFonts w:hint="eastAsia" w:ascii="方正仿宋_GBK" w:hAnsi="方正仿宋_GBK" w:eastAsia="方正仿宋_GBK" w:cs="方正仿宋_GBK"/>
                <w:color w:val="000000"/>
                <w:kern w:val="0"/>
                <w:sz w:val="20"/>
                <w:szCs w:val="20"/>
                <w:lang w:val="en-US" w:eastAsia="zh-CN"/>
              </w:rPr>
              <w:t>30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水域救援队</w:t>
            </w:r>
            <w:r>
              <w:rPr>
                <w:rFonts w:hint="eastAsia" w:ascii="方正仿宋_GBK" w:hAnsi="方正仿宋_GBK" w:eastAsia="方正仿宋_GBK" w:cs="方正仿宋_GBK"/>
                <w:color w:val="000000"/>
                <w:kern w:val="0"/>
                <w:sz w:val="20"/>
                <w:szCs w:val="20"/>
                <w:lang w:val="en-US" w:eastAsia="zh-CN"/>
              </w:rPr>
              <w:t>50</w:t>
            </w:r>
            <w:r>
              <w:rPr>
                <w:rFonts w:hint="eastAsia" w:ascii="方正仿宋_GBK" w:hAnsi="方正仿宋_GBK" w:eastAsia="方正仿宋_GBK" w:cs="方正仿宋_GBK"/>
                <w:color w:val="000000"/>
                <w:kern w:val="0"/>
                <w:sz w:val="20"/>
                <w:szCs w:val="20"/>
              </w:rPr>
              <w:t>（件套）</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其他类</w:t>
            </w:r>
          </w:p>
        </w:tc>
      </w:tr>
    </w:tbl>
    <w:p>
      <w:pPr>
        <w:rPr>
          <w:rFonts w:ascii="仿宋_GB2312"/>
          <w:bCs/>
          <w:szCs w:val="21"/>
        </w:rPr>
      </w:pPr>
    </w:p>
    <w:p>
      <w:pPr>
        <w:autoSpaceDE w:val="0"/>
        <w:autoSpaceDN w:val="0"/>
        <w:adjustRightInd w:val="0"/>
        <w:jc w:val="left"/>
        <w:outlineLvl w:val="1"/>
        <w:rPr>
          <w:rFonts w:ascii="仿宋_GB2312" w:hAnsi="Calibri" w:eastAsia="仿宋_GB2312" w:cs="仿宋_GB2312"/>
          <w:kern w:val="0"/>
          <w:sz w:val="44"/>
          <w:szCs w:val="44"/>
          <w:lang w:val="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adjustRightInd w:val="0"/>
        <w:jc w:val="left"/>
        <w:outlineLvl w:val="1"/>
        <w:rPr>
          <w:rFonts w:hint="eastAsia" w:ascii="方正仿宋_GBK" w:hAnsi="方正仿宋_GBK" w:eastAsia="方正仿宋_GBK" w:cs="方正仿宋_GBK"/>
          <w:kern w:val="0"/>
          <w:sz w:val="32"/>
          <w:szCs w:val="32"/>
          <w:lang w:val="en-US" w:eastAsia="zh-CN"/>
        </w:rPr>
      </w:pPr>
      <w:bookmarkStart w:id="357" w:name="_Toc7353"/>
      <w:bookmarkStart w:id="358" w:name="_Toc12182"/>
      <w:bookmarkStart w:id="359" w:name="_Toc81918632"/>
      <w:bookmarkStart w:id="360" w:name="_Toc27401"/>
      <w:r>
        <w:rPr>
          <w:rFonts w:hint="eastAsia" w:ascii="方正仿宋_GBK" w:hAnsi="方正仿宋_GBK" w:eastAsia="方正仿宋_GBK" w:cs="方正仿宋_GBK"/>
          <w:kern w:val="0"/>
          <w:sz w:val="32"/>
          <w:szCs w:val="32"/>
          <w:lang w:val="zh-CN"/>
        </w:rPr>
        <w:t>附表</w:t>
      </w:r>
      <w:bookmarkEnd w:id="357"/>
      <w:bookmarkEnd w:id="358"/>
      <w:bookmarkEnd w:id="359"/>
      <w:bookmarkEnd w:id="360"/>
      <w:r>
        <w:rPr>
          <w:rFonts w:hint="eastAsia" w:ascii="方正仿宋_GBK" w:hAnsi="方正仿宋_GBK" w:eastAsia="方正仿宋_GBK" w:cs="方正仿宋_GBK"/>
          <w:kern w:val="0"/>
          <w:sz w:val="32"/>
          <w:szCs w:val="32"/>
          <w:lang w:val="en-US" w:eastAsia="zh-CN"/>
        </w:rPr>
        <w:t>10</w:t>
      </w:r>
    </w:p>
    <w:p>
      <w:pPr>
        <w:pStyle w:val="6"/>
        <w:spacing w:before="120" w:after="120" w:line="360" w:lineRule="auto"/>
        <w:jc w:val="center"/>
        <w:rPr>
          <w:rFonts w:hint="eastAsia" w:ascii="方正小标宋_GBK" w:hAnsi="方正小标宋_GBK" w:eastAsia="方正小标宋_GBK" w:cs="方正小标宋_GBK"/>
          <w:b w:val="0"/>
          <w:bCs w:val="0"/>
          <w:sz w:val="28"/>
        </w:rPr>
      </w:pPr>
      <w:bookmarkStart w:id="361" w:name="_Toc12025"/>
      <w:bookmarkStart w:id="362" w:name="_Toc81918633"/>
      <w:bookmarkStart w:id="363" w:name="_Toc19351"/>
      <w:r>
        <w:rPr>
          <w:rFonts w:hint="eastAsia" w:ascii="方正小标宋_GBK" w:hAnsi="方正小标宋_GBK" w:eastAsia="方正小标宋_GBK" w:cs="方正小标宋_GBK"/>
          <w:b w:val="0"/>
          <w:bCs w:val="0"/>
          <w:sz w:val="28"/>
        </w:rPr>
        <w:t>江门市</w:t>
      </w:r>
      <w:r>
        <w:rPr>
          <w:rFonts w:hint="eastAsia" w:ascii="方正小标宋_GBK" w:hAnsi="方正小标宋_GBK" w:eastAsia="方正小标宋_GBK" w:cs="方正小标宋_GBK"/>
          <w:b w:val="0"/>
          <w:bCs w:val="0"/>
          <w:sz w:val="28"/>
          <w:lang w:val="en-US" w:eastAsia="zh-CN"/>
        </w:rPr>
        <w:t>江海区</w:t>
      </w:r>
      <w:r>
        <w:rPr>
          <w:rFonts w:hint="eastAsia" w:ascii="方正小标宋_GBK" w:hAnsi="方正小标宋_GBK" w:eastAsia="方正小标宋_GBK" w:cs="方正小标宋_GBK"/>
          <w:b w:val="0"/>
          <w:bCs w:val="0"/>
          <w:sz w:val="28"/>
        </w:rPr>
        <w:t>“十四五”期间消防通信设备建设规划表</w:t>
      </w:r>
      <w:bookmarkEnd w:id="361"/>
      <w:bookmarkEnd w:id="362"/>
      <w:bookmarkEnd w:id="363"/>
    </w:p>
    <w:tbl>
      <w:tblPr>
        <w:tblStyle w:val="18"/>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934" w:type="dxa"/>
            <w:noWrap w:val="0"/>
            <w:vAlign w:val="center"/>
          </w:tcPr>
          <w:p>
            <w:pPr>
              <w:widowControl/>
              <w:spacing w:line="240" w:lineRule="exact"/>
              <w:jc w:val="center"/>
              <w:rPr>
                <w:rFonts w:hint="eastAsia" w:ascii="方正黑体_GBK" w:hAnsi="方正黑体_GBK" w:eastAsia="方正黑体_GBK" w:cs="方正黑体_GBK"/>
                <w:b/>
                <w:bCs/>
                <w:sz w:val="24"/>
              </w:rPr>
            </w:pPr>
            <w:r>
              <w:rPr>
                <w:rFonts w:hint="eastAsia" w:ascii="方正黑体_GBK" w:hAnsi="方正黑体_GBK" w:eastAsia="方正黑体_GBK" w:cs="方正黑体_GBK"/>
                <w:b/>
                <w:bCs/>
                <w:sz w:val="24"/>
              </w:rPr>
              <w:t>项目</w:t>
            </w:r>
          </w:p>
        </w:tc>
        <w:tc>
          <w:tcPr>
            <w:tcW w:w="12225" w:type="dxa"/>
            <w:noWrap w:val="0"/>
            <w:vAlign w:val="center"/>
          </w:tcPr>
          <w:p>
            <w:pPr>
              <w:widowControl/>
              <w:spacing w:line="240" w:lineRule="exact"/>
              <w:jc w:val="center"/>
              <w:rPr>
                <w:rFonts w:hint="eastAsia" w:ascii="方正黑体_GBK" w:hAnsi="方正黑体_GBK" w:eastAsia="方正黑体_GBK" w:cs="方正黑体_GBK"/>
                <w:b/>
                <w:bCs/>
              </w:rPr>
            </w:pPr>
            <w:r>
              <w:rPr>
                <w:rFonts w:hint="eastAsia" w:ascii="方正黑体_GBK" w:hAnsi="方正黑体_GBK" w:eastAsia="方正黑体_GBK" w:cs="方正黑体_GBK"/>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934" w:type="dxa"/>
            <w:noWrap w:val="0"/>
            <w:vAlign w:val="center"/>
          </w:tcPr>
          <w:p>
            <w:pPr>
              <w:widowControl/>
              <w:spacing w:line="240" w:lineRule="exact"/>
              <w:jc w:val="center"/>
              <w:rPr>
                <w:rFonts w:hint="eastAsia" w:ascii="方正仿宋_GBK" w:hAnsi="方正仿宋_GBK" w:eastAsia="方正仿宋_GBK" w:cs="方正仿宋_GBK"/>
                <w:b/>
                <w:bCs/>
                <w:sz w:val="24"/>
                <w:lang w:eastAsia="zh-CN"/>
              </w:rPr>
            </w:pPr>
            <w:r>
              <w:rPr>
                <w:rFonts w:hint="eastAsia" w:ascii="方正仿宋_GBK" w:hAnsi="方正仿宋_GBK" w:eastAsia="方正仿宋_GBK" w:cs="方正仿宋_GBK"/>
                <w:b w:val="0"/>
                <w:bCs w:val="0"/>
                <w:sz w:val="24"/>
              </w:rPr>
              <w:t>江海</w:t>
            </w:r>
            <w:r>
              <w:rPr>
                <w:rFonts w:hint="eastAsia" w:ascii="方正仿宋_GBK" w:hAnsi="方正仿宋_GBK" w:eastAsia="方正仿宋_GBK" w:cs="方正仿宋_GBK"/>
                <w:b w:val="0"/>
                <w:bCs w:val="0"/>
                <w:sz w:val="24"/>
                <w:lang w:eastAsia="zh-CN"/>
              </w:rPr>
              <w:t>区</w:t>
            </w:r>
          </w:p>
        </w:tc>
        <w:tc>
          <w:tcPr>
            <w:tcW w:w="12225" w:type="dxa"/>
            <w:noWrap w:val="0"/>
            <w:vAlign w:val="top"/>
          </w:tcPr>
          <w:p>
            <w:pPr>
              <w:jc w:val="left"/>
              <w:rPr>
                <w:rFonts w:hint="eastAsia" w:ascii="方正仿宋_GBK" w:hAnsi="方正仿宋_GBK" w:eastAsia="方正仿宋_GBK" w:cs="方正仿宋_GBK"/>
              </w:rPr>
            </w:pPr>
            <w:r>
              <w:rPr>
                <w:rFonts w:hint="eastAsia" w:ascii="方正仿宋_GBK" w:hAnsi="方正仿宋_GBK" w:eastAsia="方正仿宋_GBK" w:cs="方正仿宋_GBK"/>
              </w:rPr>
              <w:t>1、2022年配备</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rPr>
              <w:t>辆通信先导车、两台天通卫星电话、1套车载4G终端，2024年配备</w:t>
            </w:r>
            <w:r>
              <w:rPr>
                <w:rFonts w:hint="eastAsia" w:ascii="方正仿宋_GBK" w:hAnsi="方正仿宋_GBK" w:eastAsia="方正仿宋_GBK" w:cs="方正仿宋_GBK"/>
                <w:szCs w:val="21"/>
              </w:rPr>
              <w:t>1套轻型卫星便携站</w:t>
            </w:r>
            <w:r>
              <w:rPr>
                <w:rFonts w:hint="eastAsia" w:ascii="方正仿宋_GBK" w:hAnsi="方正仿宋_GBK" w:eastAsia="方正仿宋_GBK" w:cs="方正仿宋_GBK"/>
              </w:rPr>
              <w:t>；</w:t>
            </w:r>
          </w:p>
          <w:p>
            <w:pPr>
              <w:jc w:val="left"/>
              <w:rPr>
                <w:rFonts w:hint="eastAsia" w:ascii="方正仿宋_GBK" w:hAnsi="方正仿宋_GBK" w:eastAsia="方正仿宋_GBK" w:cs="方正仿宋_GBK"/>
                <w:szCs w:val="21"/>
              </w:rPr>
            </w:pPr>
            <w:r>
              <w:rPr>
                <w:rFonts w:hint="eastAsia" w:ascii="方正仿宋_GBK" w:hAnsi="方正仿宋_GBK" w:eastAsia="方正仿宋_GBK" w:cs="方正仿宋_GBK"/>
              </w:rPr>
              <w:t>2、按照每站3人的标准配齐专业通信人才。</w:t>
            </w:r>
          </w:p>
        </w:tc>
      </w:tr>
    </w:tbl>
    <w:p>
      <w:pPr>
        <w:autoSpaceDE w:val="0"/>
        <w:autoSpaceDN w:val="0"/>
        <w:adjustRightInd w:val="0"/>
        <w:spacing w:line="580" w:lineRule="exact"/>
        <w:ind w:firstLine="880" w:firstLineChars="200"/>
        <w:jc w:val="left"/>
        <w:outlineLvl w:val="1"/>
        <w:rPr>
          <w:rFonts w:ascii="仿宋_GB2312" w:hAnsi="Calibri" w:eastAsia="仿宋_GB2312" w:cs="仿宋_GB2312"/>
          <w:kern w:val="0"/>
          <w:sz w:val="44"/>
          <w:szCs w:val="44"/>
          <w:lang w:val="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adjustRightInd w:val="0"/>
        <w:jc w:val="left"/>
        <w:outlineLvl w:val="1"/>
        <w:rPr>
          <w:rFonts w:hint="eastAsia" w:ascii="方正仿宋_GBK" w:hAnsi="方正仿宋_GBK" w:eastAsia="方正仿宋_GBK" w:cs="方正仿宋_GBK"/>
          <w:kern w:val="0"/>
          <w:sz w:val="32"/>
          <w:szCs w:val="32"/>
          <w:lang w:val="en-US" w:eastAsia="zh-CN"/>
        </w:rPr>
      </w:pPr>
      <w:bookmarkStart w:id="364" w:name="_Toc4757"/>
      <w:bookmarkStart w:id="365" w:name="_Toc27523"/>
      <w:bookmarkStart w:id="366" w:name="_Toc30719"/>
      <w:bookmarkStart w:id="367" w:name="_Toc81918634"/>
      <w:r>
        <w:rPr>
          <w:rFonts w:hint="eastAsia" w:ascii="方正仿宋_GBK" w:hAnsi="方正仿宋_GBK" w:eastAsia="方正仿宋_GBK" w:cs="方正仿宋_GBK"/>
          <w:kern w:val="0"/>
          <w:sz w:val="32"/>
          <w:szCs w:val="32"/>
          <w:lang w:val="zh-CN"/>
        </w:rPr>
        <w:t>附表1</w:t>
      </w:r>
      <w:bookmarkEnd w:id="364"/>
      <w:bookmarkEnd w:id="365"/>
      <w:bookmarkEnd w:id="366"/>
      <w:bookmarkEnd w:id="367"/>
      <w:bookmarkStart w:id="368" w:name="_Toc81918635"/>
      <w:r>
        <w:rPr>
          <w:rFonts w:hint="eastAsia" w:ascii="方正仿宋_GBK" w:hAnsi="方正仿宋_GBK" w:eastAsia="方正仿宋_GBK" w:cs="方正仿宋_GBK"/>
          <w:kern w:val="0"/>
          <w:sz w:val="32"/>
          <w:szCs w:val="32"/>
          <w:lang w:val="en-US" w:eastAsia="zh-CN"/>
        </w:rPr>
        <w:t>1</w:t>
      </w:r>
    </w:p>
    <w:p>
      <w:pPr>
        <w:pStyle w:val="6"/>
        <w:spacing w:before="120" w:after="120" w:line="360" w:lineRule="auto"/>
        <w:jc w:val="center"/>
        <w:rPr>
          <w:rFonts w:hint="eastAsia" w:ascii="方正小标宋_GBK" w:hAnsi="方正小标宋_GBK" w:eastAsia="方正小标宋_GBK" w:cs="方正小标宋_GBK"/>
          <w:b w:val="0"/>
          <w:bCs w:val="0"/>
          <w:sz w:val="28"/>
          <w:lang w:val="en-US" w:eastAsia="zh-CN"/>
        </w:rPr>
      </w:pPr>
      <w:r>
        <w:rPr>
          <w:rFonts w:hint="eastAsia" w:ascii="方正小标宋_GBK" w:hAnsi="方正小标宋_GBK" w:eastAsia="方正小标宋_GBK" w:cs="方正小标宋_GBK"/>
          <w:b w:val="0"/>
          <w:bCs w:val="0"/>
          <w:sz w:val="28"/>
          <w:lang w:val="en-US" w:eastAsia="zh-CN"/>
        </w:rPr>
        <w:t>消防救援站配置标准</w:t>
      </w:r>
      <w:bookmarkEnd w:id="368"/>
    </w:p>
    <w:tbl>
      <w:tblPr>
        <w:tblStyle w:val="18"/>
        <w:tblpPr w:leftFromText="180" w:rightFromText="180" w:vertAnchor="text" w:horzAnchor="page" w:tblpX="1797" w:tblpY="94"/>
        <w:tblOverlap w:val="never"/>
        <w:tblW w:w="8504" w:type="dxa"/>
        <w:tblInd w:w="0" w:type="dxa"/>
        <w:tblLayout w:type="fixed"/>
        <w:tblCellMar>
          <w:top w:w="0" w:type="dxa"/>
          <w:left w:w="108" w:type="dxa"/>
          <w:bottom w:w="0" w:type="dxa"/>
          <w:right w:w="108" w:type="dxa"/>
        </w:tblCellMar>
      </w:tblPr>
      <w:tblGrid>
        <w:gridCol w:w="1418"/>
        <w:gridCol w:w="7086"/>
      </w:tblGrid>
      <w:tr>
        <w:tblPrEx>
          <w:tblCellMar>
            <w:top w:w="0" w:type="dxa"/>
            <w:left w:w="108" w:type="dxa"/>
            <w:bottom w:w="0" w:type="dxa"/>
            <w:right w:w="108" w:type="dxa"/>
          </w:tblCellMar>
        </w:tblPrEx>
        <w:trPr>
          <w:trHeight w:val="514" w:hRule="atLeast"/>
        </w:trPr>
        <w:tc>
          <w:tcPr>
            <w:tcW w:w="8504" w:type="dxa"/>
            <w:gridSpan w:val="2"/>
            <w:tcBorders>
              <w:top w:val="single" w:color="000000" w:sz="2" w:space="0"/>
              <w:left w:val="single" w:color="000000" w:sz="2" w:space="0"/>
              <w:bottom w:val="single" w:color="000000" w:sz="2" w:space="0"/>
              <w:right w:val="single" w:color="000000" w:sz="2" w:space="0"/>
            </w:tcBorders>
            <w:noWrap w:val="0"/>
            <w:vAlign w:val="top"/>
          </w:tcPr>
          <w:p>
            <w:pPr>
              <w:autoSpaceDE w:val="0"/>
              <w:autoSpaceDN w:val="0"/>
              <w:adjustRightInd w:val="0"/>
              <w:jc w:val="center"/>
              <w:rPr>
                <w:rFonts w:ascii="宋体" w:hAnsi="Calibri" w:eastAsia="宋体" w:cs="宋体"/>
                <w:kern w:val="0"/>
                <w:sz w:val="22"/>
                <w:szCs w:val="22"/>
                <w:lang w:val="zh-CN"/>
              </w:rPr>
            </w:pPr>
            <w:r>
              <w:rPr>
                <w:rFonts w:hint="eastAsia" w:ascii="方正小标宋_GBK" w:hAnsi="方正小标宋_GBK" w:eastAsia="方正小标宋_GBK" w:cs="方正小标宋_GBK"/>
                <w:b w:val="0"/>
                <w:bCs w:val="0"/>
                <w:kern w:val="2"/>
                <w:sz w:val="24"/>
                <w:szCs w:val="24"/>
                <w:lang w:val="zh-CN" w:eastAsia="zh-CN" w:bidi="ar-SA"/>
              </w:rPr>
              <w:t>特勤消防站配置标准</w:t>
            </w:r>
          </w:p>
        </w:tc>
      </w:tr>
      <w:tr>
        <w:tblPrEx>
          <w:tblCellMar>
            <w:top w:w="0" w:type="dxa"/>
            <w:left w:w="108" w:type="dxa"/>
            <w:bottom w:w="0" w:type="dxa"/>
            <w:right w:w="108" w:type="dxa"/>
          </w:tblCellMar>
        </w:tblPrEx>
        <w:trPr>
          <w:trHeight w:val="1" w:hRule="atLeast"/>
        </w:trPr>
        <w:tc>
          <w:tcPr>
            <w:tcW w:w="1418"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人员配置</w:t>
            </w:r>
          </w:p>
        </w:tc>
        <w:tc>
          <w:tcPr>
            <w:tcW w:w="7086" w:type="dxa"/>
            <w:tcBorders>
              <w:top w:val="single" w:color="000000" w:sz="2" w:space="0"/>
              <w:left w:val="single" w:color="000000" w:sz="2" w:space="0"/>
              <w:bottom w:val="single" w:color="000000" w:sz="2" w:space="0"/>
              <w:right w:val="single" w:color="000000" w:sz="2" w:space="0"/>
            </w:tcBorders>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60人（地质灾害救援队、水域救援队、重型机械工程转队、山岳（高空）救援队、森林救援队、“高低大化”类建筑灭火救援编队等其中两支）</w:t>
            </w:r>
          </w:p>
        </w:tc>
      </w:tr>
      <w:tr>
        <w:tblPrEx>
          <w:tblCellMar>
            <w:top w:w="0" w:type="dxa"/>
            <w:left w:w="108" w:type="dxa"/>
            <w:bottom w:w="0" w:type="dxa"/>
            <w:right w:w="108" w:type="dxa"/>
          </w:tblCellMar>
        </w:tblPrEx>
        <w:trPr>
          <w:trHeight w:val="1" w:hRule="atLeast"/>
        </w:trPr>
        <w:tc>
          <w:tcPr>
            <w:tcW w:w="1418"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装备配置</w:t>
            </w:r>
          </w:p>
        </w:tc>
        <w:tc>
          <w:tcPr>
            <w:tcW w:w="7086" w:type="dxa"/>
            <w:tcBorders>
              <w:top w:val="single" w:color="000000" w:sz="2" w:space="0"/>
              <w:left w:val="single" w:color="000000" w:sz="2" w:space="0"/>
              <w:bottom w:val="single" w:color="000000" w:sz="2" w:space="0"/>
              <w:right w:val="single" w:color="000000" w:sz="2" w:space="0"/>
            </w:tcBorders>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根据需要专业救援队需要增配装备</w:t>
            </w:r>
          </w:p>
        </w:tc>
      </w:tr>
      <w:tr>
        <w:tblPrEx>
          <w:tblCellMar>
            <w:top w:w="0" w:type="dxa"/>
            <w:left w:w="108" w:type="dxa"/>
            <w:bottom w:w="0" w:type="dxa"/>
            <w:right w:w="108" w:type="dxa"/>
          </w:tblCellMar>
        </w:tblPrEx>
        <w:trPr>
          <w:trHeight w:val="1" w:hRule="atLeast"/>
        </w:trPr>
        <w:tc>
          <w:tcPr>
            <w:tcW w:w="1418"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训练体系</w:t>
            </w:r>
          </w:p>
        </w:tc>
        <w:tc>
          <w:tcPr>
            <w:tcW w:w="7086" w:type="dxa"/>
            <w:tcBorders>
              <w:top w:val="single" w:color="000000" w:sz="2" w:space="0"/>
              <w:left w:val="single" w:color="000000" w:sz="2" w:space="0"/>
              <w:bottom w:val="single" w:color="000000" w:sz="2" w:space="0"/>
              <w:right w:val="single" w:color="000000" w:sz="2" w:space="0"/>
            </w:tcBorders>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理论学习，基础体能，技战术训练</w:t>
            </w:r>
          </w:p>
        </w:tc>
      </w:tr>
      <w:tr>
        <w:tblPrEx>
          <w:tblCellMar>
            <w:top w:w="0" w:type="dxa"/>
            <w:left w:w="108" w:type="dxa"/>
            <w:bottom w:w="0" w:type="dxa"/>
            <w:right w:w="108" w:type="dxa"/>
          </w:tblCellMar>
        </w:tblPrEx>
        <w:trPr>
          <w:trHeight w:val="1" w:hRule="atLeast"/>
        </w:trPr>
        <w:tc>
          <w:tcPr>
            <w:tcW w:w="1418"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执勤模式</w:t>
            </w:r>
          </w:p>
        </w:tc>
        <w:tc>
          <w:tcPr>
            <w:tcW w:w="7086" w:type="dxa"/>
            <w:tcBorders>
              <w:top w:val="single" w:color="000000" w:sz="2" w:space="0"/>
              <w:left w:val="single" w:color="000000" w:sz="2" w:space="0"/>
              <w:bottom w:val="single" w:color="000000" w:sz="2" w:space="0"/>
              <w:right w:val="single" w:color="000000" w:sz="2" w:space="0"/>
            </w:tcBorders>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执行24小时执勤备勤任务的专业队员，随时准备出动处置“全灾种、大应急”应急救援任务</w:t>
            </w:r>
          </w:p>
        </w:tc>
      </w:tr>
    </w:tbl>
    <w:p>
      <w:pPr>
        <w:keepNext w:val="0"/>
        <w:keepLines w:val="0"/>
        <w:pageBreakBefore w:val="0"/>
        <w:widowControl w:val="0"/>
        <w:kinsoku/>
        <w:wordWrap/>
        <w:overflowPunct/>
        <w:topLinePunct w:val="0"/>
        <w:autoSpaceDE w:val="0"/>
        <w:autoSpaceDN w:val="0"/>
        <w:bidi w:val="0"/>
        <w:adjustRightInd w:val="0"/>
        <w:snapToGrid/>
        <w:spacing w:line="240" w:lineRule="exact"/>
        <w:jc w:val="both"/>
        <w:textAlignment w:val="auto"/>
        <w:rPr>
          <w:rFonts w:ascii="仿宋_GB2312" w:hAnsi="Calibri" w:eastAsia="仿宋_GB2312" w:cs="仿宋_GB2312"/>
          <w:kern w:val="0"/>
          <w:sz w:val="21"/>
          <w:szCs w:val="21"/>
        </w:rPr>
      </w:pPr>
    </w:p>
    <w:tbl>
      <w:tblPr>
        <w:tblStyle w:val="18"/>
        <w:tblW w:w="8504" w:type="dxa"/>
        <w:jc w:val="center"/>
        <w:tblLayout w:type="fixed"/>
        <w:tblCellMar>
          <w:top w:w="0" w:type="dxa"/>
          <w:left w:w="108" w:type="dxa"/>
          <w:bottom w:w="0" w:type="dxa"/>
          <w:right w:w="108" w:type="dxa"/>
        </w:tblCellMar>
      </w:tblPr>
      <w:tblGrid>
        <w:gridCol w:w="1413"/>
        <w:gridCol w:w="7091"/>
      </w:tblGrid>
      <w:tr>
        <w:tblPrEx>
          <w:tblCellMar>
            <w:top w:w="0" w:type="dxa"/>
            <w:left w:w="108" w:type="dxa"/>
            <w:bottom w:w="0" w:type="dxa"/>
            <w:right w:w="108" w:type="dxa"/>
          </w:tblCellMar>
        </w:tblPrEx>
        <w:trPr>
          <w:trHeight w:val="1" w:hRule="atLeast"/>
          <w:jc w:val="center"/>
        </w:trPr>
        <w:tc>
          <w:tcPr>
            <w:tcW w:w="8504" w:type="dxa"/>
            <w:gridSpan w:val="2"/>
            <w:tcBorders>
              <w:top w:val="single" w:color="000000" w:sz="2" w:space="0"/>
              <w:left w:val="single" w:color="000000" w:sz="2" w:space="0"/>
              <w:bottom w:val="single" w:color="000000" w:sz="2" w:space="0"/>
              <w:right w:val="single" w:color="000000" w:sz="2" w:space="0"/>
            </w:tcBorders>
            <w:noWrap w:val="0"/>
            <w:vAlign w:val="top"/>
          </w:tcPr>
          <w:p>
            <w:pPr>
              <w:autoSpaceDE w:val="0"/>
              <w:autoSpaceDN w:val="0"/>
              <w:adjustRightInd w:val="0"/>
              <w:jc w:val="center"/>
              <w:rPr>
                <w:rFonts w:ascii="宋体" w:hAnsi="Calibri" w:eastAsia="宋体" w:cs="宋体"/>
                <w:kern w:val="0"/>
                <w:sz w:val="22"/>
                <w:szCs w:val="22"/>
                <w:lang w:val="zh-CN"/>
              </w:rPr>
            </w:pPr>
            <w:r>
              <w:rPr>
                <w:rFonts w:hint="eastAsia" w:ascii="方正小标宋_GBK" w:hAnsi="方正小标宋_GBK" w:eastAsia="方正小标宋_GBK" w:cs="方正小标宋_GBK"/>
                <w:b w:val="0"/>
                <w:bCs w:val="0"/>
                <w:kern w:val="2"/>
                <w:sz w:val="24"/>
                <w:szCs w:val="24"/>
                <w:lang w:val="en-US" w:eastAsia="zh-CN" w:bidi="ar-SA"/>
              </w:rPr>
              <w:t>普</w:t>
            </w:r>
            <w:r>
              <w:rPr>
                <w:rFonts w:hint="eastAsia" w:ascii="方正小标宋_GBK" w:hAnsi="方正小标宋_GBK" w:eastAsia="方正小标宋_GBK" w:cs="方正小标宋_GBK"/>
                <w:b w:val="0"/>
                <w:bCs w:val="0"/>
                <w:kern w:val="2"/>
                <w:sz w:val="24"/>
                <w:szCs w:val="24"/>
                <w:lang w:val="zh-CN" w:eastAsia="zh-CN" w:bidi="ar-SA"/>
              </w:rPr>
              <w:br w:type="page"/>
            </w:r>
            <w:r>
              <w:rPr>
                <w:rFonts w:hint="eastAsia" w:ascii="方正小标宋_GBK" w:hAnsi="方正小标宋_GBK" w:eastAsia="方正小标宋_GBK" w:cs="方正小标宋_GBK"/>
                <w:b w:val="0"/>
                <w:bCs w:val="0"/>
                <w:kern w:val="2"/>
                <w:sz w:val="24"/>
                <w:szCs w:val="24"/>
                <w:lang w:val="zh-CN" w:eastAsia="zh-CN" w:bidi="ar-SA"/>
              </w:rPr>
              <w:t>通消防站配置标准</w:t>
            </w:r>
          </w:p>
        </w:tc>
      </w:tr>
      <w:tr>
        <w:tblPrEx>
          <w:tblCellMar>
            <w:top w:w="0" w:type="dxa"/>
            <w:left w:w="108" w:type="dxa"/>
            <w:bottom w:w="0" w:type="dxa"/>
            <w:right w:w="108" w:type="dxa"/>
          </w:tblCellMar>
        </w:tblPrEx>
        <w:trPr>
          <w:trHeight w:val="589" w:hRule="atLeast"/>
          <w:jc w:val="center"/>
        </w:trPr>
        <w:tc>
          <w:tcPr>
            <w:tcW w:w="1413"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人员配置</w:t>
            </w:r>
          </w:p>
        </w:tc>
        <w:tc>
          <w:tcPr>
            <w:tcW w:w="7091"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36-45人</w:t>
            </w:r>
          </w:p>
        </w:tc>
      </w:tr>
      <w:tr>
        <w:tblPrEx>
          <w:tblCellMar>
            <w:top w:w="0" w:type="dxa"/>
            <w:left w:w="108" w:type="dxa"/>
            <w:bottom w:w="0" w:type="dxa"/>
            <w:right w:w="108" w:type="dxa"/>
          </w:tblCellMar>
        </w:tblPrEx>
        <w:trPr>
          <w:trHeight w:val="1" w:hRule="atLeast"/>
          <w:jc w:val="center"/>
        </w:trPr>
        <w:tc>
          <w:tcPr>
            <w:tcW w:w="1413"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装备配置</w:t>
            </w:r>
          </w:p>
        </w:tc>
        <w:tc>
          <w:tcPr>
            <w:tcW w:w="7091"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消防车辆配备达到“3+2”配备要求，并选配1辆举高喷射消防车，确保每个消防救援大队至少配备1辆</w:t>
            </w:r>
          </w:p>
        </w:tc>
      </w:tr>
      <w:tr>
        <w:tblPrEx>
          <w:tblCellMar>
            <w:top w:w="0" w:type="dxa"/>
            <w:left w:w="108" w:type="dxa"/>
            <w:bottom w:w="0" w:type="dxa"/>
            <w:right w:w="108" w:type="dxa"/>
          </w:tblCellMar>
        </w:tblPrEx>
        <w:trPr>
          <w:trHeight w:val="1" w:hRule="atLeast"/>
          <w:jc w:val="center"/>
        </w:trPr>
        <w:tc>
          <w:tcPr>
            <w:tcW w:w="1413"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训练体系</w:t>
            </w:r>
          </w:p>
        </w:tc>
        <w:tc>
          <w:tcPr>
            <w:tcW w:w="7091"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理论学习，基础体能，技战术训练</w:t>
            </w:r>
          </w:p>
        </w:tc>
      </w:tr>
      <w:tr>
        <w:tblPrEx>
          <w:tblCellMar>
            <w:top w:w="0" w:type="dxa"/>
            <w:left w:w="108" w:type="dxa"/>
            <w:bottom w:w="0" w:type="dxa"/>
            <w:right w:w="108" w:type="dxa"/>
          </w:tblCellMar>
        </w:tblPrEx>
        <w:trPr>
          <w:trHeight w:val="1" w:hRule="atLeast"/>
          <w:jc w:val="center"/>
        </w:trPr>
        <w:tc>
          <w:tcPr>
            <w:tcW w:w="1413"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执勤模式</w:t>
            </w:r>
          </w:p>
        </w:tc>
        <w:tc>
          <w:tcPr>
            <w:tcW w:w="7091"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执行24小时执勤备勤任务的专业队员，随时准备出动处置辖区内的“全灾种、大应急”应急救援任务</w:t>
            </w:r>
          </w:p>
        </w:tc>
      </w:tr>
    </w:tbl>
    <w:p>
      <w:pPr>
        <w:keepNext w:val="0"/>
        <w:keepLines w:val="0"/>
        <w:pageBreakBefore w:val="0"/>
        <w:widowControl w:val="0"/>
        <w:kinsoku/>
        <w:wordWrap/>
        <w:overflowPunct/>
        <w:topLinePunct w:val="0"/>
        <w:autoSpaceDE w:val="0"/>
        <w:autoSpaceDN w:val="0"/>
        <w:bidi w:val="0"/>
        <w:adjustRightInd w:val="0"/>
        <w:snapToGrid/>
        <w:spacing w:line="240" w:lineRule="exact"/>
        <w:jc w:val="both"/>
        <w:textAlignment w:val="auto"/>
        <w:rPr>
          <w:szCs w:val="21"/>
          <w:lang w:val="zh-CN"/>
        </w:rPr>
      </w:pPr>
      <w:bookmarkStart w:id="369" w:name="_Toc6867"/>
      <w:bookmarkEnd w:id="369"/>
      <w:bookmarkStart w:id="370" w:name="_Toc23541"/>
      <w:bookmarkEnd w:id="370"/>
    </w:p>
    <w:tbl>
      <w:tblPr>
        <w:tblStyle w:val="1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601"/>
        <w:gridCol w:w="5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4" w:type="dxa"/>
            <w:gridSpan w:val="3"/>
            <w:noWrap w:val="0"/>
            <w:vAlign w:val="top"/>
          </w:tcPr>
          <w:p>
            <w:pPr>
              <w:jc w:val="center"/>
              <w:rPr>
                <w:b/>
                <w:bCs/>
                <w:sz w:val="28"/>
                <w:lang w:val="zh-CN"/>
              </w:rPr>
            </w:pPr>
            <w:bookmarkStart w:id="371" w:name="_Toc23668"/>
            <w:bookmarkEnd w:id="371"/>
            <w:bookmarkStart w:id="372" w:name="_Toc22110"/>
            <w:bookmarkEnd w:id="372"/>
            <w:r>
              <w:rPr>
                <w:rFonts w:hint="eastAsia" w:ascii="方正小标宋_GBK" w:hAnsi="方正小标宋_GBK" w:eastAsia="方正小标宋_GBK" w:cs="方正小标宋_GBK"/>
                <w:b w:val="0"/>
                <w:bCs w:val="0"/>
                <w:kern w:val="2"/>
                <w:sz w:val="24"/>
                <w:szCs w:val="24"/>
                <w:lang w:val="zh-CN" w:eastAsia="zh-CN" w:bidi="ar-SA"/>
              </w:rPr>
              <w:t>小型消防救援站配置标准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r>
              <w:rPr>
                <w:rFonts w:hint="eastAsia" w:ascii="方正小标宋_GBK" w:hAnsi="方正小标宋_GBK" w:eastAsia="方正小标宋_GBK" w:cs="方正小标宋_GBK"/>
                <w:b w:val="0"/>
                <w:bCs w:val="0"/>
                <w:kern w:val="2"/>
                <w:sz w:val="24"/>
                <w:szCs w:val="24"/>
                <w:lang w:val="zh-CN" w:eastAsia="zh-CN" w:bidi="ar-SA"/>
              </w:rPr>
              <w:t>区域</w:t>
            </w:r>
          </w:p>
        </w:tc>
        <w:tc>
          <w:tcPr>
            <w:tcW w:w="7019" w:type="dxa"/>
            <w:gridSpan w:val="2"/>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无法进行一级消防救援站布点的片区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485" w:type="dxa"/>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r>
              <w:rPr>
                <w:rFonts w:hint="eastAsia" w:ascii="方正小标宋_GBK" w:hAnsi="方正小标宋_GBK" w:eastAsia="方正小标宋_GBK" w:cs="方正小标宋_GBK"/>
                <w:b w:val="0"/>
                <w:bCs w:val="0"/>
                <w:kern w:val="2"/>
                <w:sz w:val="24"/>
                <w:szCs w:val="24"/>
                <w:lang w:val="zh-CN" w:eastAsia="zh-CN" w:bidi="ar-SA"/>
              </w:rPr>
              <w:t>辖区面积</w:t>
            </w:r>
          </w:p>
        </w:tc>
        <w:tc>
          <w:tcPr>
            <w:tcW w:w="7019" w:type="dxa"/>
            <w:gridSpan w:val="2"/>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城市集中区：不超过2Km2，一般设在城市消防救援站到场相对不利的地区，便于车辆迅速出动的位置；</w:t>
            </w:r>
          </w:p>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城乡融合区：按照平均服务面积10Km2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485" w:type="dxa"/>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r>
              <w:rPr>
                <w:rFonts w:hint="eastAsia" w:ascii="方正小标宋_GBK" w:hAnsi="方正小标宋_GBK" w:eastAsia="方正小标宋_GBK" w:cs="方正小标宋_GBK"/>
                <w:b w:val="0"/>
                <w:bCs w:val="0"/>
                <w:kern w:val="2"/>
                <w:sz w:val="24"/>
                <w:szCs w:val="24"/>
                <w:lang w:val="zh-CN" w:eastAsia="zh-CN" w:bidi="ar-SA"/>
              </w:rPr>
              <w:t>职能任务</w:t>
            </w:r>
          </w:p>
        </w:tc>
        <w:tc>
          <w:tcPr>
            <w:tcW w:w="7019" w:type="dxa"/>
            <w:gridSpan w:val="2"/>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承担“打早、灭小、灭初期”灭火救援作战任务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85" w:type="dxa"/>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r>
              <w:rPr>
                <w:rFonts w:hint="eastAsia" w:ascii="方正小标宋_GBK" w:hAnsi="方正小标宋_GBK" w:eastAsia="方正小标宋_GBK" w:cs="方正小标宋_GBK"/>
                <w:b w:val="0"/>
                <w:bCs w:val="0"/>
                <w:kern w:val="2"/>
                <w:sz w:val="24"/>
                <w:szCs w:val="24"/>
                <w:lang w:val="zh-CN" w:eastAsia="zh-CN" w:bidi="ar-SA"/>
              </w:rPr>
              <w:t>人员配置</w:t>
            </w:r>
          </w:p>
        </w:tc>
        <w:tc>
          <w:tcPr>
            <w:tcW w:w="7019" w:type="dxa"/>
            <w:gridSpan w:val="2"/>
            <w:noWrap w:val="0"/>
            <w:vAlign w:val="center"/>
          </w:tcPr>
          <w:p>
            <w:pPr>
              <w:autoSpaceDE w:val="0"/>
              <w:autoSpaceDN w:val="0"/>
              <w:adjustRightInd w:val="0"/>
              <w:jc w:val="both"/>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12-15人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85" w:type="dxa"/>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r>
              <w:rPr>
                <w:rFonts w:hint="eastAsia" w:ascii="方正小标宋_GBK" w:hAnsi="方正小标宋_GBK" w:eastAsia="方正小标宋_GBK" w:cs="方正小标宋_GBK"/>
                <w:b w:val="0"/>
                <w:bCs w:val="0"/>
                <w:kern w:val="2"/>
                <w:sz w:val="24"/>
                <w:szCs w:val="24"/>
                <w:lang w:val="zh-CN" w:eastAsia="zh-CN" w:bidi="ar-SA"/>
              </w:rPr>
              <w:t>建设模式</w:t>
            </w:r>
          </w:p>
        </w:tc>
        <w:tc>
          <w:tcPr>
            <w:tcW w:w="7019" w:type="dxa"/>
            <w:gridSpan w:val="2"/>
            <w:noWrap w:val="0"/>
            <w:vAlign w:val="center"/>
          </w:tcPr>
          <w:p>
            <w:pPr>
              <w:autoSpaceDE w:val="0"/>
              <w:autoSpaceDN w:val="0"/>
              <w:adjustRightInd w:val="0"/>
              <w:jc w:val="both"/>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合建、改建、新建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Merge w:val="restart"/>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r>
              <w:rPr>
                <w:rFonts w:hint="eastAsia" w:ascii="方正小标宋_GBK" w:hAnsi="方正小标宋_GBK" w:eastAsia="方正小标宋_GBK" w:cs="方正小标宋_GBK"/>
                <w:b w:val="0"/>
                <w:bCs w:val="0"/>
                <w:kern w:val="2"/>
                <w:sz w:val="24"/>
                <w:szCs w:val="24"/>
                <w:lang w:val="zh-CN" w:eastAsia="zh-CN" w:bidi="ar-SA"/>
              </w:rPr>
              <w:t>分区域差异化建设营房设施</w:t>
            </w:r>
          </w:p>
        </w:tc>
        <w:tc>
          <w:tcPr>
            <w:tcW w:w="1601" w:type="dxa"/>
            <w:vMerge w:val="restart"/>
            <w:noWrap w:val="0"/>
            <w:vAlign w:val="center"/>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成熟区域（用地紧张区域）</w:t>
            </w:r>
          </w:p>
        </w:tc>
        <w:tc>
          <w:tcPr>
            <w:tcW w:w="5418" w:type="dxa"/>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用房使用面积145-280m2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Merge w:val="continue"/>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p>
        </w:tc>
        <w:tc>
          <w:tcPr>
            <w:tcW w:w="1601" w:type="dxa"/>
            <w:vMerge w:val="continue"/>
            <w:noWrap w:val="0"/>
            <w:vAlign w:val="center"/>
          </w:tcPr>
          <w:p>
            <w:pPr>
              <w:autoSpaceDE w:val="0"/>
              <w:autoSpaceDN w:val="0"/>
              <w:adjustRightInd w:val="0"/>
              <w:rPr>
                <w:rFonts w:hint="eastAsia" w:ascii="方正仿宋_GBK" w:hAnsi="方正仿宋_GBK" w:eastAsia="方正仿宋_GBK" w:cs="方正仿宋_GBK"/>
                <w:kern w:val="0"/>
                <w:szCs w:val="21"/>
                <w:lang w:val="zh-CN"/>
              </w:rPr>
            </w:pPr>
          </w:p>
        </w:tc>
        <w:tc>
          <w:tcPr>
            <w:tcW w:w="5418" w:type="dxa"/>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办公室、会议室、备勤室、餐厅、厨房、器材库、副食品库、洗漱间、体能训练室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Merge w:val="continue"/>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p>
        </w:tc>
        <w:tc>
          <w:tcPr>
            <w:tcW w:w="1601" w:type="dxa"/>
            <w:vMerge w:val="restart"/>
            <w:noWrap w:val="0"/>
            <w:vAlign w:val="center"/>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新区（用地宽裕区域）</w:t>
            </w:r>
          </w:p>
        </w:tc>
        <w:tc>
          <w:tcPr>
            <w:tcW w:w="5418" w:type="dxa"/>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用房使用面积不少于540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Merge w:val="continue"/>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p>
        </w:tc>
        <w:tc>
          <w:tcPr>
            <w:tcW w:w="1601" w:type="dxa"/>
            <w:vMerge w:val="continue"/>
            <w:noWrap w:val="0"/>
            <w:vAlign w:val="top"/>
          </w:tcPr>
          <w:p>
            <w:pPr>
              <w:autoSpaceDE w:val="0"/>
              <w:autoSpaceDN w:val="0"/>
              <w:adjustRightInd w:val="0"/>
              <w:rPr>
                <w:rFonts w:hint="eastAsia" w:ascii="方正仿宋_GBK" w:hAnsi="方正仿宋_GBK" w:eastAsia="方正仿宋_GBK" w:cs="方正仿宋_GBK"/>
                <w:kern w:val="0"/>
                <w:szCs w:val="21"/>
                <w:lang w:val="zh-CN"/>
              </w:rPr>
            </w:pPr>
          </w:p>
        </w:tc>
        <w:tc>
          <w:tcPr>
            <w:tcW w:w="5418" w:type="dxa"/>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业务用房：消防车库、通信值班室、体能训练室、执勤器材库、灭火救援研讨室、电脑室、队长备勤室、消防员备勤室、体能训练室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Merge w:val="continue"/>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p>
        </w:tc>
        <w:tc>
          <w:tcPr>
            <w:tcW w:w="1601" w:type="dxa"/>
            <w:vMerge w:val="continue"/>
            <w:noWrap w:val="0"/>
            <w:vAlign w:val="top"/>
          </w:tcPr>
          <w:p>
            <w:pPr>
              <w:autoSpaceDE w:val="0"/>
              <w:autoSpaceDN w:val="0"/>
              <w:adjustRightInd w:val="0"/>
              <w:rPr>
                <w:rFonts w:hint="eastAsia" w:ascii="方正仿宋_GBK" w:hAnsi="方正仿宋_GBK" w:eastAsia="方正仿宋_GBK" w:cs="方正仿宋_GBK"/>
                <w:kern w:val="0"/>
                <w:szCs w:val="21"/>
                <w:lang w:val="zh-CN"/>
              </w:rPr>
            </w:pPr>
          </w:p>
        </w:tc>
        <w:tc>
          <w:tcPr>
            <w:tcW w:w="5418" w:type="dxa"/>
            <w:noWrap w:val="0"/>
            <w:vAlign w:val="top"/>
          </w:tcPr>
          <w:p>
            <w:pPr>
              <w:autoSpaceDE w:val="0"/>
              <w:autoSpaceDN w:val="0"/>
              <w:adjustRightInd w:val="0"/>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辅助用房：餐厅、厨房、浴室、贮藏室、盥洗室、设备用房、卫生间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r>
              <w:rPr>
                <w:rFonts w:hint="eastAsia" w:ascii="方正小标宋_GBK" w:hAnsi="方正小标宋_GBK" w:eastAsia="方正小标宋_GBK" w:cs="方正小标宋_GBK"/>
                <w:b w:val="0"/>
                <w:bCs w:val="0"/>
                <w:kern w:val="2"/>
                <w:sz w:val="24"/>
                <w:szCs w:val="24"/>
                <w:lang w:val="zh-CN" w:eastAsia="zh-CN" w:bidi="ar-SA"/>
              </w:rPr>
              <w:t>装备配备</w:t>
            </w:r>
          </w:p>
        </w:tc>
        <w:tc>
          <w:tcPr>
            <w:tcW w:w="7019" w:type="dxa"/>
            <w:gridSpan w:val="2"/>
            <w:noWrap w:val="0"/>
            <w:vAlign w:val="center"/>
          </w:tcPr>
          <w:p>
            <w:pPr>
              <w:autoSpaceDE w:val="0"/>
              <w:autoSpaceDN w:val="0"/>
              <w:adjustRightInd w:val="0"/>
              <w:jc w:val="left"/>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至少配备1辆水罐或泡沫消防车，1辆消防摩托车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noWrap w:val="0"/>
            <w:vAlign w:val="center"/>
          </w:tcPr>
          <w:p>
            <w:pPr>
              <w:jc w:val="center"/>
              <w:rPr>
                <w:rFonts w:hint="eastAsia" w:ascii="方正小标宋_GBK" w:hAnsi="方正小标宋_GBK" w:eastAsia="方正小标宋_GBK" w:cs="方正小标宋_GBK"/>
                <w:b w:val="0"/>
                <w:bCs w:val="0"/>
                <w:kern w:val="2"/>
                <w:sz w:val="24"/>
                <w:szCs w:val="24"/>
                <w:lang w:val="zh-CN" w:eastAsia="zh-CN" w:bidi="ar-SA"/>
              </w:rPr>
            </w:pPr>
            <w:r>
              <w:rPr>
                <w:rFonts w:hint="eastAsia" w:ascii="方正小标宋_GBK" w:hAnsi="方正小标宋_GBK" w:eastAsia="方正小标宋_GBK" w:cs="方正小标宋_GBK"/>
                <w:b w:val="0"/>
                <w:bCs w:val="0"/>
                <w:kern w:val="2"/>
                <w:sz w:val="24"/>
                <w:szCs w:val="24"/>
                <w:lang w:val="zh-CN" w:eastAsia="zh-CN" w:bidi="ar-SA"/>
              </w:rPr>
              <w:t>执勤模式</w:t>
            </w:r>
          </w:p>
        </w:tc>
        <w:tc>
          <w:tcPr>
            <w:tcW w:w="7019" w:type="dxa"/>
            <w:gridSpan w:val="2"/>
            <w:noWrap w:val="0"/>
            <w:vAlign w:val="center"/>
          </w:tcPr>
          <w:p>
            <w:pPr>
              <w:autoSpaceDE w:val="0"/>
              <w:autoSpaceDN w:val="0"/>
              <w:adjustRightInd w:val="0"/>
              <w:jc w:val="left"/>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消防员执行24小时执勤，随时应对处置灭火应急救援任务</w:t>
            </w:r>
          </w:p>
        </w:tc>
      </w:tr>
    </w:tbl>
    <w:p>
      <w:pPr>
        <w:rPr>
          <w:rFonts w:ascii="仿宋_GB2312" w:hAnsi="Calibri" w:eastAsia="仿宋_GB2312" w:cs="仿宋_GB2312"/>
          <w:kern w:val="0"/>
          <w:sz w:val="36"/>
          <w:szCs w:val="36"/>
          <w:lang w:val="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adjustRightInd w:val="0"/>
        <w:jc w:val="left"/>
        <w:outlineLvl w:val="1"/>
        <w:rPr>
          <w:rFonts w:hint="eastAsia" w:ascii="方正仿宋_GBK" w:hAnsi="方正仿宋_GBK" w:eastAsia="方正仿宋_GBK" w:cs="方正仿宋_GBK"/>
          <w:kern w:val="0"/>
          <w:sz w:val="36"/>
          <w:szCs w:val="36"/>
          <w:lang w:val="en-US" w:eastAsia="zh-CN"/>
        </w:rPr>
      </w:pPr>
      <w:bookmarkStart w:id="373" w:name="_Toc81918636"/>
      <w:bookmarkStart w:id="374" w:name="_Toc10824"/>
      <w:bookmarkStart w:id="375" w:name="_Toc28324"/>
      <w:bookmarkStart w:id="376" w:name="_Toc25716"/>
      <w:r>
        <w:rPr>
          <w:rFonts w:hint="eastAsia" w:ascii="方正仿宋_GBK" w:hAnsi="方正仿宋_GBK" w:eastAsia="方正仿宋_GBK" w:cs="方正仿宋_GBK"/>
          <w:kern w:val="0"/>
          <w:sz w:val="32"/>
          <w:szCs w:val="32"/>
          <w:lang w:val="zh-CN"/>
        </w:rPr>
        <w:t>附表</w:t>
      </w:r>
      <w:r>
        <w:rPr>
          <w:rFonts w:hint="eastAsia" w:ascii="方正仿宋_GBK" w:hAnsi="方正仿宋_GBK" w:eastAsia="方正仿宋_GBK" w:cs="方正仿宋_GBK"/>
          <w:kern w:val="0"/>
          <w:sz w:val="32"/>
          <w:szCs w:val="32"/>
        </w:rPr>
        <w:t>1</w:t>
      </w:r>
      <w:bookmarkEnd w:id="373"/>
      <w:bookmarkEnd w:id="374"/>
      <w:bookmarkEnd w:id="375"/>
      <w:bookmarkEnd w:id="376"/>
      <w:r>
        <w:rPr>
          <w:rFonts w:hint="eastAsia" w:ascii="方正仿宋_GBK" w:hAnsi="方正仿宋_GBK" w:eastAsia="方正仿宋_GBK" w:cs="方正仿宋_GBK"/>
          <w:kern w:val="0"/>
          <w:sz w:val="32"/>
          <w:szCs w:val="32"/>
          <w:lang w:val="en-US" w:eastAsia="zh-CN"/>
        </w:rPr>
        <w:t>2</w:t>
      </w:r>
    </w:p>
    <w:p>
      <w:pPr>
        <w:pStyle w:val="6"/>
        <w:spacing w:before="120" w:after="120" w:line="360" w:lineRule="auto"/>
        <w:jc w:val="center"/>
        <w:rPr>
          <w:rFonts w:hint="eastAsia" w:ascii="方正小标宋_GBK" w:hAnsi="方正小标宋_GBK" w:eastAsia="方正小标宋_GBK" w:cs="方正小标宋_GBK"/>
          <w:b w:val="0"/>
          <w:bCs w:val="0"/>
          <w:sz w:val="28"/>
          <w:lang w:val="zh-CN" w:eastAsia="zh-CN"/>
        </w:rPr>
      </w:pPr>
      <w:bookmarkStart w:id="377" w:name="_Toc31358"/>
      <w:bookmarkStart w:id="378" w:name="_Toc12239"/>
      <w:bookmarkStart w:id="379" w:name="_Toc81918637"/>
      <w:r>
        <w:rPr>
          <w:rFonts w:hint="eastAsia" w:ascii="方正小标宋_GBK" w:hAnsi="方正小标宋_GBK" w:eastAsia="方正小标宋_GBK" w:cs="方正小标宋_GBK"/>
          <w:b w:val="0"/>
          <w:bCs w:val="0"/>
          <w:sz w:val="28"/>
          <w:lang w:val="zh-CN" w:eastAsia="zh-CN"/>
        </w:rPr>
        <w:t>消防救援专业队类型及配置</w:t>
      </w:r>
      <w:bookmarkEnd w:id="377"/>
      <w:bookmarkEnd w:id="378"/>
      <w:r>
        <w:rPr>
          <w:rFonts w:hint="eastAsia" w:ascii="方正小标宋_GBK" w:hAnsi="方正小标宋_GBK" w:eastAsia="方正小标宋_GBK" w:cs="方正小标宋_GBK"/>
          <w:b w:val="0"/>
          <w:bCs w:val="0"/>
          <w:sz w:val="28"/>
          <w:lang w:val="zh-CN" w:eastAsia="zh-CN"/>
        </w:rPr>
        <w:t>标准</w:t>
      </w:r>
      <w:bookmarkEnd w:id="379"/>
    </w:p>
    <w:tbl>
      <w:tblPr>
        <w:tblStyle w:val="18"/>
        <w:tblW w:w="8504" w:type="dxa"/>
        <w:tblInd w:w="108" w:type="dxa"/>
        <w:tblLayout w:type="fixed"/>
        <w:tblCellMar>
          <w:top w:w="0" w:type="dxa"/>
          <w:left w:w="108" w:type="dxa"/>
          <w:bottom w:w="0" w:type="dxa"/>
          <w:right w:w="108" w:type="dxa"/>
        </w:tblCellMar>
      </w:tblPr>
      <w:tblGrid>
        <w:gridCol w:w="1596"/>
        <w:gridCol w:w="6908"/>
      </w:tblGrid>
      <w:tr>
        <w:tblPrEx>
          <w:tblCellMar>
            <w:top w:w="0" w:type="dxa"/>
            <w:left w:w="108" w:type="dxa"/>
            <w:bottom w:w="0" w:type="dxa"/>
            <w:right w:w="108" w:type="dxa"/>
          </w:tblCellMar>
        </w:tblPrEx>
        <w:trPr>
          <w:trHeight w:val="415" w:hRule="atLeast"/>
        </w:trPr>
        <w:tc>
          <w:tcPr>
            <w:tcW w:w="1596"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类型</w:t>
            </w:r>
          </w:p>
        </w:tc>
        <w:tc>
          <w:tcPr>
            <w:tcW w:w="6908"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装备配置内容</w:t>
            </w:r>
          </w:p>
        </w:tc>
      </w:tr>
      <w:tr>
        <w:tblPrEx>
          <w:tblCellMar>
            <w:top w:w="0" w:type="dxa"/>
            <w:left w:w="108" w:type="dxa"/>
            <w:bottom w:w="0" w:type="dxa"/>
            <w:right w:w="108" w:type="dxa"/>
          </w:tblCellMar>
        </w:tblPrEx>
        <w:trPr>
          <w:trHeight w:val="1" w:hRule="atLeast"/>
        </w:trPr>
        <w:tc>
          <w:tcPr>
            <w:tcW w:w="1596"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高层建筑灭火救援专业队</w:t>
            </w:r>
          </w:p>
        </w:tc>
        <w:tc>
          <w:tcPr>
            <w:tcW w:w="6908"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exact"/>
              <w:jc w:val="left"/>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重点引进大功率（高层）供水车、举高车、远程供水车组等先进车辆，优化破拆、排烟、侦察搜救、无人机等高性能器材配置</w:t>
            </w:r>
          </w:p>
        </w:tc>
      </w:tr>
      <w:tr>
        <w:tblPrEx>
          <w:tblCellMar>
            <w:top w:w="0" w:type="dxa"/>
            <w:left w:w="108" w:type="dxa"/>
            <w:bottom w:w="0" w:type="dxa"/>
            <w:right w:w="108" w:type="dxa"/>
          </w:tblCellMar>
        </w:tblPrEx>
        <w:trPr>
          <w:trHeight w:val="1" w:hRule="atLeast"/>
        </w:trPr>
        <w:tc>
          <w:tcPr>
            <w:tcW w:w="1596"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地下空间灭火救援专业队</w:t>
            </w:r>
          </w:p>
        </w:tc>
        <w:tc>
          <w:tcPr>
            <w:tcW w:w="6908"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exact"/>
              <w:jc w:val="left"/>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重点引进大功率排烟车、泡沫车等先进车辆，加强破拆、排烟、侦察搜救、通信、消防机器人等高性能器材配置</w:t>
            </w:r>
          </w:p>
        </w:tc>
      </w:tr>
      <w:tr>
        <w:tblPrEx>
          <w:tblCellMar>
            <w:top w:w="0" w:type="dxa"/>
            <w:left w:w="108" w:type="dxa"/>
            <w:bottom w:w="0" w:type="dxa"/>
            <w:right w:w="108" w:type="dxa"/>
          </w:tblCellMar>
        </w:tblPrEx>
        <w:trPr>
          <w:trHeight w:val="1" w:hRule="atLeast"/>
        </w:trPr>
        <w:tc>
          <w:tcPr>
            <w:tcW w:w="1596"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大型综合体灭火救援专业队</w:t>
            </w:r>
          </w:p>
        </w:tc>
        <w:tc>
          <w:tcPr>
            <w:tcW w:w="6908"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exact"/>
              <w:jc w:val="left"/>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重点引进大功率排烟车、大功率供水车、举高车、远程供水车组等先进车辆，加强破拆、排烟、搜救、通信、消防机器人等高性能器材配置</w:t>
            </w:r>
          </w:p>
        </w:tc>
      </w:tr>
      <w:tr>
        <w:tblPrEx>
          <w:tblCellMar>
            <w:top w:w="0" w:type="dxa"/>
            <w:left w:w="108" w:type="dxa"/>
            <w:bottom w:w="0" w:type="dxa"/>
            <w:right w:w="108" w:type="dxa"/>
          </w:tblCellMar>
        </w:tblPrEx>
        <w:trPr>
          <w:trHeight w:val="1" w:hRule="atLeast"/>
        </w:trPr>
        <w:tc>
          <w:tcPr>
            <w:tcW w:w="1596"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石油化工灭火救援专业队</w:t>
            </w:r>
          </w:p>
        </w:tc>
        <w:tc>
          <w:tcPr>
            <w:tcW w:w="6908"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exact"/>
              <w:jc w:val="left"/>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重点引进大功率供水车、高喷车、泡沫车、远程供水车组等先进车辆，高射程自摆炮、遥控炮，以及个人防化服、隔热服、洗消、照明、通信、消防机器人等高效器材，同时加强对新型高效灭火药剂的引进力度，拓宽灭火剂来源，提高灭火剂快速投送能力。</w:t>
            </w:r>
          </w:p>
        </w:tc>
      </w:tr>
      <w:tr>
        <w:tblPrEx>
          <w:tblCellMar>
            <w:top w:w="0" w:type="dxa"/>
            <w:left w:w="108" w:type="dxa"/>
            <w:bottom w:w="0" w:type="dxa"/>
            <w:right w:w="108" w:type="dxa"/>
          </w:tblCellMar>
        </w:tblPrEx>
        <w:trPr>
          <w:trHeight w:val="1" w:hRule="atLeast"/>
        </w:trPr>
        <w:tc>
          <w:tcPr>
            <w:tcW w:w="1596"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水域救援专业队</w:t>
            </w:r>
          </w:p>
        </w:tc>
        <w:tc>
          <w:tcPr>
            <w:tcW w:w="6908"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exact"/>
              <w:jc w:val="left"/>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重点配备专业个人防护、救援舟艇及运输、搜索测绘、水面救援、水下破拆、水上机器人等装备</w:t>
            </w:r>
          </w:p>
        </w:tc>
      </w:tr>
      <w:tr>
        <w:tblPrEx>
          <w:tblCellMar>
            <w:top w:w="0" w:type="dxa"/>
            <w:left w:w="108" w:type="dxa"/>
            <w:bottom w:w="0" w:type="dxa"/>
            <w:right w:w="108" w:type="dxa"/>
          </w:tblCellMar>
        </w:tblPrEx>
        <w:trPr>
          <w:trHeight w:val="682" w:hRule="atLeast"/>
        </w:trPr>
        <w:tc>
          <w:tcPr>
            <w:tcW w:w="1596" w:type="dxa"/>
            <w:tcBorders>
              <w:top w:val="single" w:color="000000" w:sz="2" w:space="0"/>
              <w:left w:val="single" w:color="000000" w:sz="2" w:space="0"/>
              <w:bottom w:val="single" w:color="000000" w:sz="2" w:space="0"/>
              <w:right w:val="single" w:color="000000" w:sz="2" w:space="0"/>
            </w:tcBorders>
            <w:noWrap w:val="0"/>
            <w:vAlign w:val="center"/>
          </w:tcPr>
          <w:p>
            <w:pPr>
              <w:widowControl/>
              <w:spacing w:line="240" w:lineRule="exact"/>
              <w:jc w:val="center"/>
              <w:rPr>
                <w:rFonts w:hint="eastAsia" w:ascii="方正黑体_GBK" w:hAnsi="方正黑体_GBK" w:eastAsia="方正黑体_GBK" w:cs="方正黑体_GBK"/>
                <w:b w:val="0"/>
                <w:bCs w:val="0"/>
                <w:sz w:val="24"/>
                <w:lang w:val="zh-CN"/>
              </w:rPr>
            </w:pPr>
            <w:r>
              <w:rPr>
                <w:rFonts w:hint="eastAsia" w:ascii="方正黑体_GBK" w:hAnsi="方正黑体_GBK" w:eastAsia="方正黑体_GBK" w:cs="方正黑体_GBK"/>
                <w:b w:val="0"/>
                <w:bCs w:val="0"/>
                <w:sz w:val="24"/>
                <w:lang w:val="zh-CN"/>
              </w:rPr>
              <w:t>高空（山岳）救援专业队</w:t>
            </w:r>
          </w:p>
        </w:tc>
        <w:tc>
          <w:tcPr>
            <w:tcW w:w="6908" w:type="dxa"/>
            <w:tcBorders>
              <w:top w:val="single" w:color="000000" w:sz="2" w:space="0"/>
              <w:left w:val="single" w:color="000000" w:sz="2" w:space="0"/>
              <w:bottom w:val="single" w:color="000000" w:sz="2" w:space="0"/>
              <w:right w:val="single" w:color="000000" w:sz="2" w:space="0"/>
            </w:tcBorders>
            <w:noWrap w:val="0"/>
            <w:vAlign w:val="center"/>
          </w:tcPr>
          <w:p>
            <w:pPr>
              <w:autoSpaceDE w:val="0"/>
              <w:autoSpaceDN w:val="0"/>
              <w:adjustRightInd w:val="0"/>
              <w:spacing w:line="440" w:lineRule="exact"/>
              <w:jc w:val="left"/>
              <w:rPr>
                <w:rFonts w:hint="eastAsia" w:ascii="方正仿宋_GBK" w:hAnsi="方正仿宋_GBK" w:eastAsia="方正仿宋_GBK" w:cs="方正仿宋_GBK"/>
                <w:kern w:val="0"/>
                <w:szCs w:val="21"/>
                <w:lang w:val="zh-CN"/>
              </w:rPr>
            </w:pPr>
            <w:r>
              <w:rPr>
                <w:rFonts w:hint="eastAsia" w:ascii="方正仿宋_GBK" w:hAnsi="方正仿宋_GBK" w:eastAsia="方正仿宋_GBK" w:cs="方正仿宋_GBK"/>
                <w:kern w:val="0"/>
                <w:szCs w:val="21"/>
                <w:lang w:val="zh-CN"/>
              </w:rPr>
              <w:t>重点配备专业个人防护、搜索测绘、高空绳索救援套具</w:t>
            </w:r>
          </w:p>
        </w:tc>
      </w:tr>
    </w:tbl>
    <w:p>
      <w:pPr>
        <w:autoSpaceDE w:val="0"/>
        <w:autoSpaceDN w:val="0"/>
        <w:adjustRightInd w:val="0"/>
        <w:rPr>
          <w:rFonts w:ascii="仿宋_GB2312" w:hAnsi="Calibri" w:eastAsia="仿宋_GB2312" w:cs="仿宋_GB2312"/>
          <w:kern w:val="0"/>
          <w:sz w:val="32"/>
          <w:szCs w:val="32"/>
          <w:lang w:val="zh-CN"/>
        </w:rPr>
      </w:pPr>
    </w:p>
    <w:p>
      <w:pPr>
        <w:pStyle w:val="8"/>
        <w:spacing w:line="580" w:lineRule="exact"/>
        <w:ind w:firstLine="880" w:firstLineChars="200"/>
        <w:jc w:val="left"/>
        <w:rPr>
          <w:rFonts w:ascii="仿宋_GB2312" w:hAnsi="Calibri" w:eastAsia="仿宋_GB2312" w:cs="仿宋_GB2312"/>
          <w:kern w:val="0"/>
          <w:sz w:val="44"/>
          <w:szCs w:val="44"/>
          <w:lang w:val="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E w:val="0"/>
        <w:autoSpaceDN w:val="0"/>
        <w:adjustRightInd w:val="0"/>
        <w:jc w:val="left"/>
        <w:outlineLvl w:val="1"/>
        <w:rPr>
          <w:rFonts w:hint="eastAsia" w:ascii="方正仿宋_GBK" w:hAnsi="方正仿宋_GBK" w:eastAsia="方正仿宋_GBK" w:cs="方正仿宋_GBK"/>
          <w:kern w:val="0"/>
          <w:sz w:val="32"/>
          <w:szCs w:val="32"/>
          <w:lang w:val="en-US" w:eastAsia="zh-CN"/>
        </w:rPr>
      </w:pPr>
      <w:bookmarkStart w:id="380" w:name="_Toc81918638"/>
      <w:bookmarkStart w:id="381" w:name="_Toc15631"/>
      <w:bookmarkStart w:id="382" w:name="_Toc28166"/>
      <w:bookmarkStart w:id="383" w:name="_Toc3950"/>
      <w:r>
        <w:rPr>
          <w:rFonts w:hint="eastAsia" w:ascii="方正仿宋_GBK" w:hAnsi="方正仿宋_GBK" w:eastAsia="方正仿宋_GBK" w:cs="方正仿宋_GBK"/>
          <w:kern w:val="0"/>
          <w:sz w:val="32"/>
          <w:szCs w:val="32"/>
          <w:lang w:val="zh-CN"/>
        </w:rPr>
        <w:t>附表</w:t>
      </w:r>
      <w:r>
        <w:rPr>
          <w:rFonts w:hint="eastAsia" w:ascii="方正仿宋_GBK" w:hAnsi="方正仿宋_GBK" w:eastAsia="方正仿宋_GBK" w:cs="方正仿宋_GBK"/>
          <w:kern w:val="0"/>
          <w:sz w:val="32"/>
          <w:szCs w:val="32"/>
        </w:rPr>
        <w:t>1</w:t>
      </w:r>
      <w:bookmarkEnd w:id="380"/>
      <w:bookmarkEnd w:id="381"/>
      <w:bookmarkEnd w:id="382"/>
      <w:bookmarkEnd w:id="383"/>
      <w:r>
        <w:rPr>
          <w:rFonts w:hint="eastAsia" w:ascii="方正仿宋_GBK" w:hAnsi="方正仿宋_GBK" w:eastAsia="方正仿宋_GBK" w:cs="方正仿宋_GBK"/>
          <w:kern w:val="0"/>
          <w:sz w:val="32"/>
          <w:szCs w:val="32"/>
          <w:lang w:val="en-US" w:eastAsia="zh-CN"/>
        </w:rPr>
        <w:t>3</w:t>
      </w:r>
    </w:p>
    <w:tbl>
      <w:tblPr>
        <w:tblStyle w:val="18"/>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504" w:type="dxa"/>
            <w:tcBorders>
              <w:top w:val="nil"/>
              <w:left w:val="nil"/>
              <w:bottom w:val="single" w:color="auto" w:sz="4" w:space="0"/>
              <w:right w:val="nil"/>
            </w:tcBorders>
            <w:noWrap w:val="0"/>
            <w:vAlign w:val="center"/>
          </w:tcPr>
          <w:p>
            <w:pPr>
              <w:overflowPunct w:val="0"/>
              <w:spacing w:line="440" w:lineRule="exact"/>
              <w:ind w:firstLine="560" w:firstLineChars="200"/>
              <w:jc w:val="center"/>
              <w:outlineLvl w:val="1"/>
              <w:rPr>
                <w:rFonts w:ascii="Times New Roman" w:hAnsi="Times New Roman" w:eastAsia="仿宋_GB2312"/>
                <w:kern w:val="28"/>
                <w:sz w:val="24"/>
              </w:rPr>
            </w:pPr>
            <w:bookmarkStart w:id="384" w:name="_Toc81918639"/>
            <w:r>
              <w:rPr>
                <w:rFonts w:hint="eastAsia" w:ascii="方正小标宋_GBK" w:hAnsi="方正小标宋_GBK" w:eastAsia="方正小标宋_GBK" w:cs="方正小标宋_GBK"/>
                <w:b w:val="0"/>
                <w:bCs w:val="0"/>
                <w:sz w:val="28"/>
              </w:rPr>
              <w:t>消防科普教育场所建设标准</w:t>
            </w:r>
            <w:bookmarkEnd w:id="3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4" w:type="dxa"/>
            <w:tcBorders>
              <w:top w:val="single" w:color="auto" w:sz="4" w:space="0"/>
            </w:tcBorders>
            <w:noWrap w:val="0"/>
            <w:vAlign w:val="top"/>
          </w:tcPr>
          <w:p>
            <w:pPr>
              <w:spacing w:line="440" w:lineRule="exact"/>
              <w:ind w:firstLine="420" w:firstLineChars="200"/>
              <w:rPr>
                <w:rFonts w:hint="eastAsia" w:ascii="方正仿宋_GBK" w:hAnsi="方正仿宋_GBK" w:eastAsia="方正仿宋_GBK" w:cs="方正仿宋_GBK"/>
                <w:szCs w:val="21"/>
                <w:lang w:val="zh-CN"/>
              </w:rPr>
            </w:pPr>
            <w:r>
              <w:rPr>
                <w:rFonts w:hint="eastAsia" w:ascii="方正黑体_GBK" w:hAnsi="方正黑体_GBK" w:eastAsia="方正黑体_GBK" w:cs="方正黑体_GBK"/>
                <w:b w:val="0"/>
                <w:bCs w:val="0"/>
                <w:szCs w:val="21"/>
              </w:rPr>
              <w:t>区级消防科普教育场所：</w:t>
            </w:r>
            <w:r>
              <w:rPr>
                <w:rFonts w:hint="eastAsia" w:ascii="方正仿宋_GBK" w:hAnsi="方正仿宋_GBK" w:eastAsia="方正仿宋_GBK" w:cs="方正仿宋_GBK"/>
                <w:szCs w:val="21"/>
                <w:lang w:val="zh-CN"/>
              </w:rPr>
              <w:t>场馆面积县级不小于100平方米，建设模块：影音播放系统（配备先进的影音播放系统或移动终端平台，满足群众了解、查询、点播消防安全基本常识和基本技能需求）、灭火体验设施（配备VR、AR、MR等体验系统或实物实景体验装置，满足群众实操体验模拟报警、常见火灾处置、常见灭火器材使用和复杂情况下疏散逃生体验需求，其中县级消防科普教育基地如设置VR、AR、MR等设施应分别不少于1台场景模块设置应分别不少于3种，且应包括家庭、商场市场和影剧院等公共场所；如设置实景体验设施，应不少于2处。）、火灾及其他灾害事故认知和体验设施（通过影音或实景设施介绍常见火灾和其他灾害事故成因和避险措施，其中：县级应急消防科普教育基地设置常见火灾成因及发展蔓延演示系统不少于5种，其他灾害事故成因及演变演示系统分别不少于2种）；消防设施运行原理展示设施（通过实物或微缩模型对各类消防设施联动运行原理进行展示）选择装备电子地图、参观流量记录、考核考试、设备使用频次后台记录系统。设兼职讲解员不少于2人。</w:t>
            </w:r>
          </w:p>
          <w:p>
            <w:pPr>
              <w:spacing w:line="440" w:lineRule="exact"/>
              <w:ind w:firstLine="420" w:firstLineChars="200"/>
              <w:rPr>
                <w:rFonts w:hint="eastAsia" w:ascii="方正仿宋_GBK" w:hAnsi="方正仿宋_GBK" w:eastAsia="方正仿宋_GBK" w:cs="方正仿宋_GBK"/>
                <w:szCs w:val="21"/>
                <w:lang w:val="zh-CN"/>
              </w:rPr>
            </w:pPr>
            <w:r>
              <w:rPr>
                <w:rFonts w:hint="eastAsia" w:ascii="方正黑体_GBK" w:hAnsi="方正黑体_GBK" w:eastAsia="方正黑体_GBK" w:cs="方正黑体_GBK"/>
                <w:b w:val="0"/>
                <w:bCs w:val="0"/>
                <w:szCs w:val="21"/>
              </w:rPr>
              <w:t>消防救援体验站：</w:t>
            </w:r>
            <w:r>
              <w:rPr>
                <w:rFonts w:hint="eastAsia" w:ascii="方正仿宋_GBK" w:hAnsi="方正仿宋_GBK" w:eastAsia="方正仿宋_GBK" w:cs="方正仿宋_GBK"/>
                <w:szCs w:val="21"/>
                <w:lang w:val="zh-CN"/>
              </w:rPr>
              <w:t>依托开放消防站建设县级以上应急消防科普教育基地的，面积可按相应等级标准减少20%；人员配备、建设模块参考县（区）级消防科普教育场所。设专兼职安全员不少于2名。</w:t>
            </w:r>
          </w:p>
          <w:p>
            <w:pPr>
              <w:spacing w:line="440" w:lineRule="exact"/>
              <w:ind w:firstLine="420" w:firstLineChars="200"/>
              <w:rPr>
                <w:rFonts w:ascii="Times New Roman" w:hAnsi="Times New Roman" w:eastAsia="仿宋_GB2312"/>
                <w:kern w:val="28"/>
                <w:sz w:val="24"/>
              </w:rPr>
            </w:pPr>
            <w:r>
              <w:rPr>
                <w:rFonts w:hint="eastAsia" w:ascii="方正仿宋_GBK" w:hAnsi="方正仿宋_GBK" w:eastAsia="方正仿宋_GBK" w:cs="方正仿宋_GBK"/>
                <w:szCs w:val="21"/>
                <w:lang w:val="zh-CN"/>
              </w:rPr>
              <w:t>注：应急消防科普教育基地与本地综合性场馆共享场地的，面积可按上述标准减少20%。</w:t>
            </w:r>
          </w:p>
        </w:tc>
      </w:tr>
      <w:bookmarkEnd w:id="25"/>
    </w:tbl>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仿宋" w:hAnsi="仿宋" w:eastAsia="仿宋" w:cs="仿宋"/>
          <w:sz w:val="32"/>
          <w:szCs w:val="32"/>
        </w:rPr>
      </w:pPr>
    </w:p>
    <w:sectPr>
      <w:headerReference r:id="rId5" w:type="default"/>
      <w:footerReference r:id="rId6" w:type="default"/>
      <w:footerReference r:id="rId7" w:type="even"/>
      <w:pgSz w:w="11906" w:h="16838"/>
      <w:pgMar w:top="2098" w:right="1474" w:bottom="1985"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30DC49-3893-44A5-ADBD-DBFE045C6F8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B9952E6-58CC-4566-B4B2-849F277FEB95}"/>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embedRegular r:id="rId3" w:fontKey="{ED27DA1D-4FDD-452A-89D6-994484894539}"/>
  </w:font>
  <w:font w:name="仿宋_GB2312">
    <w:panose1 w:val="02010609030101010101"/>
    <w:charset w:val="86"/>
    <w:family w:val="modern"/>
    <w:pitch w:val="default"/>
    <w:sig w:usb0="00000001" w:usb1="080E0000" w:usb2="00000000" w:usb3="00000000" w:csb0="00040000" w:csb1="00000000"/>
    <w:embedRegular r:id="rId4" w:fontKey="{DA4D456C-D224-4AF0-8224-8B59E3DEBC1B}"/>
  </w:font>
  <w:font w:name="方正公文小标宋">
    <w:altName w:val="宋体"/>
    <w:panose1 w:val="02000000000000000000"/>
    <w:charset w:val="86"/>
    <w:family w:val="auto"/>
    <w:pitch w:val="default"/>
    <w:sig w:usb0="00000000" w:usb1="00000000" w:usb2="00000000" w:usb3="00000000" w:csb0="00040000" w:csb1="00000000"/>
    <w:embedRegular r:id="rId5" w:fontKey="{762BE8DD-5FF3-4EB0-874E-3ABD2EC9662C}"/>
  </w:font>
  <w:font w:name="方正小标宋_GBK">
    <w:panose1 w:val="03000509000000000000"/>
    <w:charset w:val="86"/>
    <w:family w:val="auto"/>
    <w:pitch w:val="default"/>
    <w:sig w:usb0="00000001" w:usb1="080E0000" w:usb2="00000000" w:usb3="00000000" w:csb0="00040000" w:csb1="00000000"/>
    <w:embedRegular r:id="rId6" w:fontKey="{A969CD77-FAAC-4903-B3CA-5969099A2F82}"/>
  </w:font>
  <w:font w:name="方正仿宋_GBK">
    <w:panose1 w:val="03000509000000000000"/>
    <w:charset w:val="86"/>
    <w:family w:val="auto"/>
    <w:pitch w:val="default"/>
    <w:sig w:usb0="00000001" w:usb1="080E0000" w:usb2="00000000" w:usb3="00000000" w:csb0="00040000" w:csb1="00000000"/>
    <w:embedRegular r:id="rId7" w:fontKey="{1682BDD3-9010-46E6-8B7A-9B84374C575E}"/>
  </w:font>
  <w:font w:name="方正黑体_GBK">
    <w:panose1 w:val="03000509000000000000"/>
    <w:charset w:val="86"/>
    <w:family w:val="auto"/>
    <w:pitch w:val="default"/>
    <w:sig w:usb0="00000001" w:usb1="080E0000" w:usb2="00000000" w:usb3="00000000" w:csb0="00040000" w:csb1="00000000"/>
    <w:embedRegular r:id="rId8" w:fontKey="{F260936F-0F11-47EA-97FB-2A3DC764FE33}"/>
  </w:font>
  <w:font w:name="方正楷体_GBK">
    <w:panose1 w:val="03000509000000000000"/>
    <w:charset w:val="86"/>
    <w:family w:val="auto"/>
    <w:pitch w:val="default"/>
    <w:sig w:usb0="00000001" w:usb1="080E0000" w:usb2="00000000" w:usb3="00000000" w:csb0="00040000" w:csb1="00000000"/>
    <w:embedRegular r:id="rId9" w:fontKey="{A3C04A65-B565-4D53-947D-9F99A788176B}"/>
  </w:font>
  <w:font w:name="方正楷体_GB2312">
    <w:panose1 w:val="02000000000000000000"/>
    <w:charset w:val="86"/>
    <w:family w:val="auto"/>
    <w:pitch w:val="default"/>
    <w:sig w:usb0="A00002BF" w:usb1="184F6CFA" w:usb2="00000012" w:usb3="00000000" w:csb0="00040001" w:csb1="00000000"/>
    <w:embedRegular r:id="rId10" w:fontKey="{B3DBAAFF-AAA0-430F-AFCD-ECCFD820F2BC}"/>
  </w:font>
  <w:font w:name="楷体">
    <w:panose1 w:val="02010609060101010101"/>
    <w:charset w:val="86"/>
    <w:family w:val="modern"/>
    <w:pitch w:val="default"/>
    <w:sig w:usb0="800002BF" w:usb1="38CF7CFA" w:usb2="00000016" w:usb3="00000000" w:csb0="00040001" w:csb1="00000000"/>
    <w:embedRegular r:id="rId11" w:fontKey="{F7479A49-348D-4A45-9A99-0260B7D31155}"/>
  </w:font>
  <w:font w:name="华文中宋">
    <w:panose1 w:val="02010600040101010101"/>
    <w:charset w:val="86"/>
    <w:family w:val="auto"/>
    <w:pitch w:val="default"/>
    <w:sig w:usb0="00000287" w:usb1="080F0000" w:usb2="00000000" w:usb3="00000000" w:csb0="0004009F" w:csb1="DFD70000"/>
    <w:embedRegular r:id="rId12" w:fontKey="{EBA302A9-B839-4EC8-A565-70817942BDC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p>
    <w:pPr>
      <w:pStyle w:val="12"/>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51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QSiza3gEAAL4DAAAOAAAAAAAA&#10;AAEAIAAAAB4BAABkcnMvZTJvRG9jLnhtbFBLBQYAAAAABgAGAFkBAABu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51</w:t>
                    </w:r>
                    <w: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zMmJmMmYwZDUxMTVkMjhjYmIyMWY5NzA0YWQxYWQifQ=="/>
  </w:docVars>
  <w:rsids>
    <w:rsidRoot w:val="009B358A"/>
    <w:rsid w:val="0000038B"/>
    <w:rsid w:val="0000195B"/>
    <w:rsid w:val="00002369"/>
    <w:rsid w:val="00004243"/>
    <w:rsid w:val="000048ED"/>
    <w:rsid w:val="00004E88"/>
    <w:rsid w:val="00005DF9"/>
    <w:rsid w:val="000067E9"/>
    <w:rsid w:val="00007CD6"/>
    <w:rsid w:val="00011530"/>
    <w:rsid w:val="00012833"/>
    <w:rsid w:val="00012BBD"/>
    <w:rsid w:val="00014452"/>
    <w:rsid w:val="0001512D"/>
    <w:rsid w:val="0001689E"/>
    <w:rsid w:val="00016A2A"/>
    <w:rsid w:val="00021F59"/>
    <w:rsid w:val="00022A30"/>
    <w:rsid w:val="00030AD1"/>
    <w:rsid w:val="00032BD7"/>
    <w:rsid w:val="00033294"/>
    <w:rsid w:val="00033DD6"/>
    <w:rsid w:val="000360D9"/>
    <w:rsid w:val="00036372"/>
    <w:rsid w:val="00036C87"/>
    <w:rsid w:val="00037B4D"/>
    <w:rsid w:val="000438F3"/>
    <w:rsid w:val="000440B9"/>
    <w:rsid w:val="000450D2"/>
    <w:rsid w:val="000463BA"/>
    <w:rsid w:val="00047142"/>
    <w:rsid w:val="00051824"/>
    <w:rsid w:val="0005302D"/>
    <w:rsid w:val="00053C56"/>
    <w:rsid w:val="00053EFA"/>
    <w:rsid w:val="000550C3"/>
    <w:rsid w:val="00055C60"/>
    <w:rsid w:val="00060DF5"/>
    <w:rsid w:val="000622C0"/>
    <w:rsid w:val="000624FA"/>
    <w:rsid w:val="00065599"/>
    <w:rsid w:val="00067F5A"/>
    <w:rsid w:val="00071A1E"/>
    <w:rsid w:val="00076719"/>
    <w:rsid w:val="00076D2F"/>
    <w:rsid w:val="00077A2C"/>
    <w:rsid w:val="00080F84"/>
    <w:rsid w:val="00081D1D"/>
    <w:rsid w:val="000823DD"/>
    <w:rsid w:val="0008361B"/>
    <w:rsid w:val="000862C5"/>
    <w:rsid w:val="00092B14"/>
    <w:rsid w:val="0009409B"/>
    <w:rsid w:val="00094844"/>
    <w:rsid w:val="00096898"/>
    <w:rsid w:val="000973DA"/>
    <w:rsid w:val="000A0D8B"/>
    <w:rsid w:val="000A0D9F"/>
    <w:rsid w:val="000A421A"/>
    <w:rsid w:val="000A544A"/>
    <w:rsid w:val="000B0767"/>
    <w:rsid w:val="000B1191"/>
    <w:rsid w:val="000B3F2C"/>
    <w:rsid w:val="000B4414"/>
    <w:rsid w:val="000B6254"/>
    <w:rsid w:val="000B67D2"/>
    <w:rsid w:val="000B6E96"/>
    <w:rsid w:val="000B79BF"/>
    <w:rsid w:val="000C04A6"/>
    <w:rsid w:val="000C1C94"/>
    <w:rsid w:val="000C282F"/>
    <w:rsid w:val="000C61BE"/>
    <w:rsid w:val="000C6499"/>
    <w:rsid w:val="000C657C"/>
    <w:rsid w:val="000C793E"/>
    <w:rsid w:val="000C7E59"/>
    <w:rsid w:val="000D00AD"/>
    <w:rsid w:val="000D6941"/>
    <w:rsid w:val="000D6F32"/>
    <w:rsid w:val="000D7D19"/>
    <w:rsid w:val="000E0E6A"/>
    <w:rsid w:val="000E2211"/>
    <w:rsid w:val="000E4E62"/>
    <w:rsid w:val="000E6020"/>
    <w:rsid w:val="000E7A53"/>
    <w:rsid w:val="000E7AE1"/>
    <w:rsid w:val="000E7B75"/>
    <w:rsid w:val="000F01F1"/>
    <w:rsid w:val="0010072D"/>
    <w:rsid w:val="00100904"/>
    <w:rsid w:val="00105DF6"/>
    <w:rsid w:val="001071BD"/>
    <w:rsid w:val="00112AE5"/>
    <w:rsid w:val="00117A0D"/>
    <w:rsid w:val="00117B6C"/>
    <w:rsid w:val="0012139E"/>
    <w:rsid w:val="00133A6C"/>
    <w:rsid w:val="00133B85"/>
    <w:rsid w:val="00133CF1"/>
    <w:rsid w:val="001356DE"/>
    <w:rsid w:val="00137666"/>
    <w:rsid w:val="00137770"/>
    <w:rsid w:val="001403E0"/>
    <w:rsid w:val="00143FF6"/>
    <w:rsid w:val="00150975"/>
    <w:rsid w:val="001516EA"/>
    <w:rsid w:val="0015173C"/>
    <w:rsid w:val="00155A0A"/>
    <w:rsid w:val="00156EF3"/>
    <w:rsid w:val="00157F07"/>
    <w:rsid w:val="001612C4"/>
    <w:rsid w:val="00162248"/>
    <w:rsid w:val="00163840"/>
    <w:rsid w:val="0016670F"/>
    <w:rsid w:val="00166798"/>
    <w:rsid w:val="00170662"/>
    <w:rsid w:val="001707CD"/>
    <w:rsid w:val="0017314A"/>
    <w:rsid w:val="00173A29"/>
    <w:rsid w:val="0018168E"/>
    <w:rsid w:val="00183FC0"/>
    <w:rsid w:val="00185339"/>
    <w:rsid w:val="001900B0"/>
    <w:rsid w:val="0019074B"/>
    <w:rsid w:val="001A16CD"/>
    <w:rsid w:val="001A4B62"/>
    <w:rsid w:val="001A7689"/>
    <w:rsid w:val="001B4434"/>
    <w:rsid w:val="001B62D3"/>
    <w:rsid w:val="001B651C"/>
    <w:rsid w:val="001C1175"/>
    <w:rsid w:val="001C2443"/>
    <w:rsid w:val="001C44DB"/>
    <w:rsid w:val="001C7541"/>
    <w:rsid w:val="001D05CC"/>
    <w:rsid w:val="001D145C"/>
    <w:rsid w:val="001D59D0"/>
    <w:rsid w:val="001D7CCA"/>
    <w:rsid w:val="001E1CCA"/>
    <w:rsid w:val="001E237A"/>
    <w:rsid w:val="001E3B62"/>
    <w:rsid w:val="001E4809"/>
    <w:rsid w:val="001E5658"/>
    <w:rsid w:val="001E6FF7"/>
    <w:rsid w:val="001E7D01"/>
    <w:rsid w:val="001F5707"/>
    <w:rsid w:val="001F7D3C"/>
    <w:rsid w:val="001F7E46"/>
    <w:rsid w:val="0020065A"/>
    <w:rsid w:val="00200EB1"/>
    <w:rsid w:val="00201E82"/>
    <w:rsid w:val="002029B4"/>
    <w:rsid w:val="0020385D"/>
    <w:rsid w:val="00206E56"/>
    <w:rsid w:val="00211D48"/>
    <w:rsid w:val="00212C0A"/>
    <w:rsid w:val="00213FEE"/>
    <w:rsid w:val="0021609E"/>
    <w:rsid w:val="0022048E"/>
    <w:rsid w:val="00220DB1"/>
    <w:rsid w:val="00230A2F"/>
    <w:rsid w:val="00231D03"/>
    <w:rsid w:val="0023206C"/>
    <w:rsid w:val="0023481B"/>
    <w:rsid w:val="002364D2"/>
    <w:rsid w:val="00237EF7"/>
    <w:rsid w:val="0024015C"/>
    <w:rsid w:val="002469C6"/>
    <w:rsid w:val="0025197E"/>
    <w:rsid w:val="00255170"/>
    <w:rsid w:val="0026369D"/>
    <w:rsid w:val="002647C1"/>
    <w:rsid w:val="00266790"/>
    <w:rsid w:val="002679D4"/>
    <w:rsid w:val="00270A11"/>
    <w:rsid w:val="00272609"/>
    <w:rsid w:val="00273B9D"/>
    <w:rsid w:val="002759C9"/>
    <w:rsid w:val="00277C36"/>
    <w:rsid w:val="00281512"/>
    <w:rsid w:val="0028478B"/>
    <w:rsid w:val="00286652"/>
    <w:rsid w:val="002875AE"/>
    <w:rsid w:val="0029017B"/>
    <w:rsid w:val="00297602"/>
    <w:rsid w:val="00297AE3"/>
    <w:rsid w:val="002A0287"/>
    <w:rsid w:val="002A0E34"/>
    <w:rsid w:val="002A300F"/>
    <w:rsid w:val="002B2E74"/>
    <w:rsid w:val="002C1331"/>
    <w:rsid w:val="002C28EB"/>
    <w:rsid w:val="002C42B4"/>
    <w:rsid w:val="002C4DB9"/>
    <w:rsid w:val="002C7C49"/>
    <w:rsid w:val="002D2B7E"/>
    <w:rsid w:val="002D5D86"/>
    <w:rsid w:val="002D7D70"/>
    <w:rsid w:val="002E2DBE"/>
    <w:rsid w:val="002E32E6"/>
    <w:rsid w:val="002E6F4D"/>
    <w:rsid w:val="002E7B54"/>
    <w:rsid w:val="002F0F6F"/>
    <w:rsid w:val="002F7DB0"/>
    <w:rsid w:val="00304929"/>
    <w:rsid w:val="00304AFB"/>
    <w:rsid w:val="00305692"/>
    <w:rsid w:val="003068A5"/>
    <w:rsid w:val="00313AFA"/>
    <w:rsid w:val="00314A30"/>
    <w:rsid w:val="00321414"/>
    <w:rsid w:val="00323438"/>
    <w:rsid w:val="00324275"/>
    <w:rsid w:val="0032570A"/>
    <w:rsid w:val="00325F49"/>
    <w:rsid w:val="003327A1"/>
    <w:rsid w:val="00336686"/>
    <w:rsid w:val="00337919"/>
    <w:rsid w:val="00340949"/>
    <w:rsid w:val="00340F40"/>
    <w:rsid w:val="0034152A"/>
    <w:rsid w:val="00342A38"/>
    <w:rsid w:val="00344562"/>
    <w:rsid w:val="0034630E"/>
    <w:rsid w:val="00350D9A"/>
    <w:rsid w:val="00352B8E"/>
    <w:rsid w:val="00353F07"/>
    <w:rsid w:val="0035434F"/>
    <w:rsid w:val="003575A3"/>
    <w:rsid w:val="003642AC"/>
    <w:rsid w:val="003700D2"/>
    <w:rsid w:val="00371349"/>
    <w:rsid w:val="0037194F"/>
    <w:rsid w:val="00371A92"/>
    <w:rsid w:val="00372157"/>
    <w:rsid w:val="00373646"/>
    <w:rsid w:val="0037585D"/>
    <w:rsid w:val="00375E70"/>
    <w:rsid w:val="00375F58"/>
    <w:rsid w:val="00377ADD"/>
    <w:rsid w:val="00377BE9"/>
    <w:rsid w:val="003805A3"/>
    <w:rsid w:val="0038272F"/>
    <w:rsid w:val="00382B54"/>
    <w:rsid w:val="0039612F"/>
    <w:rsid w:val="003A250B"/>
    <w:rsid w:val="003A3709"/>
    <w:rsid w:val="003A445A"/>
    <w:rsid w:val="003A46D2"/>
    <w:rsid w:val="003A4A03"/>
    <w:rsid w:val="003A54B8"/>
    <w:rsid w:val="003A7FA9"/>
    <w:rsid w:val="003B0A11"/>
    <w:rsid w:val="003B0E21"/>
    <w:rsid w:val="003B2F16"/>
    <w:rsid w:val="003B4190"/>
    <w:rsid w:val="003B593C"/>
    <w:rsid w:val="003B668B"/>
    <w:rsid w:val="003C1598"/>
    <w:rsid w:val="003C23BD"/>
    <w:rsid w:val="003C4505"/>
    <w:rsid w:val="003C6D7A"/>
    <w:rsid w:val="003C71FE"/>
    <w:rsid w:val="003D46BF"/>
    <w:rsid w:val="003D4D25"/>
    <w:rsid w:val="003D707F"/>
    <w:rsid w:val="003E170C"/>
    <w:rsid w:val="003E4144"/>
    <w:rsid w:val="003E48EC"/>
    <w:rsid w:val="003E5902"/>
    <w:rsid w:val="003F15F1"/>
    <w:rsid w:val="003F2DA2"/>
    <w:rsid w:val="003F4641"/>
    <w:rsid w:val="003F49A8"/>
    <w:rsid w:val="003F7494"/>
    <w:rsid w:val="00400FE9"/>
    <w:rsid w:val="00403067"/>
    <w:rsid w:val="004045D0"/>
    <w:rsid w:val="004061B0"/>
    <w:rsid w:val="004079FA"/>
    <w:rsid w:val="00413BD7"/>
    <w:rsid w:val="00413EBC"/>
    <w:rsid w:val="004148F7"/>
    <w:rsid w:val="00415FB6"/>
    <w:rsid w:val="004204D7"/>
    <w:rsid w:val="00421041"/>
    <w:rsid w:val="00424320"/>
    <w:rsid w:val="00425963"/>
    <w:rsid w:val="00426D97"/>
    <w:rsid w:val="00427C97"/>
    <w:rsid w:val="00431872"/>
    <w:rsid w:val="00431BA0"/>
    <w:rsid w:val="00432809"/>
    <w:rsid w:val="004365D7"/>
    <w:rsid w:val="00440777"/>
    <w:rsid w:val="0044078D"/>
    <w:rsid w:val="00443AEF"/>
    <w:rsid w:val="00444764"/>
    <w:rsid w:val="00444B63"/>
    <w:rsid w:val="00444CDC"/>
    <w:rsid w:val="00445412"/>
    <w:rsid w:val="00445E42"/>
    <w:rsid w:val="00446C57"/>
    <w:rsid w:val="00447472"/>
    <w:rsid w:val="004512EB"/>
    <w:rsid w:val="00456F95"/>
    <w:rsid w:val="00464DC1"/>
    <w:rsid w:val="00473BD4"/>
    <w:rsid w:val="00477E6C"/>
    <w:rsid w:val="00480551"/>
    <w:rsid w:val="00482341"/>
    <w:rsid w:val="00483D80"/>
    <w:rsid w:val="00484682"/>
    <w:rsid w:val="00487635"/>
    <w:rsid w:val="00487C34"/>
    <w:rsid w:val="00494C28"/>
    <w:rsid w:val="004963CD"/>
    <w:rsid w:val="0049726B"/>
    <w:rsid w:val="00497B74"/>
    <w:rsid w:val="004A09B8"/>
    <w:rsid w:val="004A30D6"/>
    <w:rsid w:val="004A470D"/>
    <w:rsid w:val="004A67A8"/>
    <w:rsid w:val="004B1735"/>
    <w:rsid w:val="004B1851"/>
    <w:rsid w:val="004B33C5"/>
    <w:rsid w:val="004B3D74"/>
    <w:rsid w:val="004B6E7D"/>
    <w:rsid w:val="004C0142"/>
    <w:rsid w:val="004C0924"/>
    <w:rsid w:val="004C1565"/>
    <w:rsid w:val="004C383F"/>
    <w:rsid w:val="004C4098"/>
    <w:rsid w:val="004C532D"/>
    <w:rsid w:val="004C5AE2"/>
    <w:rsid w:val="004D12DD"/>
    <w:rsid w:val="004D1B3C"/>
    <w:rsid w:val="004D28CB"/>
    <w:rsid w:val="004D295D"/>
    <w:rsid w:val="004E4763"/>
    <w:rsid w:val="004E4E8B"/>
    <w:rsid w:val="005018BB"/>
    <w:rsid w:val="00501EEF"/>
    <w:rsid w:val="005056C8"/>
    <w:rsid w:val="0050623B"/>
    <w:rsid w:val="00513F5C"/>
    <w:rsid w:val="005163F3"/>
    <w:rsid w:val="00516A9B"/>
    <w:rsid w:val="0052327D"/>
    <w:rsid w:val="00524B57"/>
    <w:rsid w:val="00525944"/>
    <w:rsid w:val="00525BEB"/>
    <w:rsid w:val="00526572"/>
    <w:rsid w:val="00531F2C"/>
    <w:rsid w:val="00532A35"/>
    <w:rsid w:val="00536A21"/>
    <w:rsid w:val="005378DF"/>
    <w:rsid w:val="00541DFE"/>
    <w:rsid w:val="005431FE"/>
    <w:rsid w:val="00543374"/>
    <w:rsid w:val="00544135"/>
    <w:rsid w:val="0054580B"/>
    <w:rsid w:val="00550398"/>
    <w:rsid w:val="005537C2"/>
    <w:rsid w:val="005548E3"/>
    <w:rsid w:val="005553D9"/>
    <w:rsid w:val="00555B86"/>
    <w:rsid w:val="005648B8"/>
    <w:rsid w:val="0057116B"/>
    <w:rsid w:val="00571BCF"/>
    <w:rsid w:val="005731BF"/>
    <w:rsid w:val="00575A16"/>
    <w:rsid w:val="00580407"/>
    <w:rsid w:val="00585066"/>
    <w:rsid w:val="005863DF"/>
    <w:rsid w:val="005A0579"/>
    <w:rsid w:val="005A1A1D"/>
    <w:rsid w:val="005A2776"/>
    <w:rsid w:val="005A5206"/>
    <w:rsid w:val="005A76C5"/>
    <w:rsid w:val="005B0D5A"/>
    <w:rsid w:val="005B2460"/>
    <w:rsid w:val="005B48E6"/>
    <w:rsid w:val="005B4B6E"/>
    <w:rsid w:val="005B619F"/>
    <w:rsid w:val="005B75A1"/>
    <w:rsid w:val="005B7F1A"/>
    <w:rsid w:val="005B7F96"/>
    <w:rsid w:val="005C024C"/>
    <w:rsid w:val="005D0648"/>
    <w:rsid w:val="005D3090"/>
    <w:rsid w:val="005D3CAE"/>
    <w:rsid w:val="005D69DF"/>
    <w:rsid w:val="005D6E2D"/>
    <w:rsid w:val="005E0A29"/>
    <w:rsid w:val="005E1BA6"/>
    <w:rsid w:val="005E266E"/>
    <w:rsid w:val="005E514C"/>
    <w:rsid w:val="005E5745"/>
    <w:rsid w:val="005E72EB"/>
    <w:rsid w:val="005E799E"/>
    <w:rsid w:val="005E7B59"/>
    <w:rsid w:val="005F36A3"/>
    <w:rsid w:val="005F4A0D"/>
    <w:rsid w:val="005F526B"/>
    <w:rsid w:val="005F550C"/>
    <w:rsid w:val="005F592B"/>
    <w:rsid w:val="005F5FF2"/>
    <w:rsid w:val="005F74DD"/>
    <w:rsid w:val="006000FF"/>
    <w:rsid w:val="00600867"/>
    <w:rsid w:val="006016F3"/>
    <w:rsid w:val="006033DE"/>
    <w:rsid w:val="00604FA3"/>
    <w:rsid w:val="0060611B"/>
    <w:rsid w:val="006066AE"/>
    <w:rsid w:val="00606DC3"/>
    <w:rsid w:val="00610108"/>
    <w:rsid w:val="00610640"/>
    <w:rsid w:val="00612238"/>
    <w:rsid w:val="0061336F"/>
    <w:rsid w:val="006144F7"/>
    <w:rsid w:val="00620364"/>
    <w:rsid w:val="00622789"/>
    <w:rsid w:val="006235C6"/>
    <w:rsid w:val="006242F6"/>
    <w:rsid w:val="00624F78"/>
    <w:rsid w:val="00630402"/>
    <w:rsid w:val="00630A75"/>
    <w:rsid w:val="00631784"/>
    <w:rsid w:val="00633572"/>
    <w:rsid w:val="006353F6"/>
    <w:rsid w:val="006377DE"/>
    <w:rsid w:val="00637AFE"/>
    <w:rsid w:val="00641F68"/>
    <w:rsid w:val="006422FD"/>
    <w:rsid w:val="00644772"/>
    <w:rsid w:val="006455DB"/>
    <w:rsid w:val="0065582D"/>
    <w:rsid w:val="0065667D"/>
    <w:rsid w:val="00660EF7"/>
    <w:rsid w:val="0066379B"/>
    <w:rsid w:val="006656B1"/>
    <w:rsid w:val="00667B7D"/>
    <w:rsid w:val="00670B4C"/>
    <w:rsid w:val="006739E2"/>
    <w:rsid w:val="00674232"/>
    <w:rsid w:val="00674A32"/>
    <w:rsid w:val="0067512F"/>
    <w:rsid w:val="00681972"/>
    <w:rsid w:val="006842FF"/>
    <w:rsid w:val="006857F9"/>
    <w:rsid w:val="006860A6"/>
    <w:rsid w:val="00690CBE"/>
    <w:rsid w:val="006929ED"/>
    <w:rsid w:val="00692FE2"/>
    <w:rsid w:val="00694582"/>
    <w:rsid w:val="006965EB"/>
    <w:rsid w:val="00697FF5"/>
    <w:rsid w:val="006A0512"/>
    <w:rsid w:val="006A0AD1"/>
    <w:rsid w:val="006A0E16"/>
    <w:rsid w:val="006A3B85"/>
    <w:rsid w:val="006B01EF"/>
    <w:rsid w:val="006B0878"/>
    <w:rsid w:val="006B0A27"/>
    <w:rsid w:val="006B1F75"/>
    <w:rsid w:val="006B2E29"/>
    <w:rsid w:val="006B3DA5"/>
    <w:rsid w:val="006B43E1"/>
    <w:rsid w:val="006B5431"/>
    <w:rsid w:val="006B7B80"/>
    <w:rsid w:val="006C06DE"/>
    <w:rsid w:val="006C254C"/>
    <w:rsid w:val="006C2D72"/>
    <w:rsid w:val="006C50CD"/>
    <w:rsid w:val="006C7832"/>
    <w:rsid w:val="006D1D6A"/>
    <w:rsid w:val="006D3710"/>
    <w:rsid w:val="006D41B3"/>
    <w:rsid w:val="006D4332"/>
    <w:rsid w:val="006D52F8"/>
    <w:rsid w:val="006D59A7"/>
    <w:rsid w:val="006D7E02"/>
    <w:rsid w:val="006E2890"/>
    <w:rsid w:val="006E296A"/>
    <w:rsid w:val="006E45BA"/>
    <w:rsid w:val="006E55AC"/>
    <w:rsid w:val="006E5B3D"/>
    <w:rsid w:val="006E6339"/>
    <w:rsid w:val="006E7B6D"/>
    <w:rsid w:val="006E7CB3"/>
    <w:rsid w:val="006F08FD"/>
    <w:rsid w:val="006F5620"/>
    <w:rsid w:val="006F6BA4"/>
    <w:rsid w:val="007103DF"/>
    <w:rsid w:val="007119BA"/>
    <w:rsid w:val="0071393C"/>
    <w:rsid w:val="00713B9B"/>
    <w:rsid w:val="007161F9"/>
    <w:rsid w:val="00717524"/>
    <w:rsid w:val="00717B42"/>
    <w:rsid w:val="00717D1C"/>
    <w:rsid w:val="00723A6C"/>
    <w:rsid w:val="00723E97"/>
    <w:rsid w:val="00724E42"/>
    <w:rsid w:val="007251F5"/>
    <w:rsid w:val="00730CEA"/>
    <w:rsid w:val="007412A1"/>
    <w:rsid w:val="007415DD"/>
    <w:rsid w:val="0074256D"/>
    <w:rsid w:val="0074273C"/>
    <w:rsid w:val="007504CE"/>
    <w:rsid w:val="00752086"/>
    <w:rsid w:val="0075658E"/>
    <w:rsid w:val="007568BF"/>
    <w:rsid w:val="00760F4F"/>
    <w:rsid w:val="007626F4"/>
    <w:rsid w:val="00764CA0"/>
    <w:rsid w:val="00770248"/>
    <w:rsid w:val="0077119F"/>
    <w:rsid w:val="00772129"/>
    <w:rsid w:val="0077535A"/>
    <w:rsid w:val="0077594F"/>
    <w:rsid w:val="00775B3E"/>
    <w:rsid w:val="0078214A"/>
    <w:rsid w:val="00790391"/>
    <w:rsid w:val="0079130A"/>
    <w:rsid w:val="00792E35"/>
    <w:rsid w:val="0079384F"/>
    <w:rsid w:val="007942D2"/>
    <w:rsid w:val="0079452F"/>
    <w:rsid w:val="00795C5E"/>
    <w:rsid w:val="0079622C"/>
    <w:rsid w:val="007970D2"/>
    <w:rsid w:val="007A0A7C"/>
    <w:rsid w:val="007A33D0"/>
    <w:rsid w:val="007A346D"/>
    <w:rsid w:val="007A36B8"/>
    <w:rsid w:val="007A6EBB"/>
    <w:rsid w:val="007B015A"/>
    <w:rsid w:val="007B4B6E"/>
    <w:rsid w:val="007C3A2E"/>
    <w:rsid w:val="007C7379"/>
    <w:rsid w:val="007D123A"/>
    <w:rsid w:val="007D12E8"/>
    <w:rsid w:val="007D41D7"/>
    <w:rsid w:val="007D55F6"/>
    <w:rsid w:val="007D5D49"/>
    <w:rsid w:val="007D6638"/>
    <w:rsid w:val="007D6739"/>
    <w:rsid w:val="007E0C0E"/>
    <w:rsid w:val="007E0DDD"/>
    <w:rsid w:val="007E2B3D"/>
    <w:rsid w:val="007E51C2"/>
    <w:rsid w:val="007E631C"/>
    <w:rsid w:val="007E685D"/>
    <w:rsid w:val="007E760A"/>
    <w:rsid w:val="007E7DA7"/>
    <w:rsid w:val="007F3336"/>
    <w:rsid w:val="007F345A"/>
    <w:rsid w:val="007F5873"/>
    <w:rsid w:val="007F60BB"/>
    <w:rsid w:val="007F797F"/>
    <w:rsid w:val="00810C5D"/>
    <w:rsid w:val="0081255C"/>
    <w:rsid w:val="00812A5E"/>
    <w:rsid w:val="008147C1"/>
    <w:rsid w:val="00814CA4"/>
    <w:rsid w:val="00816D5F"/>
    <w:rsid w:val="00823ADF"/>
    <w:rsid w:val="00823BAD"/>
    <w:rsid w:val="00823E27"/>
    <w:rsid w:val="00824F90"/>
    <w:rsid w:val="00825317"/>
    <w:rsid w:val="008302BB"/>
    <w:rsid w:val="008309AC"/>
    <w:rsid w:val="00830C00"/>
    <w:rsid w:val="00831358"/>
    <w:rsid w:val="008328DC"/>
    <w:rsid w:val="00835818"/>
    <w:rsid w:val="008370B3"/>
    <w:rsid w:val="00840D36"/>
    <w:rsid w:val="00847370"/>
    <w:rsid w:val="008525AB"/>
    <w:rsid w:val="00852A51"/>
    <w:rsid w:val="008536CB"/>
    <w:rsid w:val="0085684C"/>
    <w:rsid w:val="00856F37"/>
    <w:rsid w:val="00860BD6"/>
    <w:rsid w:val="00860D10"/>
    <w:rsid w:val="00862CB7"/>
    <w:rsid w:val="00867B13"/>
    <w:rsid w:val="00880208"/>
    <w:rsid w:val="00881042"/>
    <w:rsid w:val="00882397"/>
    <w:rsid w:val="00882CC5"/>
    <w:rsid w:val="00893649"/>
    <w:rsid w:val="008A1D1D"/>
    <w:rsid w:val="008A4BFB"/>
    <w:rsid w:val="008A705C"/>
    <w:rsid w:val="008A77DD"/>
    <w:rsid w:val="008A78BE"/>
    <w:rsid w:val="008B42E7"/>
    <w:rsid w:val="008B77B1"/>
    <w:rsid w:val="008C42B4"/>
    <w:rsid w:val="008C50FA"/>
    <w:rsid w:val="008C6895"/>
    <w:rsid w:val="008C7363"/>
    <w:rsid w:val="008C74E1"/>
    <w:rsid w:val="008C7DEF"/>
    <w:rsid w:val="008D1619"/>
    <w:rsid w:val="008D1B14"/>
    <w:rsid w:val="008D217F"/>
    <w:rsid w:val="008D3159"/>
    <w:rsid w:val="008D3580"/>
    <w:rsid w:val="008D4D33"/>
    <w:rsid w:val="008D5889"/>
    <w:rsid w:val="008D65FB"/>
    <w:rsid w:val="008D6E1E"/>
    <w:rsid w:val="008E001E"/>
    <w:rsid w:val="008E0EAB"/>
    <w:rsid w:val="008E12F2"/>
    <w:rsid w:val="008E1D99"/>
    <w:rsid w:val="008E65F9"/>
    <w:rsid w:val="008F277C"/>
    <w:rsid w:val="008F2D8A"/>
    <w:rsid w:val="008F33BB"/>
    <w:rsid w:val="008F634D"/>
    <w:rsid w:val="00902156"/>
    <w:rsid w:val="00902415"/>
    <w:rsid w:val="0090487E"/>
    <w:rsid w:val="00905227"/>
    <w:rsid w:val="009055C3"/>
    <w:rsid w:val="00905A75"/>
    <w:rsid w:val="00906043"/>
    <w:rsid w:val="0091033E"/>
    <w:rsid w:val="00910F98"/>
    <w:rsid w:val="009140CE"/>
    <w:rsid w:val="00914EA0"/>
    <w:rsid w:val="0091508D"/>
    <w:rsid w:val="009171A6"/>
    <w:rsid w:val="009227CD"/>
    <w:rsid w:val="009244AF"/>
    <w:rsid w:val="00931485"/>
    <w:rsid w:val="00932026"/>
    <w:rsid w:val="00932AF9"/>
    <w:rsid w:val="00936227"/>
    <w:rsid w:val="00936545"/>
    <w:rsid w:val="0094014A"/>
    <w:rsid w:val="00940F2C"/>
    <w:rsid w:val="009451B0"/>
    <w:rsid w:val="00954577"/>
    <w:rsid w:val="0095468E"/>
    <w:rsid w:val="009549F5"/>
    <w:rsid w:val="0095743C"/>
    <w:rsid w:val="00957455"/>
    <w:rsid w:val="00960335"/>
    <w:rsid w:val="009666DC"/>
    <w:rsid w:val="00966C41"/>
    <w:rsid w:val="0096779A"/>
    <w:rsid w:val="00971228"/>
    <w:rsid w:val="00971408"/>
    <w:rsid w:val="009723F5"/>
    <w:rsid w:val="00972815"/>
    <w:rsid w:val="0097474A"/>
    <w:rsid w:val="009802ED"/>
    <w:rsid w:val="0098261E"/>
    <w:rsid w:val="0098456D"/>
    <w:rsid w:val="00986FD7"/>
    <w:rsid w:val="00993507"/>
    <w:rsid w:val="009964D1"/>
    <w:rsid w:val="00997878"/>
    <w:rsid w:val="009A0836"/>
    <w:rsid w:val="009A4DC5"/>
    <w:rsid w:val="009A6AF7"/>
    <w:rsid w:val="009A6E7A"/>
    <w:rsid w:val="009A7456"/>
    <w:rsid w:val="009B358A"/>
    <w:rsid w:val="009B3DD6"/>
    <w:rsid w:val="009C13AF"/>
    <w:rsid w:val="009C177E"/>
    <w:rsid w:val="009D1AF6"/>
    <w:rsid w:val="009D6063"/>
    <w:rsid w:val="009D6E9F"/>
    <w:rsid w:val="009D6F3A"/>
    <w:rsid w:val="009D74DC"/>
    <w:rsid w:val="009E0625"/>
    <w:rsid w:val="009E2064"/>
    <w:rsid w:val="009E483A"/>
    <w:rsid w:val="009E53A4"/>
    <w:rsid w:val="009E549A"/>
    <w:rsid w:val="009E5E82"/>
    <w:rsid w:val="009E70E6"/>
    <w:rsid w:val="009F0078"/>
    <w:rsid w:val="009F309E"/>
    <w:rsid w:val="00A00932"/>
    <w:rsid w:val="00A0492E"/>
    <w:rsid w:val="00A04DCC"/>
    <w:rsid w:val="00A055DD"/>
    <w:rsid w:val="00A107E6"/>
    <w:rsid w:val="00A11C69"/>
    <w:rsid w:val="00A12364"/>
    <w:rsid w:val="00A12CEE"/>
    <w:rsid w:val="00A16F59"/>
    <w:rsid w:val="00A21ECB"/>
    <w:rsid w:val="00A33E12"/>
    <w:rsid w:val="00A41480"/>
    <w:rsid w:val="00A424E5"/>
    <w:rsid w:val="00A450C7"/>
    <w:rsid w:val="00A5175B"/>
    <w:rsid w:val="00A5446A"/>
    <w:rsid w:val="00A63254"/>
    <w:rsid w:val="00A665BE"/>
    <w:rsid w:val="00A66C6C"/>
    <w:rsid w:val="00A67403"/>
    <w:rsid w:val="00A712E6"/>
    <w:rsid w:val="00A76046"/>
    <w:rsid w:val="00A77736"/>
    <w:rsid w:val="00A82325"/>
    <w:rsid w:val="00A824D6"/>
    <w:rsid w:val="00A82FC3"/>
    <w:rsid w:val="00A84B42"/>
    <w:rsid w:val="00A861FC"/>
    <w:rsid w:val="00A86C37"/>
    <w:rsid w:val="00A86E57"/>
    <w:rsid w:val="00A86F3F"/>
    <w:rsid w:val="00A90E9E"/>
    <w:rsid w:val="00A92A42"/>
    <w:rsid w:val="00A92A9B"/>
    <w:rsid w:val="00A9407A"/>
    <w:rsid w:val="00A95B97"/>
    <w:rsid w:val="00A95D5F"/>
    <w:rsid w:val="00A96B05"/>
    <w:rsid w:val="00A96F69"/>
    <w:rsid w:val="00A9757D"/>
    <w:rsid w:val="00AA013D"/>
    <w:rsid w:val="00AA0999"/>
    <w:rsid w:val="00AA53AD"/>
    <w:rsid w:val="00AA57FC"/>
    <w:rsid w:val="00AA5D52"/>
    <w:rsid w:val="00AA691B"/>
    <w:rsid w:val="00AB0CEC"/>
    <w:rsid w:val="00AB67E1"/>
    <w:rsid w:val="00AB7892"/>
    <w:rsid w:val="00AB7BA9"/>
    <w:rsid w:val="00AC053A"/>
    <w:rsid w:val="00AC7951"/>
    <w:rsid w:val="00AC7F42"/>
    <w:rsid w:val="00AD117A"/>
    <w:rsid w:val="00AD27DB"/>
    <w:rsid w:val="00AD4211"/>
    <w:rsid w:val="00AE0003"/>
    <w:rsid w:val="00AE3A16"/>
    <w:rsid w:val="00AE3DB3"/>
    <w:rsid w:val="00AE4729"/>
    <w:rsid w:val="00AE5DB2"/>
    <w:rsid w:val="00AF20A2"/>
    <w:rsid w:val="00AF2289"/>
    <w:rsid w:val="00AF43F9"/>
    <w:rsid w:val="00AF494F"/>
    <w:rsid w:val="00AF6B0F"/>
    <w:rsid w:val="00B00048"/>
    <w:rsid w:val="00B008B4"/>
    <w:rsid w:val="00B04A53"/>
    <w:rsid w:val="00B06F3E"/>
    <w:rsid w:val="00B13D87"/>
    <w:rsid w:val="00B14165"/>
    <w:rsid w:val="00B16C9B"/>
    <w:rsid w:val="00B21376"/>
    <w:rsid w:val="00B21631"/>
    <w:rsid w:val="00B23FC8"/>
    <w:rsid w:val="00B2604F"/>
    <w:rsid w:val="00B27E41"/>
    <w:rsid w:val="00B30663"/>
    <w:rsid w:val="00B331DB"/>
    <w:rsid w:val="00B3330A"/>
    <w:rsid w:val="00B33663"/>
    <w:rsid w:val="00B33B2E"/>
    <w:rsid w:val="00B33E7D"/>
    <w:rsid w:val="00B3456E"/>
    <w:rsid w:val="00B365A7"/>
    <w:rsid w:val="00B36BD1"/>
    <w:rsid w:val="00B3758A"/>
    <w:rsid w:val="00B379BB"/>
    <w:rsid w:val="00B41052"/>
    <w:rsid w:val="00B42DF3"/>
    <w:rsid w:val="00B44455"/>
    <w:rsid w:val="00B449F5"/>
    <w:rsid w:val="00B50180"/>
    <w:rsid w:val="00B520FF"/>
    <w:rsid w:val="00B547AA"/>
    <w:rsid w:val="00B5783C"/>
    <w:rsid w:val="00B61D37"/>
    <w:rsid w:val="00B62B70"/>
    <w:rsid w:val="00B71E4D"/>
    <w:rsid w:val="00B77F81"/>
    <w:rsid w:val="00B80360"/>
    <w:rsid w:val="00B81821"/>
    <w:rsid w:val="00B847BA"/>
    <w:rsid w:val="00B86B0F"/>
    <w:rsid w:val="00B87017"/>
    <w:rsid w:val="00B90E77"/>
    <w:rsid w:val="00B94DB4"/>
    <w:rsid w:val="00B962F4"/>
    <w:rsid w:val="00BA0378"/>
    <w:rsid w:val="00BA57A3"/>
    <w:rsid w:val="00BB0859"/>
    <w:rsid w:val="00BB5178"/>
    <w:rsid w:val="00BB62CC"/>
    <w:rsid w:val="00BC0EE7"/>
    <w:rsid w:val="00BC11A3"/>
    <w:rsid w:val="00BC27B2"/>
    <w:rsid w:val="00BC2F1F"/>
    <w:rsid w:val="00BC52F2"/>
    <w:rsid w:val="00BC5D24"/>
    <w:rsid w:val="00BC7580"/>
    <w:rsid w:val="00BD57BE"/>
    <w:rsid w:val="00BD62E4"/>
    <w:rsid w:val="00BD703A"/>
    <w:rsid w:val="00BE2412"/>
    <w:rsid w:val="00BE3268"/>
    <w:rsid w:val="00BE34B7"/>
    <w:rsid w:val="00BE6A44"/>
    <w:rsid w:val="00BF2F5B"/>
    <w:rsid w:val="00BF38BE"/>
    <w:rsid w:val="00BF4EDF"/>
    <w:rsid w:val="00C01504"/>
    <w:rsid w:val="00C01637"/>
    <w:rsid w:val="00C01D65"/>
    <w:rsid w:val="00C03F76"/>
    <w:rsid w:val="00C047E9"/>
    <w:rsid w:val="00C05143"/>
    <w:rsid w:val="00C05E1A"/>
    <w:rsid w:val="00C05F0E"/>
    <w:rsid w:val="00C118EC"/>
    <w:rsid w:val="00C11A8B"/>
    <w:rsid w:val="00C12138"/>
    <w:rsid w:val="00C205B1"/>
    <w:rsid w:val="00C23A58"/>
    <w:rsid w:val="00C244B4"/>
    <w:rsid w:val="00C257DF"/>
    <w:rsid w:val="00C317A5"/>
    <w:rsid w:val="00C34C81"/>
    <w:rsid w:val="00C36223"/>
    <w:rsid w:val="00C50BC3"/>
    <w:rsid w:val="00C56022"/>
    <w:rsid w:val="00C60260"/>
    <w:rsid w:val="00C634C1"/>
    <w:rsid w:val="00C675E0"/>
    <w:rsid w:val="00C74F7B"/>
    <w:rsid w:val="00C80093"/>
    <w:rsid w:val="00C812A3"/>
    <w:rsid w:val="00C83A65"/>
    <w:rsid w:val="00C86B29"/>
    <w:rsid w:val="00C9545B"/>
    <w:rsid w:val="00CA24EF"/>
    <w:rsid w:val="00CA2932"/>
    <w:rsid w:val="00CA641E"/>
    <w:rsid w:val="00CB022E"/>
    <w:rsid w:val="00CB0279"/>
    <w:rsid w:val="00CB0D7A"/>
    <w:rsid w:val="00CB0FB9"/>
    <w:rsid w:val="00CB2007"/>
    <w:rsid w:val="00CB37A4"/>
    <w:rsid w:val="00CB7B73"/>
    <w:rsid w:val="00CC2DF2"/>
    <w:rsid w:val="00CC5EF6"/>
    <w:rsid w:val="00CC6AF1"/>
    <w:rsid w:val="00CD2CC1"/>
    <w:rsid w:val="00CD3548"/>
    <w:rsid w:val="00CD47C0"/>
    <w:rsid w:val="00CD6A47"/>
    <w:rsid w:val="00CE0DC2"/>
    <w:rsid w:val="00CE1072"/>
    <w:rsid w:val="00CE1703"/>
    <w:rsid w:val="00CE33D6"/>
    <w:rsid w:val="00CE5DB7"/>
    <w:rsid w:val="00CF0FDB"/>
    <w:rsid w:val="00D022F9"/>
    <w:rsid w:val="00D11E2F"/>
    <w:rsid w:val="00D14A44"/>
    <w:rsid w:val="00D1589E"/>
    <w:rsid w:val="00D1680E"/>
    <w:rsid w:val="00D17057"/>
    <w:rsid w:val="00D17899"/>
    <w:rsid w:val="00D20EE4"/>
    <w:rsid w:val="00D2135D"/>
    <w:rsid w:val="00D21FBF"/>
    <w:rsid w:val="00D24D10"/>
    <w:rsid w:val="00D35434"/>
    <w:rsid w:val="00D41447"/>
    <w:rsid w:val="00D41733"/>
    <w:rsid w:val="00D4183F"/>
    <w:rsid w:val="00D4509A"/>
    <w:rsid w:val="00D453F6"/>
    <w:rsid w:val="00D45B31"/>
    <w:rsid w:val="00D46E26"/>
    <w:rsid w:val="00D5010E"/>
    <w:rsid w:val="00D50DDC"/>
    <w:rsid w:val="00D51592"/>
    <w:rsid w:val="00D53692"/>
    <w:rsid w:val="00D538F5"/>
    <w:rsid w:val="00D53BF1"/>
    <w:rsid w:val="00D55159"/>
    <w:rsid w:val="00D577CD"/>
    <w:rsid w:val="00D6000A"/>
    <w:rsid w:val="00D61482"/>
    <w:rsid w:val="00D61E19"/>
    <w:rsid w:val="00D640B2"/>
    <w:rsid w:val="00D76B9E"/>
    <w:rsid w:val="00D77AE9"/>
    <w:rsid w:val="00D77BE7"/>
    <w:rsid w:val="00D81328"/>
    <w:rsid w:val="00D849AB"/>
    <w:rsid w:val="00D87B24"/>
    <w:rsid w:val="00D91075"/>
    <w:rsid w:val="00D9108B"/>
    <w:rsid w:val="00D91470"/>
    <w:rsid w:val="00D9242B"/>
    <w:rsid w:val="00D93296"/>
    <w:rsid w:val="00D95E14"/>
    <w:rsid w:val="00DA0AA6"/>
    <w:rsid w:val="00DA22A6"/>
    <w:rsid w:val="00DA318D"/>
    <w:rsid w:val="00DA35BC"/>
    <w:rsid w:val="00DA73C9"/>
    <w:rsid w:val="00DB03FE"/>
    <w:rsid w:val="00DB2F48"/>
    <w:rsid w:val="00DB6023"/>
    <w:rsid w:val="00DB602B"/>
    <w:rsid w:val="00DB77B4"/>
    <w:rsid w:val="00DD27EB"/>
    <w:rsid w:val="00DD535C"/>
    <w:rsid w:val="00DD6112"/>
    <w:rsid w:val="00DD6973"/>
    <w:rsid w:val="00DD6D66"/>
    <w:rsid w:val="00DE11C5"/>
    <w:rsid w:val="00DE21C9"/>
    <w:rsid w:val="00DE31F1"/>
    <w:rsid w:val="00DE45F8"/>
    <w:rsid w:val="00DE4C34"/>
    <w:rsid w:val="00DE644E"/>
    <w:rsid w:val="00DE7B4B"/>
    <w:rsid w:val="00DF0078"/>
    <w:rsid w:val="00DF2A48"/>
    <w:rsid w:val="00DF51D6"/>
    <w:rsid w:val="00E0201E"/>
    <w:rsid w:val="00E03D99"/>
    <w:rsid w:val="00E04BCC"/>
    <w:rsid w:val="00E0541B"/>
    <w:rsid w:val="00E077E2"/>
    <w:rsid w:val="00E15154"/>
    <w:rsid w:val="00E153CF"/>
    <w:rsid w:val="00E161C8"/>
    <w:rsid w:val="00E167BD"/>
    <w:rsid w:val="00E16B66"/>
    <w:rsid w:val="00E27FAA"/>
    <w:rsid w:val="00E3012D"/>
    <w:rsid w:val="00E31331"/>
    <w:rsid w:val="00E32884"/>
    <w:rsid w:val="00E33A46"/>
    <w:rsid w:val="00E346EA"/>
    <w:rsid w:val="00E35363"/>
    <w:rsid w:val="00E466A6"/>
    <w:rsid w:val="00E46822"/>
    <w:rsid w:val="00E47865"/>
    <w:rsid w:val="00E50BB2"/>
    <w:rsid w:val="00E528E9"/>
    <w:rsid w:val="00E53217"/>
    <w:rsid w:val="00E61537"/>
    <w:rsid w:val="00E6176B"/>
    <w:rsid w:val="00E634E5"/>
    <w:rsid w:val="00E63687"/>
    <w:rsid w:val="00E6542B"/>
    <w:rsid w:val="00E71CAC"/>
    <w:rsid w:val="00E73427"/>
    <w:rsid w:val="00E751D9"/>
    <w:rsid w:val="00E7583B"/>
    <w:rsid w:val="00E760FA"/>
    <w:rsid w:val="00E81493"/>
    <w:rsid w:val="00E818D4"/>
    <w:rsid w:val="00E8300F"/>
    <w:rsid w:val="00E92BE1"/>
    <w:rsid w:val="00EA647E"/>
    <w:rsid w:val="00EB13EE"/>
    <w:rsid w:val="00EB3BB6"/>
    <w:rsid w:val="00EB3EAC"/>
    <w:rsid w:val="00EB7657"/>
    <w:rsid w:val="00EC0688"/>
    <w:rsid w:val="00ED08FE"/>
    <w:rsid w:val="00ED23A9"/>
    <w:rsid w:val="00ED3E02"/>
    <w:rsid w:val="00ED4B93"/>
    <w:rsid w:val="00ED616C"/>
    <w:rsid w:val="00EE2169"/>
    <w:rsid w:val="00EE576B"/>
    <w:rsid w:val="00EF0ECE"/>
    <w:rsid w:val="00EF16BB"/>
    <w:rsid w:val="00EF3700"/>
    <w:rsid w:val="00EF487B"/>
    <w:rsid w:val="00EF6F53"/>
    <w:rsid w:val="00F01B31"/>
    <w:rsid w:val="00F102FE"/>
    <w:rsid w:val="00F10A96"/>
    <w:rsid w:val="00F10F36"/>
    <w:rsid w:val="00F116DB"/>
    <w:rsid w:val="00F1344C"/>
    <w:rsid w:val="00F14873"/>
    <w:rsid w:val="00F16488"/>
    <w:rsid w:val="00F16A1D"/>
    <w:rsid w:val="00F17DD4"/>
    <w:rsid w:val="00F201CB"/>
    <w:rsid w:val="00F20A4B"/>
    <w:rsid w:val="00F22C16"/>
    <w:rsid w:val="00F2388A"/>
    <w:rsid w:val="00F24A52"/>
    <w:rsid w:val="00F24CA6"/>
    <w:rsid w:val="00F30892"/>
    <w:rsid w:val="00F367B1"/>
    <w:rsid w:val="00F42695"/>
    <w:rsid w:val="00F51F4A"/>
    <w:rsid w:val="00F5377C"/>
    <w:rsid w:val="00F55193"/>
    <w:rsid w:val="00F57951"/>
    <w:rsid w:val="00F61927"/>
    <w:rsid w:val="00F61975"/>
    <w:rsid w:val="00F62BE0"/>
    <w:rsid w:val="00F63E9D"/>
    <w:rsid w:val="00F7287C"/>
    <w:rsid w:val="00F765D8"/>
    <w:rsid w:val="00F80AD4"/>
    <w:rsid w:val="00F80FC1"/>
    <w:rsid w:val="00F81829"/>
    <w:rsid w:val="00F82302"/>
    <w:rsid w:val="00F84597"/>
    <w:rsid w:val="00F84F63"/>
    <w:rsid w:val="00F9210D"/>
    <w:rsid w:val="00F92144"/>
    <w:rsid w:val="00F92214"/>
    <w:rsid w:val="00FA01F6"/>
    <w:rsid w:val="00FA0A90"/>
    <w:rsid w:val="00FA2BD2"/>
    <w:rsid w:val="00FA3BAF"/>
    <w:rsid w:val="00FA42F2"/>
    <w:rsid w:val="00FA66BE"/>
    <w:rsid w:val="00FB0CA3"/>
    <w:rsid w:val="00FB1B56"/>
    <w:rsid w:val="00FB3885"/>
    <w:rsid w:val="00FB4734"/>
    <w:rsid w:val="00FC08A5"/>
    <w:rsid w:val="00FC55E8"/>
    <w:rsid w:val="00FC6170"/>
    <w:rsid w:val="00FC6238"/>
    <w:rsid w:val="00FC78A5"/>
    <w:rsid w:val="00FD5329"/>
    <w:rsid w:val="00FD6C38"/>
    <w:rsid w:val="00FE0074"/>
    <w:rsid w:val="00FE0C5A"/>
    <w:rsid w:val="00FE1AF2"/>
    <w:rsid w:val="00FE7D78"/>
    <w:rsid w:val="00FF1FEB"/>
    <w:rsid w:val="00FF406C"/>
    <w:rsid w:val="00FF70F3"/>
    <w:rsid w:val="00FF7251"/>
    <w:rsid w:val="02154764"/>
    <w:rsid w:val="027A149C"/>
    <w:rsid w:val="028D3D6D"/>
    <w:rsid w:val="02BB786A"/>
    <w:rsid w:val="02E81F18"/>
    <w:rsid w:val="047E75D0"/>
    <w:rsid w:val="04846602"/>
    <w:rsid w:val="06076855"/>
    <w:rsid w:val="06E062C2"/>
    <w:rsid w:val="077E5BEF"/>
    <w:rsid w:val="07D75CBB"/>
    <w:rsid w:val="08437A66"/>
    <w:rsid w:val="08637A66"/>
    <w:rsid w:val="09AB48B2"/>
    <w:rsid w:val="09BC2A4C"/>
    <w:rsid w:val="09F14739"/>
    <w:rsid w:val="0AAC4095"/>
    <w:rsid w:val="0AD44F5D"/>
    <w:rsid w:val="0AF52028"/>
    <w:rsid w:val="0AF53DB5"/>
    <w:rsid w:val="0B0821C8"/>
    <w:rsid w:val="0D6D057B"/>
    <w:rsid w:val="0E9B1118"/>
    <w:rsid w:val="0EFE5739"/>
    <w:rsid w:val="0F334EAC"/>
    <w:rsid w:val="0F3D0F45"/>
    <w:rsid w:val="0F9C407E"/>
    <w:rsid w:val="0FF11A14"/>
    <w:rsid w:val="108D32F4"/>
    <w:rsid w:val="10A87C4D"/>
    <w:rsid w:val="10E858D8"/>
    <w:rsid w:val="10EA0C06"/>
    <w:rsid w:val="12394E40"/>
    <w:rsid w:val="12647A72"/>
    <w:rsid w:val="130F58D2"/>
    <w:rsid w:val="135B5323"/>
    <w:rsid w:val="138E3FF9"/>
    <w:rsid w:val="147B7EA8"/>
    <w:rsid w:val="14B24AC5"/>
    <w:rsid w:val="15B36528"/>
    <w:rsid w:val="160E21CF"/>
    <w:rsid w:val="16104199"/>
    <w:rsid w:val="16845522"/>
    <w:rsid w:val="169E79F7"/>
    <w:rsid w:val="17A4719D"/>
    <w:rsid w:val="17A50911"/>
    <w:rsid w:val="194303E2"/>
    <w:rsid w:val="19942DDC"/>
    <w:rsid w:val="1B641A20"/>
    <w:rsid w:val="1B721452"/>
    <w:rsid w:val="1C283BC1"/>
    <w:rsid w:val="1C2E3BAA"/>
    <w:rsid w:val="1C744B24"/>
    <w:rsid w:val="1CF733D1"/>
    <w:rsid w:val="1D76522A"/>
    <w:rsid w:val="1E2510CE"/>
    <w:rsid w:val="1E4749DC"/>
    <w:rsid w:val="1E7A70F3"/>
    <w:rsid w:val="1EE73F05"/>
    <w:rsid w:val="1F073C5F"/>
    <w:rsid w:val="1FFC753C"/>
    <w:rsid w:val="20C328C4"/>
    <w:rsid w:val="21420A1B"/>
    <w:rsid w:val="223A2149"/>
    <w:rsid w:val="228C2C64"/>
    <w:rsid w:val="22B13ED6"/>
    <w:rsid w:val="22CD2172"/>
    <w:rsid w:val="232A1048"/>
    <w:rsid w:val="23502EDC"/>
    <w:rsid w:val="235C660B"/>
    <w:rsid w:val="23BA004D"/>
    <w:rsid w:val="24242B0D"/>
    <w:rsid w:val="24AA4CDE"/>
    <w:rsid w:val="25233F53"/>
    <w:rsid w:val="25CD1194"/>
    <w:rsid w:val="261F5D33"/>
    <w:rsid w:val="26450F7D"/>
    <w:rsid w:val="27DE1C0B"/>
    <w:rsid w:val="27F767D8"/>
    <w:rsid w:val="286435B5"/>
    <w:rsid w:val="289B3D96"/>
    <w:rsid w:val="28F811E9"/>
    <w:rsid w:val="29A273A6"/>
    <w:rsid w:val="29FB6815"/>
    <w:rsid w:val="2A571F3F"/>
    <w:rsid w:val="2A5E6675"/>
    <w:rsid w:val="2AC63BDB"/>
    <w:rsid w:val="2B1C0B23"/>
    <w:rsid w:val="2B69235F"/>
    <w:rsid w:val="2BA02310"/>
    <w:rsid w:val="2D5845EE"/>
    <w:rsid w:val="2DE13E8B"/>
    <w:rsid w:val="2E1162B0"/>
    <w:rsid w:val="2E7F47A2"/>
    <w:rsid w:val="2EA25753"/>
    <w:rsid w:val="2EE705D4"/>
    <w:rsid w:val="2EEA0EAE"/>
    <w:rsid w:val="2F30076D"/>
    <w:rsid w:val="2FD825DF"/>
    <w:rsid w:val="30224AD0"/>
    <w:rsid w:val="30FF4440"/>
    <w:rsid w:val="31164BB0"/>
    <w:rsid w:val="31EF73C0"/>
    <w:rsid w:val="321D6B33"/>
    <w:rsid w:val="32A6574C"/>
    <w:rsid w:val="336B1E0F"/>
    <w:rsid w:val="343D4DD9"/>
    <w:rsid w:val="34C95D81"/>
    <w:rsid w:val="34D91D29"/>
    <w:rsid w:val="35551771"/>
    <w:rsid w:val="355876B6"/>
    <w:rsid w:val="360C23F9"/>
    <w:rsid w:val="3647612D"/>
    <w:rsid w:val="36915720"/>
    <w:rsid w:val="3777564F"/>
    <w:rsid w:val="383231AA"/>
    <w:rsid w:val="39003F53"/>
    <w:rsid w:val="39212B12"/>
    <w:rsid w:val="39B8407C"/>
    <w:rsid w:val="39D91075"/>
    <w:rsid w:val="3AEF0B0A"/>
    <w:rsid w:val="3C2244C9"/>
    <w:rsid w:val="3CE156D4"/>
    <w:rsid w:val="3D5E3EFE"/>
    <w:rsid w:val="3DC456E6"/>
    <w:rsid w:val="3EB375CF"/>
    <w:rsid w:val="3F132B04"/>
    <w:rsid w:val="3FE44839"/>
    <w:rsid w:val="41E968B3"/>
    <w:rsid w:val="42996133"/>
    <w:rsid w:val="433D6BF4"/>
    <w:rsid w:val="43A038F8"/>
    <w:rsid w:val="45C53EFD"/>
    <w:rsid w:val="46004DE1"/>
    <w:rsid w:val="46205483"/>
    <w:rsid w:val="469924EA"/>
    <w:rsid w:val="46D16BB9"/>
    <w:rsid w:val="47C27B0D"/>
    <w:rsid w:val="47CD0BC3"/>
    <w:rsid w:val="48175BCE"/>
    <w:rsid w:val="493C4382"/>
    <w:rsid w:val="49BC3E21"/>
    <w:rsid w:val="49E84536"/>
    <w:rsid w:val="4A2E6830"/>
    <w:rsid w:val="4BC706FE"/>
    <w:rsid w:val="4C274A6B"/>
    <w:rsid w:val="4C436E38"/>
    <w:rsid w:val="4E850579"/>
    <w:rsid w:val="4F0968B4"/>
    <w:rsid w:val="4FDD6193"/>
    <w:rsid w:val="50302E73"/>
    <w:rsid w:val="50825428"/>
    <w:rsid w:val="50EA6D12"/>
    <w:rsid w:val="51652A36"/>
    <w:rsid w:val="51842D6A"/>
    <w:rsid w:val="52291B63"/>
    <w:rsid w:val="533C0361"/>
    <w:rsid w:val="535E75EB"/>
    <w:rsid w:val="5394168A"/>
    <w:rsid w:val="53C85801"/>
    <w:rsid w:val="54081D74"/>
    <w:rsid w:val="54A77A85"/>
    <w:rsid w:val="55257204"/>
    <w:rsid w:val="562128E9"/>
    <w:rsid w:val="57E97DCB"/>
    <w:rsid w:val="585D60C3"/>
    <w:rsid w:val="5A2F6347"/>
    <w:rsid w:val="5A46345F"/>
    <w:rsid w:val="5A60185A"/>
    <w:rsid w:val="5AB077EC"/>
    <w:rsid w:val="5AED416E"/>
    <w:rsid w:val="5B637E94"/>
    <w:rsid w:val="5B9673B0"/>
    <w:rsid w:val="5C53370A"/>
    <w:rsid w:val="5CE46835"/>
    <w:rsid w:val="5D137EF8"/>
    <w:rsid w:val="5D1A3000"/>
    <w:rsid w:val="5E192A8C"/>
    <w:rsid w:val="5E4F64AE"/>
    <w:rsid w:val="5E824881"/>
    <w:rsid w:val="5EF54D58"/>
    <w:rsid w:val="5F1A3148"/>
    <w:rsid w:val="5FA32F55"/>
    <w:rsid w:val="5FCF2DD5"/>
    <w:rsid w:val="6037026B"/>
    <w:rsid w:val="608F59BA"/>
    <w:rsid w:val="609D18F9"/>
    <w:rsid w:val="60D809DC"/>
    <w:rsid w:val="61570FDD"/>
    <w:rsid w:val="6163204A"/>
    <w:rsid w:val="62441245"/>
    <w:rsid w:val="62560FCD"/>
    <w:rsid w:val="625C73EB"/>
    <w:rsid w:val="62DC7111"/>
    <w:rsid w:val="62E418BB"/>
    <w:rsid w:val="63072342"/>
    <w:rsid w:val="636263E4"/>
    <w:rsid w:val="638E67FA"/>
    <w:rsid w:val="63DE64E0"/>
    <w:rsid w:val="643F1CC1"/>
    <w:rsid w:val="64C43389"/>
    <w:rsid w:val="64C71494"/>
    <w:rsid w:val="64CD191F"/>
    <w:rsid w:val="64D63485"/>
    <w:rsid w:val="64EB1DAA"/>
    <w:rsid w:val="65091AAC"/>
    <w:rsid w:val="651E6BDA"/>
    <w:rsid w:val="65630078"/>
    <w:rsid w:val="6580369E"/>
    <w:rsid w:val="659B4EFA"/>
    <w:rsid w:val="66C043ED"/>
    <w:rsid w:val="673A2B55"/>
    <w:rsid w:val="675A4C54"/>
    <w:rsid w:val="67654F94"/>
    <w:rsid w:val="681D39C7"/>
    <w:rsid w:val="687234C5"/>
    <w:rsid w:val="68C83359"/>
    <w:rsid w:val="699102C2"/>
    <w:rsid w:val="6A545D5C"/>
    <w:rsid w:val="6AC10733"/>
    <w:rsid w:val="6B436898"/>
    <w:rsid w:val="6C0C481B"/>
    <w:rsid w:val="6C225C32"/>
    <w:rsid w:val="6CBB1D86"/>
    <w:rsid w:val="6CC037E6"/>
    <w:rsid w:val="6D68730F"/>
    <w:rsid w:val="6DA67756"/>
    <w:rsid w:val="6DB400D2"/>
    <w:rsid w:val="6E3873D3"/>
    <w:rsid w:val="6EAF7164"/>
    <w:rsid w:val="6F526239"/>
    <w:rsid w:val="6F560B25"/>
    <w:rsid w:val="6FCC5BB0"/>
    <w:rsid w:val="700B7191"/>
    <w:rsid w:val="70A703CB"/>
    <w:rsid w:val="70FC6B1E"/>
    <w:rsid w:val="71223948"/>
    <w:rsid w:val="71687B5B"/>
    <w:rsid w:val="724D1733"/>
    <w:rsid w:val="727F3AA6"/>
    <w:rsid w:val="742C1313"/>
    <w:rsid w:val="742C29BD"/>
    <w:rsid w:val="743261FE"/>
    <w:rsid w:val="748B5CCA"/>
    <w:rsid w:val="74C27DF3"/>
    <w:rsid w:val="74F66D8C"/>
    <w:rsid w:val="755314EC"/>
    <w:rsid w:val="75AC395B"/>
    <w:rsid w:val="75E70E51"/>
    <w:rsid w:val="760427D7"/>
    <w:rsid w:val="76182881"/>
    <w:rsid w:val="76197675"/>
    <w:rsid w:val="762D5C49"/>
    <w:rsid w:val="769A5616"/>
    <w:rsid w:val="76F37DF2"/>
    <w:rsid w:val="771614B9"/>
    <w:rsid w:val="771C5C32"/>
    <w:rsid w:val="774921DC"/>
    <w:rsid w:val="776A1C73"/>
    <w:rsid w:val="77A16F12"/>
    <w:rsid w:val="7959677A"/>
    <w:rsid w:val="799941BC"/>
    <w:rsid w:val="7A9D28EF"/>
    <w:rsid w:val="7B7917EF"/>
    <w:rsid w:val="7BDF0A19"/>
    <w:rsid w:val="7BE9746A"/>
    <w:rsid w:val="7CCA370A"/>
    <w:rsid w:val="7D1670C9"/>
    <w:rsid w:val="7DAF2FBF"/>
    <w:rsid w:val="7E5E4118"/>
    <w:rsid w:val="7EF3698D"/>
    <w:rsid w:val="7F445D28"/>
    <w:rsid w:val="7F495E6B"/>
    <w:rsid w:val="7F4C0004"/>
    <w:rsid w:val="7FA21015"/>
    <w:rsid w:val="7FC23F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7">
    <w:name w:val="heading 3"/>
    <w:basedOn w:val="1"/>
    <w:next w:val="1"/>
    <w:link w:val="27"/>
    <w:qFormat/>
    <w:uiPriority w:val="9"/>
    <w:pPr>
      <w:keepNext/>
      <w:keepLines/>
      <w:spacing w:before="260" w:after="260" w:line="416" w:lineRule="auto"/>
      <w:outlineLvl w:val="2"/>
    </w:pPr>
    <w:rPr>
      <w:b/>
      <w:bCs/>
      <w:sz w:val="32"/>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unhideWhenUsed/>
    <w:qFormat/>
    <w:uiPriority w:val="0"/>
    <w:pPr>
      <w:ind w:firstLine="420" w:firstLineChars="200"/>
    </w:pPr>
    <w:rPr>
      <w:rFonts w:eastAsia="仿宋"/>
      <w:sz w:val="32"/>
    </w:rPr>
  </w:style>
  <w:style w:type="paragraph" w:styleId="8">
    <w:name w:val="Body Text"/>
    <w:basedOn w:val="1"/>
    <w:unhideWhenUsed/>
    <w:qFormat/>
    <w:uiPriority w:val="99"/>
    <w:pPr>
      <w:autoSpaceDE w:val="0"/>
      <w:autoSpaceDN w:val="0"/>
      <w:adjustRightInd w:val="0"/>
      <w:snapToGrid w:val="0"/>
      <w:spacing w:line="360" w:lineRule="auto"/>
      <w:ind w:right="600"/>
      <w:textAlignment w:val="baseline"/>
    </w:pPr>
    <w:rPr>
      <w:rFonts w:ascii="仿宋_GB2312" w:hAnsi="Courier New" w:eastAsia="仿宋_GB2312" w:cs="仿宋_GB2312"/>
    </w:rPr>
  </w:style>
  <w:style w:type="paragraph" w:styleId="9">
    <w:name w:val="toc 3"/>
    <w:basedOn w:val="1"/>
    <w:next w:val="1"/>
    <w:unhideWhenUsed/>
    <w:qFormat/>
    <w:uiPriority w:val="39"/>
    <w:pPr>
      <w:tabs>
        <w:tab w:val="right" w:leader="dot" w:pos="8834"/>
      </w:tabs>
      <w:spacing w:line="440" w:lineRule="exact"/>
      <w:ind w:left="840" w:leftChars="400"/>
    </w:pPr>
  </w:style>
  <w:style w:type="paragraph" w:styleId="10">
    <w:name w:val="endnote text"/>
    <w:basedOn w:val="1"/>
    <w:link w:val="28"/>
    <w:unhideWhenUsed/>
    <w:qFormat/>
    <w:uiPriority w:val="99"/>
    <w:pPr>
      <w:snapToGrid w:val="0"/>
      <w:jc w:val="left"/>
    </w:pPr>
  </w:style>
  <w:style w:type="paragraph" w:styleId="11">
    <w:name w:val="Balloon Text"/>
    <w:basedOn w:val="1"/>
    <w:link w:val="29"/>
    <w:unhideWhenUsed/>
    <w:qFormat/>
    <w:uiPriority w:val="99"/>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834"/>
      </w:tabs>
      <w:spacing w:line="240" w:lineRule="exact"/>
    </w:pPr>
  </w:style>
  <w:style w:type="paragraph" w:styleId="15">
    <w:name w:val="footnote text"/>
    <w:basedOn w:val="1"/>
    <w:link w:val="32"/>
    <w:qFormat/>
    <w:uiPriority w:val="0"/>
    <w:pPr>
      <w:snapToGrid w:val="0"/>
      <w:jc w:val="left"/>
    </w:pPr>
    <w:rPr>
      <w:sz w:val="18"/>
    </w:rPr>
  </w:style>
  <w:style w:type="paragraph" w:styleId="16">
    <w:name w:val="toc 2"/>
    <w:basedOn w:val="1"/>
    <w:next w:val="1"/>
    <w:unhideWhenUsed/>
    <w:qFormat/>
    <w:uiPriority w:val="39"/>
    <w:pPr>
      <w:tabs>
        <w:tab w:val="right" w:leader="dot" w:pos="8834"/>
      </w:tabs>
      <w:spacing w:line="500" w:lineRule="exact"/>
      <w:ind w:left="420" w:leftChars="200"/>
    </w:pPr>
  </w:style>
  <w:style w:type="paragraph" w:styleId="1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1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endnote reference"/>
    <w:unhideWhenUsed/>
    <w:qFormat/>
    <w:uiPriority w:val="99"/>
    <w:rPr>
      <w:vertAlign w:val="superscript"/>
    </w:rPr>
  </w:style>
  <w:style w:type="character" w:styleId="22">
    <w:name w:val="Emphasis"/>
    <w:basedOn w:val="20"/>
    <w:qFormat/>
    <w:uiPriority w:val="20"/>
    <w:rPr>
      <w:i/>
    </w:rPr>
  </w:style>
  <w:style w:type="character" w:styleId="23">
    <w:name w:val="Hyperlink"/>
    <w:basedOn w:val="20"/>
    <w:unhideWhenUsed/>
    <w:qFormat/>
    <w:uiPriority w:val="99"/>
    <w:rPr>
      <w:color w:val="0000FF"/>
      <w:u w:val="single"/>
    </w:rPr>
  </w:style>
  <w:style w:type="character" w:styleId="24">
    <w:name w:val="footnote reference"/>
    <w:qFormat/>
    <w:uiPriority w:val="0"/>
    <w:rPr>
      <w:vertAlign w:val="superscript"/>
    </w:rPr>
  </w:style>
  <w:style w:type="character" w:customStyle="1" w:styleId="25">
    <w:name w:val="标题 1 字符"/>
    <w:link w:val="5"/>
    <w:qFormat/>
    <w:uiPriority w:val="9"/>
    <w:rPr>
      <w:b/>
      <w:bCs/>
      <w:kern w:val="44"/>
      <w:sz w:val="44"/>
      <w:szCs w:val="44"/>
    </w:rPr>
  </w:style>
  <w:style w:type="character" w:customStyle="1" w:styleId="26">
    <w:name w:val="标题 2 字符"/>
    <w:link w:val="6"/>
    <w:qFormat/>
    <w:uiPriority w:val="9"/>
    <w:rPr>
      <w:rFonts w:ascii="Cambria" w:hAnsi="Cambria" w:eastAsia="宋体" w:cs="Times New Roman"/>
      <w:b/>
      <w:bCs/>
      <w:kern w:val="2"/>
      <w:sz w:val="32"/>
      <w:szCs w:val="32"/>
    </w:rPr>
  </w:style>
  <w:style w:type="character" w:customStyle="1" w:styleId="27">
    <w:name w:val="标题 3 字符"/>
    <w:link w:val="7"/>
    <w:qFormat/>
    <w:uiPriority w:val="9"/>
    <w:rPr>
      <w:b/>
      <w:bCs/>
      <w:kern w:val="2"/>
      <w:sz w:val="32"/>
      <w:szCs w:val="32"/>
    </w:rPr>
  </w:style>
  <w:style w:type="character" w:customStyle="1" w:styleId="28">
    <w:name w:val="尾注文本 字符"/>
    <w:link w:val="10"/>
    <w:semiHidden/>
    <w:qFormat/>
    <w:uiPriority w:val="99"/>
    <w:rPr>
      <w:kern w:val="2"/>
      <w:sz w:val="21"/>
      <w:szCs w:val="22"/>
    </w:rPr>
  </w:style>
  <w:style w:type="character" w:customStyle="1" w:styleId="29">
    <w:name w:val="批注框文本 字符"/>
    <w:link w:val="11"/>
    <w:semiHidden/>
    <w:qFormat/>
    <w:uiPriority w:val="99"/>
    <w:rPr>
      <w:kern w:val="2"/>
      <w:sz w:val="18"/>
      <w:szCs w:val="18"/>
    </w:rPr>
  </w:style>
  <w:style w:type="character" w:customStyle="1" w:styleId="30">
    <w:name w:val="页脚 字符"/>
    <w:link w:val="12"/>
    <w:qFormat/>
    <w:uiPriority w:val="99"/>
    <w:rPr>
      <w:sz w:val="18"/>
      <w:szCs w:val="18"/>
    </w:rPr>
  </w:style>
  <w:style w:type="character" w:customStyle="1" w:styleId="31">
    <w:name w:val="页眉 字符"/>
    <w:link w:val="13"/>
    <w:qFormat/>
    <w:uiPriority w:val="99"/>
    <w:rPr>
      <w:kern w:val="2"/>
      <w:sz w:val="18"/>
      <w:szCs w:val="18"/>
    </w:rPr>
  </w:style>
  <w:style w:type="character" w:customStyle="1" w:styleId="32">
    <w:name w:val="脚注文本 字符"/>
    <w:link w:val="15"/>
    <w:qFormat/>
    <w:uiPriority w:val="0"/>
    <w:rPr>
      <w:kern w:val="2"/>
      <w:sz w:val="18"/>
      <w:szCs w:val="22"/>
    </w:rPr>
  </w:style>
  <w:style w:type="paragraph" w:styleId="33">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5">
    <w:name w:val="font21"/>
    <w:basedOn w:val="20"/>
    <w:qFormat/>
    <w:uiPriority w:val="0"/>
    <w:rPr>
      <w:rFonts w:hint="eastAsia" w:ascii="宋体" w:hAnsi="宋体" w:eastAsia="宋体" w:cs="宋体"/>
      <w:b/>
      <w:bCs/>
      <w:color w:val="000000"/>
      <w:sz w:val="18"/>
      <w:szCs w:val="18"/>
      <w:u w:val="none"/>
    </w:rPr>
  </w:style>
  <w:style w:type="character" w:customStyle="1" w:styleId="36">
    <w:name w:val="font51"/>
    <w:basedOn w:val="20"/>
    <w:qFormat/>
    <w:uiPriority w:val="0"/>
    <w:rPr>
      <w:rFonts w:hint="eastAsia" w:ascii="宋体" w:hAnsi="宋体" w:eastAsia="宋体" w:cs="宋体"/>
      <w:b/>
      <w:bCs/>
      <w:color w:val="FF0000"/>
      <w:sz w:val="18"/>
      <w:szCs w:val="18"/>
      <w:u w:val="none"/>
    </w:rPr>
  </w:style>
  <w:style w:type="character" w:customStyle="1" w:styleId="37">
    <w:name w:val="font61"/>
    <w:basedOn w:val="20"/>
    <w:qFormat/>
    <w:uiPriority w:val="0"/>
    <w:rPr>
      <w:rFonts w:hint="eastAsia" w:ascii="宋体" w:hAnsi="宋体" w:eastAsia="宋体" w:cs="宋体"/>
      <w:color w:val="FF0000"/>
      <w:sz w:val="21"/>
      <w:szCs w:val="21"/>
      <w:u w:val="none"/>
    </w:rPr>
  </w:style>
  <w:style w:type="character" w:customStyle="1" w:styleId="38">
    <w:name w:val="font41"/>
    <w:basedOn w:val="20"/>
    <w:qFormat/>
    <w:uiPriority w:val="0"/>
    <w:rPr>
      <w:rFonts w:hint="eastAsia" w:ascii="宋体" w:hAnsi="宋体" w:eastAsia="宋体" w:cs="宋体"/>
      <w:color w:val="000000"/>
      <w:sz w:val="21"/>
      <w:szCs w:val="21"/>
      <w:u w:val="none"/>
    </w:rPr>
  </w:style>
  <w:style w:type="paragraph" w:customStyle="1" w:styleId="39">
    <w:name w:val="表格"/>
    <w:qFormat/>
    <w:uiPriority w:val="0"/>
    <w:pPr>
      <w:widowControl w:val="0"/>
      <w:jc w:val="center"/>
    </w:pPr>
    <w:rPr>
      <w:rFonts w:ascii="仿宋" w:hAnsi="仿宋" w:eastAsia="宋体" w:cs="仿宋"/>
      <w:color w:val="000000"/>
      <w:kern w:val="2"/>
      <w:sz w:val="22"/>
      <w:szCs w:val="24"/>
      <w:lang w:val="en-US" w:eastAsia="zh-CN" w:bidi="ar-SA"/>
    </w:rPr>
  </w:style>
  <w:style w:type="paragraph" w:customStyle="1" w:styleId="40">
    <w:name w:val="Body Text First Indent 21"/>
    <w:basedOn w:val="41"/>
    <w:qFormat/>
    <w:uiPriority w:val="0"/>
    <w:pPr>
      <w:spacing w:line="360" w:lineRule="auto"/>
    </w:pPr>
    <w:rPr>
      <w:rFonts w:eastAsia="宋体"/>
      <w:sz w:val="24"/>
    </w:rPr>
  </w:style>
  <w:style w:type="paragraph" w:customStyle="1" w:styleId="41">
    <w:name w:val="Body Text Indent1"/>
    <w:basedOn w:val="1"/>
    <w:qFormat/>
    <w:uiPriority w:val="0"/>
    <w:pPr>
      <w:spacing w:line="150" w:lineRule="atLeast"/>
      <w:ind w:firstLine="420" w:firstLineChars="200"/>
      <w:textAlignment w:val="baseline"/>
    </w:pPr>
    <w:rPr>
      <w:rFonts w:ascii="Times New Roman" w:hAnsi="Times New Roman" w:cs="Times New Roman"/>
    </w:rPr>
  </w:style>
  <w:style w:type="character" w:customStyle="1" w:styleId="42">
    <w:name w:val="NormalCharacter"/>
    <w:link w:val="43"/>
    <w:qFormat/>
    <w:uiPriority w:val="0"/>
  </w:style>
  <w:style w:type="paragraph" w:customStyle="1" w:styleId="43">
    <w:name w:val="UserStyle_1"/>
    <w:basedOn w:val="1"/>
    <w:link w:val="42"/>
    <w:qFormat/>
    <w:uiPriority w:val="0"/>
    <w:pPr>
      <w:jc w:val="both"/>
      <w:textAlignment w:val="baseline"/>
    </w:pPr>
  </w:style>
  <w:style w:type="character" w:customStyle="1" w:styleId="44">
    <w:name w:val="font81"/>
    <w:basedOn w:val="20"/>
    <w:qFormat/>
    <w:uiPriority w:val="0"/>
    <w:rPr>
      <w:rFonts w:hint="eastAsia" w:ascii="宋体" w:hAnsi="宋体" w:eastAsia="宋体" w:cs="宋体"/>
      <w:b/>
      <w:bCs/>
      <w:color w:val="000000"/>
      <w:sz w:val="18"/>
      <w:szCs w:val="18"/>
      <w:u w:val="none"/>
    </w:rPr>
  </w:style>
  <w:style w:type="character" w:customStyle="1" w:styleId="45">
    <w:name w:val="font31"/>
    <w:basedOn w:val="20"/>
    <w:qFormat/>
    <w:uiPriority w:val="0"/>
    <w:rPr>
      <w:rFonts w:hint="eastAsia" w:ascii="宋体" w:hAnsi="宋体" w:eastAsia="宋体" w:cs="宋体"/>
      <w:b/>
      <w:bCs/>
      <w:color w:val="FF0000"/>
      <w:sz w:val="18"/>
      <w:szCs w:val="18"/>
      <w:u w:val="none"/>
    </w:rPr>
  </w:style>
  <w:style w:type="character" w:customStyle="1" w:styleId="46">
    <w:name w:val="font71"/>
    <w:basedOn w:val="20"/>
    <w:qFormat/>
    <w:uiPriority w:val="0"/>
    <w:rPr>
      <w:rFonts w:hint="eastAsia" w:ascii="宋体" w:hAnsi="宋体" w:eastAsia="宋体" w:cs="宋体"/>
      <w:color w:val="000000"/>
      <w:sz w:val="21"/>
      <w:szCs w:val="21"/>
      <w:u w:val="none"/>
    </w:rPr>
  </w:style>
  <w:style w:type="character" w:customStyle="1" w:styleId="47">
    <w:name w:val="font11"/>
    <w:basedOn w:val="20"/>
    <w:qFormat/>
    <w:uiPriority w:val="0"/>
    <w:rPr>
      <w:rFonts w:hint="eastAsia" w:ascii="宋体" w:hAnsi="宋体" w:eastAsia="宋体" w:cs="宋体"/>
      <w:color w:val="FF0000"/>
      <w:sz w:val="21"/>
      <w:szCs w:val="21"/>
      <w:u w:val="none"/>
    </w:rPr>
  </w:style>
  <w:style w:type="paragraph" w:customStyle="1" w:styleId="48">
    <w:name w:val="Normal Indent1"/>
    <w:basedOn w:val="1"/>
    <w:unhideWhenUsed/>
    <w:qFormat/>
    <w:uiPriority w:val="99"/>
    <w:pPr>
      <w:spacing w:beforeLines="0" w:afterLines="0"/>
      <w:ind w:firstLine="420" w:firstLineChars="200"/>
    </w:pPr>
    <w:rPr>
      <w:rFonts w:hint="eastAsia" w:ascii="Times New Roman"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Company>
  <Pages>60</Pages>
  <Words>26186</Words>
  <Characters>29227</Characters>
  <Lines>52</Lines>
  <Paragraphs>14</Paragraphs>
  <TotalTime>9</TotalTime>
  <ScaleCrop>false</ScaleCrop>
  <LinksUpToDate>false</LinksUpToDate>
  <CharactersWithSpaces>29269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2020-08-27T08:54:00Z</dcterms:created>
  <dc:creator>陈行峰</dc:creator>
  <cp:lastModifiedBy>＋Y</cp:lastModifiedBy>
  <cp:lastPrinted>2023-05-29T08:39:00Z</cp:lastPrinted>
  <dcterms:modified xsi:type="dcterms:W3CDTF">2023-09-06T08:04:15Z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0F69636F56074DF0B8AD32795FEA50F3_13</vt:lpwstr>
  </property>
</Properties>
</file>