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E3E" w:rsidRDefault="00E47E3E" w:rsidP="00E47E3E">
      <w:pPr>
        <w:spacing w:line="60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E47E3E" w:rsidRDefault="00E47E3E" w:rsidP="00E47E3E">
      <w:pPr>
        <w:pStyle w:val="Heading1"/>
        <w:spacing w:before="0" w:after="0" w:line="600" w:lineRule="exact"/>
        <w:rPr>
          <w:rFonts w:hint="eastAsia"/>
        </w:rPr>
      </w:pPr>
    </w:p>
    <w:p w:rsidR="00E47E3E" w:rsidRDefault="00E47E3E" w:rsidP="00E47E3E">
      <w:pPr>
        <w:spacing w:line="600" w:lineRule="exact"/>
        <w:jc w:val="center"/>
        <w:rPr>
          <w:rFonts w:ascii="方正大标宋简体" w:eastAsia="方正大标宋简体" w:hAnsi="方正大标宋简体" w:cs="方正大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关于进一步加强电子商务发展和</w:t>
      </w:r>
    </w:p>
    <w:p w:rsidR="00E47E3E" w:rsidRDefault="00E47E3E" w:rsidP="00E47E3E">
      <w:pPr>
        <w:spacing w:line="600" w:lineRule="exact"/>
        <w:jc w:val="center"/>
        <w:rPr>
          <w:rFonts w:ascii="方正大标宋简体" w:eastAsia="方正大标宋简体" w:hAnsi="方正大标宋简体" w:cs="方正大标宋简体" w:hint="eastAsia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管理</w:t>
      </w:r>
      <w:r>
        <w:rPr>
          <w:rFonts w:ascii="方正大标宋简体" w:eastAsia="方正大标宋简体" w:hAnsi="方正大标宋简体" w:cs="方正大标宋简体"/>
          <w:sz w:val="44"/>
          <w:szCs w:val="44"/>
        </w:rPr>
        <w:t>的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若干措施</w:t>
      </w:r>
    </w:p>
    <w:p w:rsidR="00E47E3E" w:rsidRDefault="00E47E3E" w:rsidP="00E47E3E">
      <w:pPr>
        <w:spacing w:line="600" w:lineRule="exact"/>
        <w:ind w:firstLineChars="200" w:firstLine="880"/>
        <w:rPr>
          <w:rFonts w:ascii="仿宋_GB2312" w:eastAsia="仿宋_GB2312" w:hAnsi="仿宋_GB2312" w:cs="仿宋_GB2312" w:hint="eastAsia"/>
          <w:sz w:val="44"/>
          <w:szCs w:val="44"/>
        </w:rPr>
      </w:pPr>
    </w:p>
    <w:p w:rsidR="00E47E3E" w:rsidRDefault="00E47E3E" w:rsidP="00E47E3E">
      <w:pPr>
        <w:tabs>
          <w:tab w:val="left" w:pos="0"/>
        </w:tabs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全省各级商务部门要全面贯彻落实党的二十大精神，</w:t>
      </w:r>
      <w:r>
        <w:rPr>
          <w:rFonts w:ascii="仿宋_GB2312" w:eastAsia="仿宋_GB2312" w:hAnsi="仿宋_GB2312" w:cs="仿宋_GB2312"/>
          <w:sz w:val="32"/>
          <w:szCs w:val="32"/>
        </w:rPr>
        <w:t>深入贯彻习近平总书记</w:t>
      </w:r>
      <w:r>
        <w:rPr>
          <w:rFonts w:ascii="仿宋_GB2312" w:eastAsia="仿宋_GB2312" w:hAnsi="仿宋_GB2312" w:cs="仿宋_GB2312" w:hint="eastAsia"/>
          <w:sz w:val="32"/>
          <w:szCs w:val="32"/>
        </w:rPr>
        <w:t>对</w:t>
      </w:r>
      <w:r>
        <w:rPr>
          <w:rFonts w:ascii="仿宋_GB2312" w:eastAsia="仿宋_GB2312" w:hAnsi="仿宋_GB2312" w:cs="仿宋_GB2312"/>
          <w:sz w:val="32"/>
          <w:szCs w:val="32"/>
        </w:rPr>
        <w:t>广东</w:t>
      </w:r>
      <w:r>
        <w:rPr>
          <w:rFonts w:ascii="仿宋_GB2312" w:eastAsia="仿宋_GB2312" w:hAnsi="仿宋_GB2312" w:cs="仿宋_GB2312" w:hint="eastAsia"/>
          <w:sz w:val="32"/>
          <w:szCs w:val="32"/>
        </w:rPr>
        <w:t>系列</w:t>
      </w:r>
      <w:r>
        <w:rPr>
          <w:rFonts w:ascii="仿宋_GB2312" w:eastAsia="仿宋_GB2312" w:hAnsi="仿宋_GB2312" w:cs="仿宋_GB2312"/>
          <w:sz w:val="32"/>
          <w:szCs w:val="32"/>
        </w:rPr>
        <w:t>重要讲话</w:t>
      </w:r>
      <w:r>
        <w:rPr>
          <w:rFonts w:ascii="仿宋_GB2312" w:eastAsia="仿宋_GB2312" w:hAnsi="仿宋_GB2312" w:cs="仿宋_GB2312" w:hint="eastAsia"/>
          <w:sz w:val="32"/>
          <w:szCs w:val="32"/>
        </w:rPr>
        <w:t>和</w:t>
      </w:r>
      <w:r>
        <w:rPr>
          <w:rFonts w:ascii="仿宋_GB2312" w:eastAsia="仿宋_GB2312" w:hAnsi="仿宋_GB2312" w:cs="仿宋_GB2312"/>
          <w:sz w:val="32"/>
          <w:szCs w:val="32"/>
        </w:rPr>
        <w:t>重要指示精神</w:t>
      </w:r>
      <w:r>
        <w:rPr>
          <w:rFonts w:ascii="仿宋_GB2312" w:eastAsia="仿宋_GB2312" w:hAnsi="仿宋_GB2312" w:cs="仿宋_GB2312" w:hint="eastAsia"/>
          <w:sz w:val="32"/>
          <w:szCs w:val="32"/>
        </w:rPr>
        <w:t>，切实发挥商务部门在电子商务发展和管理方面牵头抓总的重要职责，加强电子商务管理，优化电子商务环境，激发电子商务活力，进一步做大做强电子商务产业，助力推进“五外联动”和贸易强省建设。</w:t>
      </w:r>
    </w:p>
    <w:p w:rsidR="00E47E3E" w:rsidRDefault="00E47E3E" w:rsidP="00E47E3E">
      <w:pPr>
        <w:numPr>
          <w:ilvl w:val="0"/>
          <w:numId w:val="1"/>
        </w:numPr>
        <w:tabs>
          <w:tab w:val="clear" w:pos="0"/>
        </w:tabs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</w:rPr>
        <w:t>加快电商市场主体培育。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商务部门要牵头制定电商市场主体培育计划。招引全球龙头电商平台新设一批区域总部、功能性总部。优化电商创业环境，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支持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各类电商资源对接活动，释放中小电商企业创新创业活力。支持跨境电商综合服务企业发展，为小型微型企业从事跨境电商提供一站式服务。认定省级跨境电商企业，对获评企业给予政策支持。到2027年培育一批千亿级综合性电商龙头企业，50家消费电子、服装、玩具、化妆品等细分领域百亿级电商领军企业。</w:t>
      </w:r>
    </w:p>
    <w:p w:rsidR="00E47E3E" w:rsidRDefault="00E47E3E" w:rsidP="00E47E3E">
      <w:pPr>
        <w:numPr>
          <w:ilvl w:val="0"/>
          <w:numId w:val="1"/>
        </w:numPr>
        <w:tabs>
          <w:tab w:val="left" w:pos="0"/>
        </w:tabs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加强电商产业园区建设管理。</w:t>
      </w:r>
      <w:r>
        <w:rPr>
          <w:rFonts w:ascii="仿宋_GB2312" w:eastAsia="仿宋_GB2312" w:hAnsi="仿宋_GB2312" w:cs="仿宋_GB2312"/>
          <w:sz w:val="32"/>
          <w:szCs w:val="32"/>
        </w:rPr>
        <w:t>商务部门要</w:t>
      </w:r>
      <w:r>
        <w:rPr>
          <w:rFonts w:ascii="仿宋_GB2312" w:eastAsia="仿宋_GB2312" w:hAnsi="仿宋_GB2312" w:cs="仿宋_GB2312" w:hint="eastAsia"/>
          <w:sz w:val="32"/>
          <w:szCs w:val="32"/>
        </w:rPr>
        <w:t>牵头会同相关部门加强电商产业园区建设管理，重点引入品牌营销、软件开发、供应链管理等服务型企业，形成牵引带动电商产业发展主阵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地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鼓励园区建设运营单位为入驻企业提供融资孵化、培训咨询等公共服务</w:t>
      </w:r>
      <w:r>
        <w:rPr>
          <w:rFonts w:ascii="Times New Roman" w:eastAsia="仿宋_GB2312" w:hAnsi="Times New Roman" w:hint="eastAsia"/>
          <w:sz w:val="32"/>
          <w:szCs w:val="32"/>
        </w:rPr>
        <w:t>。认定</w:t>
      </w:r>
      <w:r>
        <w:rPr>
          <w:rFonts w:ascii="仿宋_GB2312" w:eastAsia="仿宋_GB2312" w:hAnsi="仿宋_GB2312" w:cs="仿宋_GB2312" w:hint="eastAsia"/>
          <w:sz w:val="32"/>
          <w:szCs w:val="32"/>
        </w:rPr>
        <w:t>省级跨境电商产业园区，对获评园区给予政策支持。</w:t>
      </w:r>
      <w:r>
        <w:rPr>
          <w:rFonts w:ascii="Times New Roman" w:eastAsia="仿宋_GB2312" w:hAnsi="Times New Roman"/>
          <w:sz w:val="32"/>
          <w:szCs w:val="32"/>
        </w:rPr>
        <w:t>到</w:t>
      </w:r>
      <w:r>
        <w:rPr>
          <w:rFonts w:ascii="仿宋_GB2312" w:eastAsia="仿宋_GB2312" w:hAnsi="仿宋_GB2312" w:cs="仿宋_GB2312" w:hint="eastAsia"/>
          <w:sz w:val="32"/>
          <w:szCs w:val="32"/>
        </w:rPr>
        <w:t>2027年建设50个要素集聚、主体多元、服务专业的电商产业园区。</w:t>
      </w:r>
    </w:p>
    <w:p w:rsidR="00E47E3E" w:rsidRDefault="00E47E3E" w:rsidP="00E47E3E">
      <w:pPr>
        <w:numPr>
          <w:ilvl w:val="0"/>
          <w:numId w:val="1"/>
        </w:numPr>
        <w:tabs>
          <w:tab w:val="left" w:pos="0"/>
        </w:tabs>
        <w:spacing w:line="60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促进“电商+制造”融合发展。</w:t>
      </w:r>
      <w:r>
        <w:rPr>
          <w:rFonts w:ascii="仿宋_GB2312" w:eastAsia="仿宋_GB2312" w:hAnsi="仿宋_GB2312" w:cs="仿宋_GB2312" w:hint="eastAsia"/>
          <w:sz w:val="32"/>
          <w:szCs w:val="32"/>
        </w:rPr>
        <w:t>商务部门要牵头制定企业对企业电商支持政策，推动“电商+</w:t>
      </w:r>
      <w:r>
        <w:rPr>
          <w:rFonts w:ascii="仿宋_GB2312" w:eastAsia="仿宋_GB2312" w:hAnsi="仿宋_GB2312" w:cs="仿宋_GB2312"/>
          <w:sz w:val="32"/>
          <w:szCs w:val="32"/>
        </w:rPr>
        <w:t>制造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仿宋_GB2312" w:eastAsia="仿宋_GB2312" w:hAnsi="仿宋_GB2312" w:cs="仿宋_GB2312"/>
          <w:sz w:val="32"/>
          <w:szCs w:val="32"/>
        </w:rPr>
        <w:t>融合发展</w:t>
      </w:r>
      <w:r>
        <w:rPr>
          <w:rFonts w:ascii="仿宋_GB2312" w:eastAsia="仿宋_GB2312" w:hAnsi="仿宋_GB2312" w:cs="仿宋_GB2312" w:hint="eastAsia"/>
          <w:sz w:val="32"/>
          <w:szCs w:val="32"/>
        </w:rPr>
        <w:t>。支</w:t>
      </w:r>
      <w:r>
        <w:rPr>
          <w:rFonts w:ascii="Times New Roman" w:eastAsia="仿宋_GB2312" w:hAnsi="Times New Roman"/>
          <w:bCs/>
          <w:sz w:val="32"/>
          <w:szCs w:val="32"/>
        </w:rPr>
        <w:t>持</w:t>
      </w:r>
      <w:r>
        <w:rPr>
          <w:rFonts w:ascii="Times New Roman" w:eastAsia="仿宋_GB2312" w:hAnsi="Times New Roman" w:hint="eastAsia"/>
          <w:bCs/>
          <w:sz w:val="32"/>
          <w:szCs w:val="32"/>
        </w:rPr>
        <w:t>电商</w:t>
      </w:r>
      <w:r>
        <w:rPr>
          <w:rFonts w:ascii="Times New Roman" w:eastAsia="仿宋_GB2312" w:hAnsi="Times New Roman"/>
          <w:bCs/>
          <w:sz w:val="32"/>
          <w:szCs w:val="32"/>
        </w:rPr>
        <w:t>龙头企业建设数字化</w:t>
      </w:r>
      <w:r>
        <w:rPr>
          <w:rFonts w:ascii="Times New Roman" w:eastAsia="仿宋_GB2312" w:hAnsi="Times New Roman" w:hint="eastAsia"/>
          <w:bCs/>
          <w:sz w:val="32"/>
          <w:szCs w:val="32"/>
        </w:rPr>
        <w:t>供需</w:t>
      </w:r>
      <w:r>
        <w:rPr>
          <w:rFonts w:ascii="Times New Roman" w:eastAsia="仿宋_GB2312" w:hAnsi="Times New Roman"/>
          <w:bCs/>
          <w:sz w:val="32"/>
          <w:szCs w:val="32"/>
        </w:rPr>
        <w:t>协同平台，</w:t>
      </w:r>
      <w:r>
        <w:rPr>
          <w:rFonts w:ascii="Times New Roman" w:eastAsia="仿宋_GB2312" w:hAnsi="Times New Roman" w:hint="eastAsia"/>
          <w:bCs/>
          <w:sz w:val="32"/>
          <w:szCs w:val="32"/>
        </w:rPr>
        <w:t>以销售订单带动</w:t>
      </w:r>
      <w:r>
        <w:rPr>
          <w:rFonts w:ascii="Times New Roman" w:eastAsia="仿宋_GB2312" w:hAnsi="Times New Roman"/>
          <w:bCs/>
          <w:sz w:val="32"/>
          <w:szCs w:val="32"/>
        </w:rPr>
        <w:t>原料采购、</w:t>
      </w:r>
      <w:r>
        <w:rPr>
          <w:rFonts w:ascii="Times New Roman" w:eastAsia="仿宋_GB2312" w:hAnsi="Times New Roman" w:hint="eastAsia"/>
          <w:bCs/>
          <w:sz w:val="32"/>
          <w:szCs w:val="32"/>
        </w:rPr>
        <w:t>产品设计</w:t>
      </w:r>
      <w:r>
        <w:rPr>
          <w:rFonts w:ascii="Times New Roman" w:eastAsia="仿宋_GB2312" w:hAnsi="Times New Roman"/>
          <w:bCs/>
          <w:sz w:val="32"/>
          <w:szCs w:val="32"/>
        </w:rPr>
        <w:t>、</w:t>
      </w:r>
      <w:r>
        <w:rPr>
          <w:rFonts w:ascii="Times New Roman" w:eastAsia="仿宋_GB2312" w:hAnsi="Times New Roman" w:hint="eastAsia"/>
          <w:bCs/>
          <w:sz w:val="32"/>
          <w:szCs w:val="32"/>
        </w:rPr>
        <w:t>营销配送</w:t>
      </w:r>
      <w:r>
        <w:rPr>
          <w:rFonts w:ascii="Times New Roman" w:eastAsia="仿宋_GB2312" w:hAnsi="Times New Roman"/>
          <w:bCs/>
          <w:sz w:val="32"/>
          <w:szCs w:val="32"/>
        </w:rPr>
        <w:t>等</w:t>
      </w:r>
      <w:r>
        <w:rPr>
          <w:rFonts w:ascii="Times New Roman" w:eastAsia="仿宋_GB2312" w:hAnsi="Times New Roman" w:hint="eastAsia"/>
          <w:bCs/>
          <w:sz w:val="32"/>
          <w:szCs w:val="32"/>
        </w:rPr>
        <w:t>全流程数智化</w:t>
      </w:r>
      <w:r>
        <w:rPr>
          <w:rFonts w:ascii="Times New Roman" w:eastAsia="仿宋_GB2312" w:hAnsi="Times New Roman"/>
          <w:bCs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促进电商与产业链供应链深度融合。支持头部企业建设消费电子、智能终端、现代轻工纺织、玩具创意等全球供应链管理中心。到2027年培育30家深耕产业链供应链的垂直电商平台。</w:t>
      </w:r>
    </w:p>
    <w:p w:rsidR="00E47E3E" w:rsidRDefault="00E47E3E" w:rsidP="00E47E3E">
      <w:pPr>
        <w:numPr>
          <w:ilvl w:val="0"/>
          <w:numId w:val="1"/>
        </w:numPr>
        <w:tabs>
          <w:tab w:val="left" w:pos="0"/>
        </w:tabs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支持电商新业态新模式发展。</w:t>
      </w:r>
      <w:r>
        <w:rPr>
          <w:rFonts w:ascii="仿宋_GB2312" w:eastAsia="仿宋_GB2312" w:hAnsi="仿宋_GB2312" w:cs="仿宋_GB2312"/>
          <w:sz w:val="32"/>
          <w:szCs w:val="32"/>
        </w:rPr>
        <w:t>商务部门要</w:t>
      </w:r>
      <w:r>
        <w:rPr>
          <w:rFonts w:ascii="仿宋_GB2312" w:eastAsia="仿宋_GB2312" w:hAnsi="仿宋_GB2312" w:cs="仿宋_GB2312" w:hint="eastAsia"/>
          <w:sz w:val="32"/>
          <w:szCs w:val="32"/>
        </w:rPr>
        <w:t>牵头制定电商产业支持政策，发展电商新业态，创新商业模式，促进直播电商、社交电商等新业态高质量发展。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到2027年建设</w:t>
      </w:r>
      <w:r>
        <w:rPr>
          <w:rFonts w:ascii="仿宋_GB2312" w:eastAsia="仿宋_GB2312" w:hAnsi="仿宋_GB2312" w:cs="仿宋_GB2312" w:hint="eastAsia"/>
          <w:sz w:val="32"/>
          <w:szCs w:val="32"/>
        </w:rPr>
        <w:t>50个功能丰富、场景多样、产业带动明显的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直播电商基地，培育</w:t>
      </w:r>
      <w:r>
        <w:rPr>
          <w:rFonts w:ascii="仿宋_GB2312" w:eastAsia="仿宋_GB2312" w:hAnsi="仿宋_GB2312" w:cs="仿宋_GB2312" w:hint="eastAsia"/>
          <w:sz w:val="32"/>
          <w:szCs w:val="32"/>
        </w:rPr>
        <w:t>100家直播电商头部服务机构、1000名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直播带货达人。</w:t>
      </w:r>
    </w:p>
    <w:p w:rsidR="00E47E3E" w:rsidRDefault="00E47E3E" w:rsidP="00E47E3E">
      <w:pPr>
        <w:numPr>
          <w:ilvl w:val="0"/>
          <w:numId w:val="1"/>
        </w:numPr>
        <w:tabs>
          <w:tab w:val="left" w:pos="0"/>
        </w:tabs>
        <w:spacing w:line="60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bidi="ar"/>
        </w:rPr>
        <w:t>推进跨境电商高质量发展。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商务部门要牵头制定跨境电商高质量发展支持政策。结合产业和禀赋优势，发展“跨境电商+产业带”模式，带动跨境电商企业对企业出口。支持建设一批跨境电商线下体验中心，扩大跨境电商零售进口。支持外贸企业通过跨境电商拓展销售渠道。优化欧美市场海外仓布局，加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lastRenderedPageBreak/>
        <w:t>“一带一路”沿线国家和地区、RCEP成员国海外仓建设。到2027年孵化100个具有较强</w:t>
      </w:r>
      <w:r>
        <w:rPr>
          <w:rFonts w:ascii="Times New Roman" w:eastAsia="仿宋_GB2312" w:hAnsi="Times New Roman"/>
          <w:sz w:val="32"/>
          <w:szCs w:val="32"/>
        </w:rPr>
        <w:t>辐射力和影响力的</w:t>
      </w:r>
      <w:r>
        <w:rPr>
          <w:rFonts w:ascii="仿宋_GB2312" w:eastAsia="仿宋_GB2312" w:hAnsi="仿宋_GB2312" w:cs="仿宋_GB2312" w:hint="eastAsia"/>
          <w:sz w:val="32"/>
          <w:szCs w:val="32"/>
        </w:rPr>
        <w:t>跨境电商自主品牌，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建设较大规模海外仓超</w:t>
      </w:r>
      <w:r>
        <w:rPr>
          <w:rFonts w:ascii="仿宋_GB2312" w:eastAsia="仿宋_GB2312" w:hAnsi="仿宋_GB2312" w:cs="仿宋_GB2312" w:hint="eastAsia"/>
          <w:sz w:val="32"/>
          <w:szCs w:val="32"/>
        </w:rPr>
        <w:t>500个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。</w:t>
      </w:r>
    </w:p>
    <w:p w:rsidR="00E47E3E" w:rsidRDefault="00E47E3E" w:rsidP="00E47E3E">
      <w:pPr>
        <w:numPr>
          <w:ilvl w:val="0"/>
          <w:numId w:val="1"/>
        </w:numPr>
        <w:tabs>
          <w:tab w:val="left" w:pos="0"/>
        </w:tabs>
        <w:spacing w:line="60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深化</w:t>
      </w:r>
      <w:r>
        <w:rPr>
          <w:rFonts w:ascii="黑体" w:eastAsia="黑体" w:hAnsi="黑体" w:cs="黑体" w:hint="eastAsia"/>
          <w:kern w:val="0"/>
          <w:sz w:val="32"/>
          <w:szCs w:val="32"/>
          <w:lang w:bidi="ar"/>
        </w:rPr>
        <w:t>农村地区电商发展。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商务部门要牵头协同抓好农村电子商务发展。推动农产品流通环节电商应用，在具备条件的农村地区实现县城有电商服务中心，乡镇有电商服务网点，行政村有电商服务。联合相关部门开展县域商业建设行动，扩大县级分拨中心布局，推动快递网点到镇进村，在农产品主产县（市）建设一批冷链集配中心，发挥电商在乡村振兴中的作用。</w:t>
      </w:r>
    </w:p>
    <w:p w:rsidR="00E47E3E" w:rsidRDefault="00E47E3E" w:rsidP="00E47E3E">
      <w:pPr>
        <w:numPr>
          <w:ilvl w:val="0"/>
          <w:numId w:val="1"/>
        </w:numPr>
        <w:tabs>
          <w:tab w:val="left" w:pos="0"/>
        </w:tabs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推动电商区域协同发展。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商务部门要牵头推动电商区域协同发展。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建立粤港澳跨境电商联席会议机制</w:t>
      </w:r>
      <w:r>
        <w:rPr>
          <w:rFonts w:ascii="仿宋_GB2312" w:eastAsia="仿宋_GB2312" w:hAnsi="仿宋_GB2312" w:cs="仿宋_GB2312"/>
          <w:sz w:val="32"/>
          <w:szCs w:val="32"/>
        </w:rPr>
        <w:t>，推动三地规则衔接、机制对接。</w:t>
      </w:r>
      <w:r>
        <w:rPr>
          <w:rFonts w:ascii="仿宋_GB2312" w:eastAsia="仿宋_GB2312" w:hAnsi="仿宋_GB2312" w:cs="仿宋_GB2312" w:hint="eastAsia"/>
          <w:sz w:val="32"/>
          <w:szCs w:val="32"/>
        </w:rPr>
        <w:t>鼓励珠三角地区与粤东粤西粤北地区开展跨区电商合作，在“湾+带”“双核+双副中心”等协作基础上，建立电商协作机制，带动民族地区和老区苏区电商发展。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支持广州、深圳建设跨境电商国际枢纽城市，珠海、佛山、东莞建设跨境电商区域核心城市，汕头、湛江、清远建设跨境电商区域龙头城市，带动全省跨境电商均衡协调发展。</w:t>
      </w:r>
    </w:p>
    <w:p w:rsidR="00E47E3E" w:rsidRDefault="00E47E3E" w:rsidP="00E47E3E">
      <w:pPr>
        <w:numPr>
          <w:ilvl w:val="0"/>
          <w:numId w:val="1"/>
        </w:numPr>
        <w:tabs>
          <w:tab w:val="left" w:pos="0"/>
        </w:tabs>
        <w:spacing w:line="600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加强电商标准和诚信建设。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商务部门要牵头协同推进电商标准和诚信体系建设。引导支持企业参与或承担电商领域标准制定。</w:t>
      </w:r>
      <w:r>
        <w:rPr>
          <w:rFonts w:ascii="仿宋_GB2312" w:eastAsia="仿宋_GB2312" w:hAnsi="仿宋_GB2312" w:cs="仿宋_GB2312" w:hint="eastAsia"/>
          <w:sz w:val="32"/>
          <w:szCs w:val="32"/>
        </w:rPr>
        <w:t>鼓励电商平台、行业组织和研究机构等制定电商领域数据采集、分析、应用相关标准与接口规范，开展电商数据开发应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用。加强电商诚信体系建设，鼓励依法设立的信用评价机构开展电商信用评价。</w:t>
      </w:r>
    </w:p>
    <w:p w:rsidR="00E47E3E" w:rsidRDefault="00E47E3E" w:rsidP="00E47E3E">
      <w:pPr>
        <w:numPr>
          <w:ilvl w:val="0"/>
          <w:numId w:val="1"/>
        </w:numPr>
        <w:tabs>
          <w:tab w:val="left" w:pos="0"/>
        </w:tabs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优化电商发展环境。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商务部门要牵头抓好电子商务发展环境优化工作。联合海关、税务、外汇管理等部门，健全完善适应跨境电商业务特点的监管服务体系。鼓励保险机构开发符合电商特点和市场需求的保险产品和服务，有效分担电商经营风险。</w:t>
      </w:r>
      <w:r>
        <w:rPr>
          <w:rFonts w:ascii="仿宋_GB2312" w:eastAsia="仿宋_GB2312" w:hAnsi="仿宋_GB2312" w:cs="仿宋_GB2312" w:hint="eastAsia"/>
          <w:sz w:val="32"/>
          <w:szCs w:val="32"/>
        </w:rPr>
        <w:t>统筹利用中央和地方现有资金渠道，</w:t>
      </w:r>
      <w:r>
        <w:rPr>
          <w:rFonts w:ascii="仿宋_GB2312" w:eastAsia="仿宋_GB2312" w:hAnsi="仿宋_GB2312" w:cs="仿宋_GB2312"/>
          <w:sz w:val="32"/>
          <w:szCs w:val="32"/>
        </w:rPr>
        <w:t>支持</w:t>
      </w:r>
      <w:r>
        <w:rPr>
          <w:rFonts w:ascii="仿宋_GB2312" w:eastAsia="仿宋_GB2312" w:hAnsi="仿宋_GB2312" w:cs="仿宋_GB2312" w:hint="eastAsia"/>
          <w:sz w:val="32"/>
          <w:szCs w:val="32"/>
        </w:rPr>
        <w:t>电商</w:t>
      </w:r>
      <w:r>
        <w:rPr>
          <w:rFonts w:ascii="仿宋_GB2312" w:eastAsia="仿宋_GB2312" w:hAnsi="仿宋_GB2312" w:cs="仿宋_GB2312"/>
          <w:sz w:val="32"/>
          <w:szCs w:val="32"/>
        </w:rPr>
        <w:t>产业</w:t>
      </w:r>
      <w:r>
        <w:rPr>
          <w:rFonts w:ascii="仿宋_GB2312" w:eastAsia="仿宋_GB2312" w:hAnsi="仿宋_GB2312" w:cs="仿宋_GB2312" w:hint="eastAsia"/>
          <w:sz w:val="32"/>
          <w:szCs w:val="32"/>
        </w:rPr>
        <w:t>发展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。</w:t>
      </w:r>
    </w:p>
    <w:p w:rsidR="00E47E3E" w:rsidRDefault="00E47E3E" w:rsidP="00E47E3E">
      <w:pPr>
        <w:numPr>
          <w:ilvl w:val="0"/>
          <w:numId w:val="1"/>
        </w:numPr>
        <w:tabs>
          <w:tab w:val="left" w:pos="0"/>
        </w:tabs>
        <w:spacing w:line="60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sz w:val="32"/>
          <w:szCs w:val="32"/>
        </w:rPr>
        <w:t>加强电商监督管理。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商务部门要协同推进电子商务相关监督管理，主动联合市场监管、公安、网信等部门，按照各自职责，依法做好电商监督管理相关工作。</w:t>
      </w:r>
    </w:p>
    <w:p w:rsidR="00E47E3E" w:rsidRDefault="00E47E3E" w:rsidP="00E47E3E">
      <w:pPr>
        <w:spacing w:line="600" w:lineRule="exact"/>
        <w:rPr>
          <w:sz w:val="32"/>
          <w:szCs w:val="32"/>
        </w:rPr>
      </w:pPr>
    </w:p>
    <w:p w:rsidR="00207EAA" w:rsidRDefault="00207EAA">
      <w:bookmarkStart w:id="0" w:name="_GoBack"/>
      <w:bookmarkEnd w:id="0"/>
    </w:p>
    <w:sectPr w:rsidR="00207EAA">
      <w:footerReference w:type="default" r:id="rId6"/>
      <w:pgSz w:w="11906" w:h="16838"/>
      <w:pgMar w:top="2098" w:right="1474" w:bottom="1984" w:left="1587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47E3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79400" cy="21717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47E3E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29.2pt;margin-top:0;width:22pt;height:17.1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9W7vwIAALIFAAAOAAAAZHJzL2Uyb0RvYy54bWysVMtu1DAU3SPxD5b3aR5kHomaQe1kgpDK&#10;Qyp8gCdxEovEtmx3MgWxhT9gxYY939Xv4NppptNWSAjIIrqxr4/vuefknj7f9x3aUaWZ4BkOTwKM&#10;KC9FxXiT4ffvCm+JkTaEV6QTnGb4mmr8fPX0yekgUxqJVnQVVQhAuE4HmeHWGJn6vi5b2hN9IiTl&#10;sFkL1RMDn6rxK0UGQO87PwqCuT8IVUklSqo1rObjJl45/LqmpXlT15oa1GUYajPurdx7a9/+6pSk&#10;jSKyZeVtGeQvqugJ43DpASonhqArxR5B9axUQovanJSi90Vds5I6DsAmDB6wuWyJpI4LNEfLQ5v0&#10;/4MtX+/eKsQq0A4jTnqQ6Obb15vvP29+fEGhbc8gdQpZlxLyzP5c7G2qparlhSg/aMTFuiW8oWdK&#10;iaGlpILy3En/6OiIoy3IdnglKriHXBnhgPa16i0gdAMBOsh0fZCG7g0qYTFaJHEAOyVsReEiXDjp&#10;fJJOh6XS5gUVPbJBhhUo78DJ7kIboAGpU4q9i4uCdZ1Tv+P3FiBxXIGr4ajds0U4MT8lQbJZbpax&#10;F0fzjRcHee6dFevYmxfhYpY/y9frPPxs7w3jtGVVRbm9ZjJWGP+ZcLcWHy1xsJYWHassnC1Jq2a7&#10;7hTaETB24R4rFhR/lObfL8NtA5cHlMIoDs6jxCvmy4UXF/HMSxbB0gvC5DyZB3ES58V9SheM03+n&#10;hIYMJ7NoBpr2EvyneTPa6rc0A/c8pknSnhmYIh3rM7w8JJHUmnHDK6eyIawb46OuWCZ3XYHmTZo7&#10;61q3jr41++0eUKyft6K6BhMrASYDP8Log6AV6iNGA4yRDHOYcxh1Lzn8BnbiTIGagu0UEF7CwQwb&#10;jMZwbcbJdCUVa1rAnX60M/hVCuZsfFcDFG4/YDA4CrdDzE6e42+XdTdqV78AAAD//wMAUEsDBBQA&#10;BgAIAAAAIQBd0CGv1wAAAAMBAAAPAAAAZHJzL2Rvd25yZXYueG1sTI/BTsMwEETvSPyDtUjcqEOJ&#10;oApxqqpSL9xaEBI3N97GEfY6st00+Xu2XOAy0mhWM2/r9eSdGDGmPpCCx0UBAqkNpqdOwcf77mEF&#10;ImVNRrtAqGDGBOvm9qbWlQkX2uN4yJ3gEkqVVmBzHiopU2vR67QIAxJnpxC9zmxjJ03UFy73Ti6L&#10;4ll63RMvWD3g1mL7fTh7BS/TZ8Ah4Ra/TmMbbT+v3Nus1P3dtHkFkXHKf8dwxWd0aJjpGM5kknAK&#10;+JH8q5yVJbujgqdyCbKp5X/25gcAAP//AwBQSwECLQAUAAYACAAAACEAtoM4kv4AAADhAQAAEwAA&#10;AAAAAAAAAAAAAAAAAAAAW0NvbnRlbnRfVHlwZXNdLnhtbFBLAQItABQABgAIAAAAIQA4/SH/1gAA&#10;AJQBAAALAAAAAAAAAAAAAAAAAC8BAABfcmVscy8ucmVsc1BLAQItABQABgAIAAAAIQABs9W7vwIA&#10;ALIFAAAOAAAAAAAAAAAAAAAAAC4CAABkcnMvZTJvRG9jLnhtbFBLAQItABQABgAIAAAAIQBd0CGv&#10;1wAAAAMBAAAPAAAAAAAAAAAAAAAAABkFAABkcnMvZG93bnJldi54bWxQSwUGAAAAAAQABADzAAAA&#10;HQYAAAAA&#10;" filled="f" stroked="f">
              <v:textbox style="mso-fit-shape-to-text:t" inset="0,0,0,0">
                <w:txbxContent>
                  <w:p w:rsidR="00000000" w:rsidRDefault="00E47E3E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noProof/>
                        <w:sz w:val="28"/>
                        <w:szCs w:val="28"/>
                      </w:rPr>
                      <w:t>- 4 -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06CD"/>
    <w:multiLevelType w:val="singleLevel"/>
    <w:tmpl w:val="FFFF06CD"/>
    <w:lvl w:ilvl="0">
      <w:start w:val="1"/>
      <w:numFmt w:val="chineseCounting"/>
      <w:suff w:val="nothing"/>
      <w:lvlText w:val="%1、"/>
      <w:lvlJc w:val="left"/>
      <w:pPr>
        <w:tabs>
          <w:tab w:val="num" w:pos="0"/>
        </w:tabs>
        <w:ind w:left="0" w:firstLine="40"/>
      </w:pPr>
      <w:rPr>
        <w:rFonts w:eastAsia="黑体" w:hint="eastAsia"/>
        <w:sz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6"/>
  <w:drawingGridVerticalSpacing w:val="583"/>
  <w:displayHorizontalDrawingGridEvery w:val="0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3E"/>
    <w:rsid w:val="00104CA8"/>
    <w:rsid w:val="00207EAA"/>
    <w:rsid w:val="00233E66"/>
    <w:rsid w:val="002451F9"/>
    <w:rsid w:val="007A6CD8"/>
    <w:rsid w:val="00942B59"/>
    <w:rsid w:val="009772E3"/>
    <w:rsid w:val="009A57F4"/>
    <w:rsid w:val="00C31013"/>
    <w:rsid w:val="00C4042B"/>
    <w:rsid w:val="00C52895"/>
    <w:rsid w:val="00E4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Heading1"/>
    <w:qFormat/>
    <w:rsid w:val="00E47E3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1"/>
    <w:basedOn w:val="a"/>
    <w:next w:val="a"/>
    <w:qFormat/>
    <w:rsid w:val="00E47E3E"/>
    <w:pPr>
      <w:keepNext/>
      <w:keepLines/>
      <w:spacing w:before="340" w:after="330" w:line="576" w:lineRule="auto"/>
      <w:textAlignment w:val="baseline"/>
    </w:pPr>
    <w:rPr>
      <w:b/>
      <w:bCs/>
      <w:kern w:val="44"/>
      <w:sz w:val="44"/>
      <w:szCs w:val="44"/>
    </w:rPr>
  </w:style>
  <w:style w:type="paragraph" w:styleId="a3">
    <w:name w:val="footer"/>
    <w:basedOn w:val="a"/>
    <w:link w:val="Char"/>
    <w:qFormat/>
    <w:rsid w:val="00E47E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E47E3E"/>
    <w:rPr>
      <w:rFonts w:ascii="Calibri" w:hAnsi="Calibri"/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Heading1"/>
    <w:qFormat/>
    <w:rsid w:val="00E47E3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1"/>
    <w:basedOn w:val="a"/>
    <w:next w:val="a"/>
    <w:qFormat/>
    <w:rsid w:val="00E47E3E"/>
    <w:pPr>
      <w:keepNext/>
      <w:keepLines/>
      <w:spacing w:before="340" w:after="330" w:line="576" w:lineRule="auto"/>
      <w:textAlignment w:val="baseline"/>
    </w:pPr>
    <w:rPr>
      <w:b/>
      <w:bCs/>
      <w:kern w:val="44"/>
      <w:sz w:val="44"/>
      <w:szCs w:val="44"/>
    </w:rPr>
  </w:style>
  <w:style w:type="paragraph" w:styleId="a3">
    <w:name w:val="footer"/>
    <w:basedOn w:val="a"/>
    <w:link w:val="Char"/>
    <w:qFormat/>
    <w:rsid w:val="00E47E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E47E3E"/>
    <w:rPr>
      <w:rFonts w:ascii="Calibri" w:hAnsi="Calibr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267</Words>
  <Characters>1525</Characters>
  <Application>Microsoft Office Word</Application>
  <DocSecurity>0</DocSecurity>
  <Lines>12</Lines>
  <Paragraphs>3</Paragraphs>
  <ScaleCrop>false</ScaleCrop>
  <Company>微软中国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2023-06-20T01:35:00Z</dcterms:created>
  <dcterms:modified xsi:type="dcterms:W3CDTF">2023-06-20T01:35:00Z</dcterms:modified>
</cp:coreProperties>
</file>