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document.xml" ContentType="application/vnd.openxmlformats-officedocument.wordprocessingml.document.main+xml"/>
  <Override PartName="/word/embeddings/Microsoft_Office_Excel_Worksheet1.xlsx" ContentType="application/vnd.openxmlformats-officedocument.spreadsheetml.sheet"/>
  <Override PartName="/word/embeddings/Microsoft_Office_Excel_Worksheet2.xlsx" ContentType="application/vnd.openxmlformats-officedocument.spreadsheetml.sheet"/>
  <Override PartName="/word/embeddings/Microsoft_Office_Excel_Worksheet3.xlsx" ContentType="application/vnd.openxmlformats-officedocument.spreadsheetml.sheet"/>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pPr>
        <w:ind w:firstLine="630" w:firstLineChars="300"/>
        <w:jc w:val="left"/>
        <w:rPr>
          <w:rFonts w:asciiTheme="minorHAnsi" w:eastAsiaTheme="minorEastAsia" w:hAnsiTheme="minorHAnsi" w:cstheme="minorBidi"/>
          <w:b/>
          <w:sz w:val="44"/>
          <w:szCs w:val="44"/>
        </w:rPr>
      </w:pPr>
      <w:bookmarkStart w:id="0" w:name="_Hlk112600258"/>
      <w:bookmarkEnd w:id="0"/>
      <w:bookmarkStart w:id="1" w:name="_Toc486952611"/>
    </w:p>
    <w:p>
      <w:pPr>
        <w:spacing w:line="720" w:lineRule="auto"/>
        <w:ind w:firstLine="630" w:firstLineChars="300"/>
        <w:jc w:val="left"/>
        <w:rPr>
          <w:rFonts w:ascii="楷体" w:eastAsia="楷体" w:hAnsi="楷体" w:cstheme="minorBidi"/>
          <w:b/>
          <w:sz w:val="52"/>
          <w:szCs w:val="52"/>
        </w:rPr>
      </w:pPr>
    </w:p>
    <w:p>
      <w:pPr>
        <w:spacing w:line="720" w:lineRule="auto"/>
        <w:jc w:val="center"/>
        <w:rPr>
          <w:rFonts w:ascii="方正小标宋简体" w:eastAsia="方正小标宋简体" w:hAnsi="楷体" w:cstheme="minorBidi"/>
          <w:b/>
          <w:sz w:val="52"/>
          <w:szCs w:val="52"/>
        </w:rPr>
      </w:pPr>
      <w:r>
        <w:rPr>
          <w:rFonts w:ascii="方正小标宋简体" w:eastAsia="方正小标宋简体" w:hAnsi="楷体" w:cstheme="minorBidi" w:hint="eastAsia"/>
          <w:b/>
          <w:sz w:val="52"/>
          <w:szCs w:val="52"/>
        </w:rPr>
        <w:t>202</w:t>
      </w:r>
      <w:r>
        <w:rPr>
          <w:rFonts w:ascii="方正小标宋简体" w:eastAsia="方正小标宋简体" w:hAnsi="楷体" w:cstheme="minorBidi"/>
          <w:b/>
          <w:sz w:val="52"/>
          <w:szCs w:val="52"/>
        </w:rPr>
        <w:t>1</w:t>
      </w:r>
      <w:r>
        <w:rPr>
          <w:rFonts w:ascii="方正小标宋简体" w:eastAsia="方正小标宋简体" w:hAnsi="楷体" w:cstheme="minorBidi" w:hint="eastAsia"/>
          <w:b/>
          <w:sz w:val="52"/>
          <w:szCs w:val="52"/>
        </w:rPr>
        <w:t>年度江海区地质灾害项目</w:t>
      </w:r>
    </w:p>
    <w:p>
      <w:pPr>
        <w:spacing w:line="720" w:lineRule="auto"/>
        <w:jc w:val="center"/>
        <w:rPr>
          <w:rFonts w:ascii="方正小标宋简体" w:eastAsia="方正小标宋简体" w:hAnsi="楷体" w:cstheme="minorBidi"/>
          <w:b/>
          <w:sz w:val="52"/>
          <w:szCs w:val="52"/>
        </w:rPr>
      </w:pPr>
      <w:r>
        <w:rPr>
          <w:rFonts w:ascii="方正小标宋简体" w:eastAsia="方正小标宋简体" w:hAnsi="楷体" w:cstheme="minorBidi" w:hint="eastAsia"/>
          <w:b/>
          <w:sz w:val="52"/>
          <w:szCs w:val="52"/>
        </w:rPr>
        <w:t>重点绩效评价报告</w:t>
      </w:r>
    </w:p>
    <w:p>
      <w:pPr>
        <w:rPr>
          <w:rFonts w:ascii="黑体" w:eastAsia="黑体" w:hAnsi="黑体"/>
          <w:b/>
          <w:sz w:val="32"/>
          <w:szCs w:val="32"/>
        </w:rPr>
      </w:pPr>
    </w:p>
    <w:p>
      <w:pPr>
        <w:spacing w:line="560" w:lineRule="exact"/>
        <w:jc w:val="center"/>
        <w:rPr>
          <w:rFonts w:ascii="方正小标宋简体" w:eastAsia="方正小标宋简体" w:hAnsi="楷体" w:cstheme="minorBidi"/>
          <w:b/>
          <w:sz w:val="32"/>
        </w:rPr>
      </w:pPr>
    </w:p>
    <w:p>
      <w:pPr>
        <w:spacing w:line="560" w:lineRule="exact"/>
        <w:jc w:val="center"/>
        <w:rPr>
          <w:rFonts w:ascii="仿宋_GB2312" w:eastAsia="仿宋_GB2312" w:hAnsi="楷体" w:cstheme="minorBidi"/>
          <w:b/>
          <w:sz w:val="32"/>
        </w:rPr>
      </w:pPr>
      <w:r>
        <w:rPr>
          <w:rFonts w:ascii="仿宋_GB2312" w:eastAsia="仿宋_GB2312" w:hAnsi="楷体" w:cstheme="minorBidi" w:hint="eastAsia"/>
          <w:b/>
          <w:sz w:val="32"/>
        </w:rPr>
        <w:t>项目主管单位：江门市江海区自然资源局</w:t>
      </w:r>
    </w:p>
    <w:p>
      <w:pPr>
        <w:rPr>
          <w:rFonts w:asciiTheme="minorHAnsi" w:eastAsiaTheme="minorEastAsia" w:hAnsiTheme="minorHAnsi" w:cstheme="minorBidi"/>
          <w:b/>
          <w:sz w:val="44"/>
          <w:szCs w:val="44"/>
        </w:rPr>
      </w:pPr>
    </w:p>
    <w:p>
      <w:pPr>
        <w:rPr>
          <w:rFonts w:eastAsia="仿宋_GB2312" w:asciiTheme="minorHAnsi" w:hAnsiTheme="minorHAnsi" w:cstheme="minorBidi"/>
          <w:b/>
          <w:spacing w:val="-20"/>
          <w:sz w:val="32"/>
          <w:szCs w:val="32"/>
        </w:rPr>
      </w:pPr>
    </w:p>
    <w:p>
      <w:pPr>
        <w:ind w:firstLine="1575" w:firstLineChars="750"/>
        <w:rPr>
          <w:rFonts w:eastAsia="仿宋_GB2312" w:asciiTheme="minorHAnsi" w:hAnsiTheme="minorHAnsi" w:cstheme="minorBidi"/>
          <w:b/>
          <w:spacing w:val="-20"/>
          <w:sz w:val="32"/>
          <w:szCs w:val="32"/>
        </w:rPr>
      </w:pPr>
    </w:p>
    <w:p>
      <w:pPr>
        <w:ind w:firstLine="1575" w:firstLineChars="750"/>
        <w:rPr>
          <w:rFonts w:eastAsia="仿宋_GB2312" w:asciiTheme="minorHAnsi" w:hAnsiTheme="minorHAnsi" w:cstheme="minorBidi"/>
          <w:b/>
          <w:spacing w:val="-20"/>
          <w:sz w:val="32"/>
          <w:szCs w:val="32"/>
        </w:rPr>
      </w:pPr>
    </w:p>
    <w:p>
      <w:pPr>
        <w:ind w:firstLine="1575" w:firstLineChars="750"/>
        <w:rPr>
          <w:rFonts w:eastAsia="仿宋_GB2312" w:asciiTheme="minorHAnsi" w:hAnsiTheme="minorHAnsi" w:cstheme="minorBidi"/>
          <w:b/>
          <w:spacing w:val="-20"/>
          <w:sz w:val="32"/>
          <w:szCs w:val="32"/>
        </w:rPr>
      </w:pPr>
    </w:p>
    <w:p>
      <w:pPr>
        <w:ind w:firstLine="1575" w:firstLineChars="750"/>
        <w:rPr>
          <w:rFonts w:eastAsia="仿宋_GB2312" w:asciiTheme="minorHAnsi" w:hAnsiTheme="minorHAnsi" w:cstheme="minorBidi"/>
          <w:b/>
          <w:spacing w:val="-20"/>
          <w:sz w:val="32"/>
          <w:szCs w:val="32"/>
        </w:rPr>
      </w:pPr>
    </w:p>
    <w:p>
      <w:pPr>
        <w:ind w:firstLine="1575" w:firstLineChars="750"/>
        <w:rPr>
          <w:rFonts w:eastAsia="仿宋_GB2312" w:asciiTheme="minorHAnsi" w:hAnsiTheme="minorHAnsi" w:cstheme="minorBidi"/>
          <w:b/>
          <w:spacing w:val="-20"/>
          <w:sz w:val="32"/>
          <w:szCs w:val="32"/>
        </w:rPr>
      </w:pPr>
    </w:p>
    <w:p>
      <w:pPr>
        <w:rPr>
          <w:rFonts w:eastAsia="仿宋_GB2312" w:asciiTheme="minorHAnsi" w:hAnsiTheme="minorHAnsi" w:cstheme="minorBidi"/>
          <w:b/>
          <w:spacing w:val="-20"/>
          <w:sz w:val="32"/>
          <w:szCs w:val="32"/>
        </w:rPr>
      </w:pPr>
    </w:p>
    <w:p>
      <w:pPr>
        <w:ind w:firstLine="420" w:firstLineChars="200"/>
        <w:rPr>
          <w:rFonts w:eastAsia="仿宋_GB2312" w:asciiTheme="minorHAnsi" w:hAnsiTheme="minorHAnsi" w:cstheme="minorBidi"/>
          <w:b/>
          <w:spacing w:val="-20"/>
          <w:sz w:val="32"/>
          <w:szCs w:val="32"/>
        </w:rPr>
      </w:pPr>
    </w:p>
    <w:p>
      <w:pPr>
        <w:spacing w:line="560" w:lineRule="exact"/>
        <w:rPr>
          <w:rFonts w:eastAsia="仿宋_GB2312" w:cstheme="minorBidi"/>
          <w:b/>
          <w:sz w:val="32"/>
          <w:szCs w:val="44"/>
        </w:rPr>
      </w:pPr>
      <w:r>
        <w:rPr>
          <w:rFonts w:eastAsia="仿宋_GB2312" w:cstheme="minorBidi" w:hint="eastAsia"/>
          <w:b/>
          <w:sz w:val="32"/>
          <w:szCs w:val="44"/>
        </w:rPr>
        <w:t>委  托  单  位：江门市江海区财政局</w:t>
      </w:r>
    </w:p>
    <w:p>
      <w:pPr>
        <w:spacing w:line="560" w:lineRule="exact"/>
        <w:rPr>
          <w:rFonts w:eastAsia="仿宋_GB2312" w:cstheme="minorBidi"/>
          <w:b/>
          <w:spacing w:val="-4"/>
          <w:sz w:val="32"/>
          <w:szCs w:val="44"/>
        </w:rPr>
      </w:pPr>
      <w:r>
        <w:rPr>
          <w:rFonts w:eastAsia="仿宋_GB2312" w:cstheme="minorBidi" w:hint="eastAsia"/>
          <w:b/>
          <w:spacing w:val="-4"/>
          <w:sz w:val="32"/>
          <w:szCs w:val="44"/>
        </w:rPr>
        <w:t>第三方评价机构：广东经华资产评估土地房地产估价有限公司</w:t>
      </w:r>
    </w:p>
    <w:p>
      <w:pPr>
        <w:spacing w:line="560" w:lineRule="exact"/>
        <w:ind w:firstLine="420" w:firstLineChars="200"/>
        <w:jc w:val="center"/>
        <w:rPr>
          <w:rFonts w:eastAsia="仿宋_GB2312" w:cstheme="minorBidi"/>
          <w:b/>
          <w:sz w:val="32"/>
          <w:szCs w:val="44"/>
        </w:rPr>
      </w:pPr>
      <w:bookmarkStart w:id="2" w:name="_GoBack"/>
      <w:bookmarkEnd w:id="2"/>
      <w:r>
        <w:rPr>
          <w:rFonts w:eastAsia="仿宋_GB2312" w:cstheme="minorBidi" w:hint="eastAsia"/>
          <w:b/>
          <w:sz w:val="32"/>
          <w:szCs w:val="44"/>
        </w:rPr>
        <w:t>202</w:t>
      </w:r>
      <w:r>
        <w:rPr>
          <w:rFonts w:eastAsia="仿宋_GB2312" w:cstheme="minorBidi"/>
          <w:b/>
          <w:sz w:val="32"/>
          <w:szCs w:val="44"/>
        </w:rPr>
        <w:t>2</w:t>
      </w:r>
      <w:r>
        <w:rPr>
          <w:rFonts w:eastAsia="仿宋_GB2312" w:cstheme="minorBidi" w:hint="eastAsia"/>
          <w:b/>
          <w:sz w:val="32"/>
          <w:szCs w:val="44"/>
        </w:rPr>
        <w:t>年</w:t>
      </w:r>
      <w:r>
        <w:rPr>
          <w:rFonts w:eastAsia="仿宋_GB2312" w:cstheme="minorBidi" w:hint="eastAsia"/>
          <w:b/>
          <w:sz w:val="32"/>
          <w:szCs w:val="44"/>
          <w:lang w:val="en-US" w:eastAsia="zh-CN"/>
        </w:rPr>
        <w:t>10</w:t>
      </w:r>
      <w:r>
        <w:rPr>
          <w:rFonts w:eastAsia="仿宋_GB2312" w:cstheme="minorBidi" w:hint="eastAsia"/>
          <w:b/>
          <w:sz w:val="32"/>
          <w:szCs w:val="44"/>
        </w:rPr>
        <w:t>月</w:t>
      </w:r>
    </w:p>
    <w:p>
      <w:pPr>
        <w:widowControl/>
        <w:spacing w:line="560" w:lineRule="exact"/>
        <w:ind w:firstLine="420" w:firstLineChars="200"/>
        <w:rPr>
          <w:rFonts w:ascii="楷体" w:eastAsia="楷体" w:hAnsi="楷体" w:cs="Arial"/>
          <w:b/>
          <w:kern w:val="0"/>
          <w:sz w:val="30"/>
          <w:szCs w:val="30"/>
        </w:rPr>
        <w:sectPr>
          <w:pgSz w:w="11906" w:h="16838"/>
          <w:pgMar w:top="1440" w:right="1800" w:bottom="1440" w:left="1800" w:header="851" w:footer="992" w:gutter="0"/>
          <w:pgNumType w:start="1"/>
          <w:cols w:num="1" w:space="425"/>
          <w:docGrid w:type="lines" w:linePitch="312" w:charSpace="0"/>
        </w:sectPr>
      </w:pPr>
    </w:p>
    <w:p>
      <w:pPr>
        <w:widowControl/>
        <w:spacing w:line="560" w:lineRule="exact"/>
        <w:ind w:firstLine="420" w:firstLineChars="200"/>
        <w:rPr>
          <w:rFonts w:ascii="楷体" w:eastAsia="楷体" w:hAnsi="楷体" w:cs="Arial"/>
          <w:b/>
          <w:kern w:val="0"/>
          <w:sz w:val="30"/>
          <w:szCs w:val="30"/>
        </w:rPr>
      </w:pPr>
    </w:p>
    <w:p>
      <w:pPr>
        <w:jc w:val="center"/>
        <w:rPr>
          <w:rFonts w:ascii="黑体" w:eastAsia="黑体" w:hAnsi="黑体"/>
          <w:b/>
          <w:sz w:val="32"/>
          <w:szCs w:val="32"/>
        </w:rPr>
      </w:pPr>
      <w:r>
        <w:rPr>
          <w:rFonts w:ascii="黑体" w:eastAsia="黑体" w:hAnsi="黑体" w:hint="eastAsia"/>
          <w:b/>
          <w:sz w:val="32"/>
          <w:szCs w:val="32"/>
        </w:rPr>
        <w:t>摘  要</w:t>
      </w:r>
    </w:p>
    <w:p>
      <w:pPr>
        <w:widowControl/>
        <w:tabs>
          <w:tab w:val="left" w:pos="1239"/>
        </w:tabs>
        <w:spacing w:line="560" w:lineRule="exact"/>
        <w:ind w:firstLine="420" w:firstLineChars="200"/>
        <w:jc w:val="left"/>
        <w:rPr>
          <w:rFonts w:ascii="楷体" w:eastAsia="楷体" w:hAnsi="楷体" w:cs="Arial"/>
          <w:b/>
          <w:kern w:val="0"/>
          <w:sz w:val="30"/>
          <w:szCs w:val="30"/>
        </w:rPr>
      </w:pPr>
    </w:p>
    <w:p>
      <w:pPr>
        <w:widowControl/>
        <w:tabs>
          <w:tab w:val="left" w:pos="1239"/>
        </w:tabs>
        <w:spacing w:line="560" w:lineRule="exact"/>
        <w:ind w:firstLine="420" w:firstLineChars="200"/>
        <w:jc w:val="left"/>
        <w:rPr>
          <w:rFonts w:ascii="楷体" w:eastAsia="楷体" w:hAnsi="楷体" w:cs="Arial"/>
          <w:b/>
          <w:kern w:val="0"/>
          <w:sz w:val="30"/>
          <w:szCs w:val="30"/>
        </w:rPr>
      </w:pPr>
      <w:r>
        <w:rPr>
          <w:rFonts w:ascii="楷体" w:eastAsia="楷体" w:hAnsi="楷体" w:cs="Arial" w:hint="eastAsia"/>
          <w:b/>
          <w:kern w:val="0"/>
          <w:sz w:val="30"/>
          <w:szCs w:val="30"/>
        </w:rPr>
        <w:t>为深入贯彻落实习近平总书记对防汛抢险救灾工作的重要指示精神，减少或避免地质灾害造成人员伤亡和经济损失，确保人民群众生命财产安全，保障经济社会可持续发展，江门市江海区自然资源局根据相关文件要求，组织开展2</w:t>
      </w:r>
      <w:r>
        <w:rPr>
          <w:rFonts w:ascii="楷体" w:eastAsia="楷体" w:hAnsi="楷体" w:cs="Arial"/>
          <w:b/>
          <w:kern w:val="0"/>
          <w:sz w:val="30"/>
          <w:szCs w:val="30"/>
        </w:rPr>
        <w:t>021</w:t>
      </w:r>
      <w:r>
        <w:rPr>
          <w:rFonts w:ascii="楷体" w:eastAsia="楷体" w:hAnsi="楷体" w:cs="Arial" w:hint="eastAsia"/>
          <w:b/>
          <w:kern w:val="0"/>
          <w:sz w:val="30"/>
          <w:szCs w:val="30"/>
        </w:rPr>
        <w:t>年度江海区地质灾害项目。</w:t>
      </w:r>
    </w:p>
    <w:p>
      <w:pPr>
        <w:widowControl/>
        <w:tabs>
          <w:tab w:val="left" w:pos="1239"/>
        </w:tabs>
        <w:spacing w:line="560" w:lineRule="exact"/>
        <w:ind w:firstLine="420" w:firstLineChars="200"/>
        <w:jc w:val="left"/>
        <w:rPr>
          <w:rFonts w:ascii="楷体" w:eastAsia="楷体" w:hAnsi="楷体" w:cs="Arial"/>
          <w:b/>
          <w:kern w:val="0"/>
          <w:sz w:val="30"/>
          <w:szCs w:val="30"/>
        </w:rPr>
      </w:pPr>
      <w:r>
        <w:rPr>
          <w:rFonts w:ascii="楷体" w:eastAsia="楷体" w:hAnsi="楷体" w:cs="Arial" w:hint="eastAsia"/>
          <w:b/>
          <w:kern w:val="0"/>
          <w:sz w:val="30"/>
          <w:szCs w:val="30"/>
        </w:rPr>
        <w:t xml:space="preserve">为加强和提升专项的绩效管理水平，提升财政资金配置效率和使用效率，江门市江海区财政局委托广东经华资产评估土地房地产估价有限公司对江海区地质灾害项目开展重点绩效评价。 </w:t>
      </w:r>
      <w:r>
        <w:rPr>
          <w:rFonts w:ascii="楷体" w:eastAsia="楷体" w:hAnsi="楷体" w:cs="Arial"/>
          <w:b/>
          <w:kern w:val="0"/>
          <w:sz w:val="30"/>
          <w:szCs w:val="30"/>
        </w:rPr>
        <w:t xml:space="preserve">    </w:t>
      </w:r>
    </w:p>
    <w:p>
      <w:pPr>
        <w:widowControl/>
        <w:tabs>
          <w:tab w:val="left" w:pos="1239"/>
        </w:tabs>
        <w:spacing w:line="560" w:lineRule="exact"/>
        <w:ind w:firstLine="420" w:firstLineChars="200"/>
        <w:jc w:val="left"/>
        <w:rPr>
          <w:rFonts w:ascii="楷体" w:eastAsia="楷体" w:hAnsi="楷体" w:cs="Arial"/>
          <w:b/>
          <w:kern w:val="0"/>
          <w:sz w:val="30"/>
          <w:szCs w:val="30"/>
        </w:rPr>
      </w:pPr>
      <w:r>
        <w:rPr>
          <w:rFonts w:ascii="楷体" w:eastAsia="楷体" w:hAnsi="楷体" w:cs="Arial" w:hint="eastAsia"/>
          <w:b/>
          <w:kern w:val="0"/>
          <w:sz w:val="30"/>
          <w:szCs w:val="30"/>
        </w:rPr>
        <w:t>2021年度江海区地质灾害项目年初预算安排资金255万元，年中追加资金400万元，全年预算总安排资金655万元，实际支出资金653.4万元。项目综合评价得分为8</w:t>
      </w:r>
      <w:r>
        <w:rPr>
          <w:rFonts w:ascii="楷体" w:eastAsia="楷体" w:hAnsi="楷体" w:cs="Arial"/>
          <w:b/>
          <w:kern w:val="0"/>
          <w:sz w:val="30"/>
          <w:szCs w:val="30"/>
        </w:rPr>
        <w:t>5</w:t>
      </w:r>
      <w:r>
        <w:rPr>
          <w:rFonts w:ascii="楷体" w:eastAsia="楷体" w:hAnsi="楷体" w:cs="Arial" w:hint="eastAsia"/>
          <w:b/>
          <w:kern w:val="0"/>
          <w:sz w:val="30"/>
          <w:szCs w:val="30"/>
        </w:rPr>
        <w:t>分,绩效评价等级为：良。</w:t>
      </w:r>
    </w:p>
    <w:p>
      <w:pPr>
        <w:widowControl/>
        <w:tabs>
          <w:tab w:val="left" w:pos="1239"/>
        </w:tabs>
        <w:spacing w:line="560" w:lineRule="exact"/>
        <w:ind w:firstLine="420" w:firstLineChars="200"/>
        <w:jc w:val="left"/>
        <w:rPr>
          <w:rFonts w:ascii="楷体" w:eastAsia="楷体" w:hAnsi="楷体" w:cs="Arial"/>
          <w:b/>
          <w:kern w:val="0"/>
          <w:sz w:val="30"/>
          <w:szCs w:val="30"/>
        </w:rPr>
      </w:pPr>
      <w:r>
        <w:rPr>
          <w:rFonts w:ascii="楷体" w:eastAsia="楷体" w:hAnsi="楷体" w:cs="Arial" w:hint="eastAsia"/>
          <w:b/>
          <w:kern w:val="0"/>
          <w:sz w:val="30"/>
          <w:szCs w:val="30"/>
        </w:rPr>
        <w:t>总体认为，2</w:t>
      </w:r>
      <w:r>
        <w:rPr>
          <w:rFonts w:ascii="楷体" w:eastAsia="楷体" w:hAnsi="楷体" w:cs="Arial"/>
          <w:b/>
          <w:kern w:val="0"/>
          <w:sz w:val="30"/>
          <w:szCs w:val="30"/>
        </w:rPr>
        <w:t>021</w:t>
      </w:r>
      <w:r>
        <w:rPr>
          <w:rFonts w:ascii="楷体" w:eastAsia="楷体" w:hAnsi="楷体" w:cs="Arial" w:hint="eastAsia"/>
          <w:b/>
          <w:kern w:val="0"/>
          <w:sz w:val="30"/>
          <w:szCs w:val="30"/>
        </w:rPr>
        <w:t>年度江海区地质灾害项目开展合法合规，资金使用率高，实施效益明显。主要存在问题：一是项目管理制度不够健全，管理水平有待提高；二是绩效指标设置不够完善，个别指标完成情况考量方式的科学性有待提升；三是自评工作组织管理有待提升。针对以上问题，建议：一是以制度建设和落实为抓手，稳步提升项目管理水平；二是重视绩效目标设置，提高绩效目标设置的科学性；三是增强绩效管理意识，提高自评组织工作质量。</w:t>
      </w:r>
    </w:p>
    <w:p>
      <w:pPr>
        <w:widowControl/>
        <w:tabs>
          <w:tab w:val="left" w:pos="1239"/>
        </w:tabs>
        <w:spacing w:line="560" w:lineRule="exact"/>
        <w:ind w:firstLine="420" w:firstLineChars="200"/>
        <w:jc w:val="left"/>
        <w:rPr>
          <w:rFonts w:ascii="楷体" w:eastAsia="楷体" w:hAnsi="楷体" w:cs="Arial"/>
          <w:b/>
          <w:kern w:val="0"/>
          <w:sz w:val="30"/>
          <w:szCs w:val="30"/>
        </w:rPr>
      </w:pPr>
    </w:p>
    <w:p>
      <w:pPr>
        <w:widowControl/>
        <w:tabs>
          <w:tab w:val="left" w:pos="1239"/>
        </w:tabs>
        <w:spacing w:line="560" w:lineRule="exact"/>
        <w:jc w:val="left"/>
        <w:rPr>
          <w:rFonts w:ascii="楷体" w:eastAsia="楷体" w:hAnsi="楷体" w:cs="Arial"/>
          <w:b/>
          <w:kern w:val="0"/>
          <w:sz w:val="30"/>
          <w:szCs w:val="30"/>
        </w:rPr>
      </w:pPr>
    </w:p>
    <w:p>
      <w:pPr>
        <w:widowControl/>
        <w:spacing w:line="360" w:lineRule="exact"/>
        <w:ind w:firstLine="2415" w:firstLineChars="1150"/>
        <w:jc w:val="left"/>
        <w:rPr>
          <w:rFonts w:ascii="仿宋_GB2312" w:eastAsia="仿宋_GB2312" w:hAnsi="黑体"/>
          <w:b/>
          <w:sz w:val="36"/>
          <w:szCs w:val="36"/>
        </w:rPr>
      </w:pPr>
      <w:r>
        <w:rPr>
          <w:rFonts w:ascii="仿宋_GB2312" w:eastAsia="仿宋_GB2312" w:hAnsi="黑体" w:hint="eastAsia"/>
          <w:b/>
          <w:sz w:val="36"/>
          <w:szCs w:val="36"/>
        </w:rPr>
        <w:t>目  录</w:t>
      </w:r>
    </w:p>
    <w:p>
      <w:pPr>
        <w:pStyle w:val="TOC1"/>
        <w:spacing w:after="0" w:line="360" w:lineRule="exact"/>
        <w:rPr>
          <w:kern w:val="2"/>
          <w:sz w:val="21"/>
        </w:rPr>
      </w:pPr>
      <w:r>
        <w:rPr>
          <w:rFonts w:hint="eastAsia"/>
          <w:sz w:val="28"/>
          <w:szCs w:val="28"/>
        </w:rPr>
        <w:fldChar w:fldCharType="begin"/>
      </w:r>
      <w:r>
        <w:rPr>
          <w:rFonts w:hint="eastAsia"/>
          <w:sz w:val="28"/>
          <w:szCs w:val="28"/>
        </w:rPr>
        <w:instrText xml:space="preserve"> TOC \o "1-3" \h \z \u </w:instrText>
      </w:r>
      <w:r>
        <w:rPr>
          <w:rFonts w:hint="eastAsia"/>
          <w:sz w:val="28"/>
          <w:szCs w:val="28"/>
        </w:rPr>
        <w:fldChar w:fldCharType="separate"/>
      </w:r>
      <w:r>
        <w:fldChar w:fldCharType="begin"/>
      </w:r>
      <w:r>
        <w:instrText xml:space="preserve"> HYPERLINK \l "_Toc112692590" </w:instrText>
      </w:r>
      <w:r>
        <w:fldChar w:fldCharType="separate"/>
      </w:r>
      <w:r>
        <w:rPr>
          <w:rStyle w:val="Hyperlink"/>
          <w:rFonts w:ascii="方正小标宋简体" w:eastAsia="方正小标宋简体"/>
          <w:color w:val="auto"/>
        </w:rPr>
        <w:t>第一部分 绩效报告</w:t>
      </w:r>
      <w:r>
        <w:tab/>
      </w:r>
      <w:r>
        <w:fldChar w:fldCharType="begin"/>
      </w:r>
      <w:r>
        <w:instrText xml:space="preserve"> PAGEREF _Toc112692590 \h </w:instrText>
      </w:r>
      <w:r>
        <w:fldChar w:fldCharType="separate"/>
      </w:r>
      <w:r>
        <w:t>1</w:t>
      </w:r>
      <w:r>
        <w:fldChar w:fldCharType="end"/>
      </w:r>
      <w:r>
        <w:fldChar w:fldCharType="end"/>
      </w:r>
    </w:p>
    <w:p>
      <w:pPr>
        <w:pStyle w:val="TOC1"/>
        <w:spacing w:after="0" w:line="360" w:lineRule="exact"/>
        <w:rPr>
          <w:kern w:val="2"/>
          <w:sz w:val="21"/>
        </w:rPr>
      </w:pPr>
      <w:r>
        <w:fldChar w:fldCharType="begin"/>
      </w:r>
      <w:r>
        <w:instrText xml:space="preserve"> HYPERLINK \l "_Toc112692591" </w:instrText>
      </w:r>
      <w:r>
        <w:fldChar w:fldCharType="separate"/>
      </w:r>
      <w:r>
        <w:rPr>
          <w:rStyle w:val="Hyperlink"/>
          <w:color w:val="auto"/>
        </w:rPr>
        <w:t>一、项目概况</w:t>
      </w:r>
      <w:r>
        <w:tab/>
      </w:r>
      <w:r>
        <w:fldChar w:fldCharType="begin"/>
      </w:r>
      <w:r>
        <w:instrText xml:space="preserve"> PAGEREF _Toc112692591 \h </w:instrText>
      </w:r>
      <w:r>
        <w:fldChar w:fldCharType="separate"/>
      </w:r>
      <w:r>
        <w:t>1</w:t>
      </w:r>
      <w:r>
        <w:fldChar w:fldCharType="end"/>
      </w:r>
      <w:r>
        <w:fldChar w:fldCharType="end"/>
      </w:r>
    </w:p>
    <w:p>
      <w:pPr>
        <w:pStyle w:val="TOC2"/>
        <w:spacing w:after="0"/>
        <w:rPr>
          <w:kern w:val="2"/>
          <w:sz w:val="21"/>
        </w:rPr>
      </w:pPr>
      <w:r>
        <w:fldChar w:fldCharType="begin"/>
      </w:r>
      <w:r>
        <w:instrText xml:space="preserve"> HYPERLINK \l "_Toc112692592" </w:instrText>
      </w:r>
      <w:r>
        <w:fldChar w:fldCharType="separate"/>
      </w:r>
      <w:r>
        <w:rPr>
          <w:rStyle w:val="Hyperlink"/>
          <w:rFonts w:ascii="楷体_GB2312" w:eastAsia="楷体_GB2312" w:hAnsi="仿宋"/>
          <w:color w:val="auto"/>
        </w:rPr>
        <w:t>（一）基本情况</w:t>
      </w:r>
      <w:r>
        <w:tab/>
      </w:r>
      <w:r>
        <w:fldChar w:fldCharType="begin"/>
      </w:r>
      <w:r>
        <w:instrText xml:space="preserve"> PAGEREF _Toc112692592 \h </w:instrText>
      </w:r>
      <w:r>
        <w:fldChar w:fldCharType="separate"/>
      </w:r>
      <w:r>
        <w:t>1</w:t>
      </w:r>
      <w:r>
        <w:fldChar w:fldCharType="end"/>
      </w:r>
      <w:r>
        <w:fldChar w:fldCharType="end"/>
      </w:r>
    </w:p>
    <w:p>
      <w:pPr>
        <w:pStyle w:val="TOC2"/>
        <w:spacing w:after="0"/>
        <w:rPr>
          <w:kern w:val="2"/>
          <w:sz w:val="21"/>
        </w:rPr>
      </w:pPr>
      <w:r>
        <w:fldChar w:fldCharType="begin"/>
      </w:r>
      <w:r>
        <w:instrText xml:space="preserve"> HYPERLINK \l "_Toc112692593" </w:instrText>
      </w:r>
      <w:r>
        <w:fldChar w:fldCharType="separate"/>
      </w:r>
      <w:r>
        <w:rPr>
          <w:rStyle w:val="Hyperlink"/>
          <w:rFonts w:ascii="楷体_GB2312" w:eastAsia="楷体_GB2312" w:hAnsi="仿宋"/>
          <w:color w:val="auto"/>
        </w:rPr>
        <w:t>（二）绩效目标</w:t>
      </w:r>
      <w:r>
        <w:tab/>
      </w:r>
      <w:r>
        <w:fldChar w:fldCharType="begin"/>
      </w:r>
      <w:r>
        <w:instrText xml:space="preserve"> PAGEREF _Toc112692593 \h </w:instrText>
      </w:r>
      <w:r>
        <w:fldChar w:fldCharType="separate"/>
      </w:r>
      <w:r>
        <w:t>2</w:t>
      </w:r>
      <w:r>
        <w:fldChar w:fldCharType="end"/>
      </w:r>
      <w:r>
        <w:fldChar w:fldCharType="end"/>
      </w:r>
    </w:p>
    <w:p>
      <w:pPr>
        <w:pStyle w:val="TOC1"/>
        <w:spacing w:after="0" w:line="360" w:lineRule="exact"/>
        <w:rPr>
          <w:kern w:val="2"/>
          <w:sz w:val="21"/>
        </w:rPr>
      </w:pPr>
      <w:r>
        <w:fldChar w:fldCharType="begin"/>
      </w:r>
      <w:r>
        <w:instrText xml:space="preserve"> HYPERLINK \l "_Toc112692594" </w:instrText>
      </w:r>
      <w:r>
        <w:fldChar w:fldCharType="separate"/>
      </w:r>
      <w:r>
        <w:rPr>
          <w:rStyle w:val="Hyperlink"/>
          <w:color w:val="auto"/>
        </w:rPr>
        <w:t>二、综合评价结论</w:t>
      </w:r>
      <w:r>
        <w:tab/>
      </w:r>
      <w:r>
        <w:fldChar w:fldCharType="begin"/>
      </w:r>
      <w:r>
        <w:instrText xml:space="preserve"> PAGEREF _Toc112692594 \h </w:instrText>
      </w:r>
      <w:r>
        <w:fldChar w:fldCharType="separate"/>
      </w:r>
      <w:r>
        <w:t>3</w:t>
      </w:r>
      <w:r>
        <w:fldChar w:fldCharType="end"/>
      </w:r>
      <w:r>
        <w:fldChar w:fldCharType="end"/>
      </w:r>
    </w:p>
    <w:p>
      <w:pPr>
        <w:pStyle w:val="TOC1"/>
        <w:spacing w:after="0" w:line="360" w:lineRule="exact"/>
        <w:rPr>
          <w:kern w:val="2"/>
          <w:sz w:val="21"/>
        </w:rPr>
      </w:pPr>
      <w:r>
        <w:fldChar w:fldCharType="begin"/>
      </w:r>
      <w:r>
        <w:instrText xml:space="preserve"> HYPERLINK \l "_Toc112692595" </w:instrText>
      </w:r>
      <w:r>
        <w:fldChar w:fldCharType="separate"/>
      </w:r>
      <w:r>
        <w:rPr>
          <w:rStyle w:val="Hyperlink"/>
          <w:color w:val="auto"/>
        </w:rPr>
        <w:t>三、项目绩效分析</w:t>
      </w:r>
      <w:r>
        <w:tab/>
      </w:r>
      <w:r>
        <w:fldChar w:fldCharType="begin"/>
      </w:r>
      <w:r>
        <w:instrText xml:space="preserve"> PAGEREF _Toc112692595 \h </w:instrText>
      </w:r>
      <w:r>
        <w:fldChar w:fldCharType="separate"/>
      </w:r>
      <w:r>
        <w:t>4</w:t>
      </w:r>
      <w:r>
        <w:fldChar w:fldCharType="end"/>
      </w:r>
      <w:r>
        <w:fldChar w:fldCharType="end"/>
      </w:r>
    </w:p>
    <w:p>
      <w:pPr>
        <w:pStyle w:val="TOC2"/>
        <w:spacing w:after="0"/>
        <w:rPr>
          <w:kern w:val="2"/>
          <w:sz w:val="21"/>
        </w:rPr>
      </w:pPr>
      <w:r>
        <w:fldChar w:fldCharType="begin"/>
      </w:r>
      <w:r>
        <w:instrText xml:space="preserve"> HYPERLINK \l "_Toc112692596" </w:instrText>
      </w:r>
      <w:r>
        <w:fldChar w:fldCharType="separate"/>
      </w:r>
      <w:r>
        <w:rPr>
          <w:rStyle w:val="Hyperlink"/>
          <w:rFonts w:ascii="楷体_GB2312" w:eastAsia="楷体_GB2312" w:hAnsi="仿宋"/>
          <w:color w:val="auto"/>
        </w:rPr>
        <w:t>（一）资金管理水平</w:t>
      </w:r>
      <w:r>
        <w:tab/>
      </w:r>
      <w:r>
        <w:fldChar w:fldCharType="begin"/>
      </w:r>
      <w:r>
        <w:instrText xml:space="preserve"> PAGEREF _Toc112692596 \h </w:instrText>
      </w:r>
      <w:r>
        <w:fldChar w:fldCharType="separate"/>
      </w:r>
      <w:r>
        <w:t>4</w:t>
      </w:r>
      <w:r>
        <w:fldChar w:fldCharType="end"/>
      </w:r>
      <w:r>
        <w:fldChar w:fldCharType="end"/>
      </w:r>
    </w:p>
    <w:p>
      <w:pPr>
        <w:pStyle w:val="TOC2"/>
        <w:spacing w:after="0"/>
        <w:rPr>
          <w:kern w:val="2"/>
          <w:sz w:val="21"/>
        </w:rPr>
      </w:pPr>
      <w:r>
        <w:fldChar w:fldCharType="begin"/>
      </w:r>
      <w:r>
        <w:instrText xml:space="preserve"> HYPERLINK \l "_Toc112692597" </w:instrText>
      </w:r>
      <w:r>
        <w:fldChar w:fldCharType="separate"/>
      </w:r>
      <w:r>
        <w:rPr>
          <w:rStyle w:val="Hyperlink"/>
          <w:rFonts w:ascii="楷体_GB2312" w:eastAsia="楷体_GB2312" w:hAnsi="仿宋"/>
          <w:color w:val="auto"/>
        </w:rPr>
        <w:t>（二）项目管理水平</w:t>
      </w:r>
      <w:r>
        <w:tab/>
      </w:r>
      <w:r>
        <w:fldChar w:fldCharType="begin"/>
      </w:r>
      <w:r>
        <w:instrText xml:space="preserve"> PAGEREF _Toc112692597 \h </w:instrText>
      </w:r>
      <w:r>
        <w:fldChar w:fldCharType="separate"/>
      </w:r>
      <w:r>
        <w:t>5</w:t>
      </w:r>
      <w:r>
        <w:fldChar w:fldCharType="end"/>
      </w:r>
      <w:r>
        <w:fldChar w:fldCharType="end"/>
      </w:r>
    </w:p>
    <w:p>
      <w:pPr>
        <w:pStyle w:val="TOC2"/>
        <w:spacing w:after="0"/>
        <w:rPr>
          <w:kern w:val="2"/>
          <w:sz w:val="21"/>
        </w:rPr>
      </w:pPr>
      <w:r>
        <w:fldChar w:fldCharType="begin"/>
      </w:r>
      <w:r>
        <w:instrText xml:space="preserve"> HYPERLINK \l "_Toc112692598" </w:instrText>
      </w:r>
      <w:r>
        <w:fldChar w:fldCharType="separate"/>
      </w:r>
      <w:r>
        <w:rPr>
          <w:rStyle w:val="Hyperlink"/>
          <w:rFonts w:ascii="楷体_GB2312" w:eastAsia="楷体_GB2312" w:hAnsi="仿宋"/>
          <w:color w:val="auto"/>
        </w:rPr>
        <w:t>（三）项目开展绩效</w:t>
      </w:r>
      <w:r>
        <w:tab/>
      </w:r>
      <w:r>
        <w:fldChar w:fldCharType="begin"/>
      </w:r>
      <w:r>
        <w:instrText xml:space="preserve"> PAGEREF _Toc112692598 \h </w:instrText>
      </w:r>
      <w:r>
        <w:fldChar w:fldCharType="separate"/>
      </w:r>
      <w:r>
        <w:t>5</w:t>
      </w:r>
      <w:r>
        <w:fldChar w:fldCharType="end"/>
      </w:r>
      <w:r>
        <w:fldChar w:fldCharType="end"/>
      </w:r>
    </w:p>
    <w:p>
      <w:pPr>
        <w:pStyle w:val="TOC2"/>
        <w:spacing w:after="0"/>
        <w:rPr>
          <w:kern w:val="2"/>
          <w:sz w:val="21"/>
        </w:rPr>
      </w:pPr>
      <w:r>
        <w:fldChar w:fldCharType="begin"/>
      </w:r>
      <w:r>
        <w:instrText xml:space="preserve"> HYPERLINK \l "_Toc112692599" </w:instrText>
      </w:r>
      <w:r>
        <w:fldChar w:fldCharType="separate"/>
      </w:r>
      <w:r>
        <w:rPr>
          <w:rStyle w:val="Hyperlink"/>
          <w:rFonts w:ascii="楷体_GB2312" w:eastAsia="楷体_GB2312" w:hAnsi="仿宋"/>
          <w:color w:val="auto"/>
        </w:rPr>
        <w:t>（四）项目自评组织工作</w:t>
      </w:r>
      <w:r>
        <w:tab/>
      </w:r>
      <w:r>
        <w:fldChar w:fldCharType="begin"/>
      </w:r>
      <w:r>
        <w:instrText xml:space="preserve"> PAGEREF _Toc112692599 \h </w:instrText>
      </w:r>
      <w:r>
        <w:fldChar w:fldCharType="separate"/>
      </w:r>
      <w:r>
        <w:t>6</w:t>
      </w:r>
      <w:r>
        <w:fldChar w:fldCharType="end"/>
      </w:r>
      <w:r>
        <w:fldChar w:fldCharType="end"/>
      </w:r>
    </w:p>
    <w:p>
      <w:pPr>
        <w:pStyle w:val="TOC1"/>
        <w:spacing w:after="0" w:line="360" w:lineRule="exact"/>
        <w:rPr>
          <w:kern w:val="2"/>
          <w:sz w:val="21"/>
        </w:rPr>
      </w:pPr>
      <w:r>
        <w:fldChar w:fldCharType="begin"/>
      </w:r>
      <w:r>
        <w:instrText xml:space="preserve"> HYPERLINK \l "_Toc112692600" </w:instrText>
      </w:r>
      <w:r>
        <w:fldChar w:fldCharType="separate"/>
      </w:r>
      <w:r>
        <w:rPr>
          <w:rStyle w:val="Hyperlink"/>
          <w:color w:val="auto"/>
        </w:rPr>
        <w:t>四、主要绩效</w:t>
      </w:r>
      <w:r>
        <w:tab/>
      </w:r>
      <w:r>
        <w:fldChar w:fldCharType="begin"/>
      </w:r>
      <w:r>
        <w:instrText xml:space="preserve"> PAGEREF _Toc112692600 \h </w:instrText>
      </w:r>
      <w:r>
        <w:fldChar w:fldCharType="separate"/>
      </w:r>
      <w:r>
        <w:t>6</w:t>
      </w:r>
      <w:r>
        <w:fldChar w:fldCharType="end"/>
      </w:r>
      <w:r>
        <w:fldChar w:fldCharType="end"/>
      </w:r>
    </w:p>
    <w:p>
      <w:pPr>
        <w:pStyle w:val="TOC1"/>
        <w:spacing w:after="0" w:line="360" w:lineRule="exact"/>
        <w:rPr>
          <w:kern w:val="2"/>
          <w:sz w:val="21"/>
        </w:rPr>
      </w:pPr>
      <w:r>
        <w:fldChar w:fldCharType="begin"/>
      </w:r>
      <w:r>
        <w:instrText xml:space="preserve"> HYPERLINK \l "_Toc112692601" </w:instrText>
      </w:r>
      <w:r>
        <w:fldChar w:fldCharType="separate"/>
      </w:r>
      <w:r>
        <w:rPr>
          <w:rStyle w:val="Hyperlink"/>
          <w:color w:val="auto"/>
        </w:rPr>
        <w:t>五、存在问题</w:t>
      </w:r>
      <w:r>
        <w:tab/>
      </w:r>
      <w:r>
        <w:fldChar w:fldCharType="begin"/>
      </w:r>
      <w:r>
        <w:instrText xml:space="preserve"> PAGEREF _Toc112692601 \h </w:instrText>
      </w:r>
      <w:r>
        <w:fldChar w:fldCharType="separate"/>
      </w:r>
      <w:r>
        <w:t>7</w:t>
      </w:r>
      <w:r>
        <w:fldChar w:fldCharType="end"/>
      </w:r>
      <w:r>
        <w:fldChar w:fldCharType="end"/>
      </w:r>
    </w:p>
    <w:p>
      <w:pPr>
        <w:pStyle w:val="TOC1"/>
        <w:spacing w:after="0" w:line="360" w:lineRule="exact"/>
        <w:rPr>
          <w:kern w:val="2"/>
          <w:sz w:val="21"/>
        </w:rPr>
      </w:pPr>
      <w:r>
        <w:fldChar w:fldCharType="begin"/>
      </w:r>
      <w:r>
        <w:instrText xml:space="preserve"> HYPERLINK \l "_Toc112692602" </w:instrText>
      </w:r>
      <w:r>
        <w:fldChar w:fldCharType="separate"/>
      </w:r>
      <w:r>
        <w:rPr>
          <w:rStyle w:val="Hyperlink"/>
          <w:color w:val="auto"/>
        </w:rPr>
        <w:t>六、相关建议</w:t>
      </w:r>
      <w:r>
        <w:tab/>
      </w:r>
      <w:r>
        <w:fldChar w:fldCharType="begin"/>
      </w:r>
      <w:r>
        <w:instrText xml:space="preserve"> PAGEREF _Toc112692602 \h </w:instrText>
      </w:r>
      <w:r>
        <w:fldChar w:fldCharType="separate"/>
      </w:r>
      <w:r>
        <w:t>8</w:t>
      </w:r>
      <w:r>
        <w:fldChar w:fldCharType="end"/>
      </w:r>
      <w:r>
        <w:fldChar w:fldCharType="end"/>
      </w:r>
    </w:p>
    <w:p>
      <w:pPr>
        <w:pStyle w:val="TOC1"/>
        <w:spacing w:after="0" w:line="360" w:lineRule="exact"/>
        <w:rPr>
          <w:kern w:val="2"/>
          <w:sz w:val="21"/>
        </w:rPr>
      </w:pPr>
      <w:r>
        <w:fldChar w:fldCharType="begin"/>
      </w:r>
      <w:r>
        <w:instrText xml:space="preserve"> HYPERLINK \l "_Toc112692603" </w:instrText>
      </w:r>
      <w:r>
        <w:fldChar w:fldCharType="separate"/>
      </w:r>
      <w:r>
        <w:rPr>
          <w:rStyle w:val="Hyperlink"/>
          <w:rFonts w:ascii="方正小标宋简体" w:eastAsia="方正小标宋简体"/>
          <w:color w:val="auto"/>
        </w:rPr>
        <w:t>第二部分 分析报告</w:t>
      </w:r>
      <w:r>
        <w:tab/>
      </w:r>
      <w:r>
        <w:fldChar w:fldCharType="begin"/>
      </w:r>
      <w:r>
        <w:instrText xml:space="preserve"> PAGEREF _Toc112692603 \h </w:instrText>
      </w:r>
      <w:r>
        <w:fldChar w:fldCharType="separate"/>
      </w:r>
      <w:r>
        <w:t>11</w:t>
      </w:r>
      <w:r>
        <w:fldChar w:fldCharType="end"/>
      </w:r>
      <w:r>
        <w:fldChar w:fldCharType="end"/>
      </w:r>
    </w:p>
    <w:p>
      <w:pPr>
        <w:pStyle w:val="TOC1"/>
        <w:spacing w:after="0" w:line="360" w:lineRule="exact"/>
        <w:rPr>
          <w:kern w:val="2"/>
          <w:sz w:val="21"/>
        </w:rPr>
      </w:pPr>
      <w:r>
        <w:fldChar w:fldCharType="begin"/>
      </w:r>
      <w:r>
        <w:instrText xml:space="preserve"> HYPERLINK \l "_Toc112692604" </w:instrText>
      </w:r>
      <w:r>
        <w:fldChar w:fldCharType="separate"/>
      </w:r>
      <w:r>
        <w:rPr>
          <w:rStyle w:val="Hyperlink"/>
          <w:color w:val="auto"/>
        </w:rPr>
        <w:t>一、基本情况</w:t>
      </w:r>
      <w:r>
        <w:tab/>
      </w:r>
      <w:r>
        <w:fldChar w:fldCharType="begin"/>
      </w:r>
      <w:r>
        <w:instrText xml:space="preserve"> PAGEREF _Toc112692604 \h </w:instrText>
      </w:r>
      <w:r>
        <w:fldChar w:fldCharType="separate"/>
      </w:r>
      <w:r>
        <w:t>11</w:t>
      </w:r>
      <w:r>
        <w:fldChar w:fldCharType="end"/>
      </w:r>
      <w:r>
        <w:fldChar w:fldCharType="end"/>
      </w:r>
    </w:p>
    <w:p>
      <w:pPr>
        <w:pStyle w:val="TOC2"/>
        <w:spacing w:after="0"/>
        <w:rPr>
          <w:kern w:val="2"/>
          <w:sz w:val="21"/>
        </w:rPr>
      </w:pPr>
      <w:r>
        <w:fldChar w:fldCharType="begin"/>
      </w:r>
      <w:r>
        <w:instrText xml:space="preserve"> HYPERLINK \l "_Toc112692605" </w:instrText>
      </w:r>
      <w:r>
        <w:fldChar w:fldCharType="separate"/>
      </w:r>
      <w:r>
        <w:rPr>
          <w:rStyle w:val="Hyperlink"/>
          <w:rFonts w:ascii="楷体_GB2312" w:eastAsia="楷体_GB2312" w:hAnsi="仿宋"/>
          <w:color w:val="auto"/>
        </w:rPr>
        <w:t>（一）专项背景</w:t>
      </w:r>
      <w:r>
        <w:tab/>
      </w:r>
      <w:r>
        <w:fldChar w:fldCharType="begin"/>
      </w:r>
      <w:r>
        <w:instrText xml:space="preserve"> PAGEREF _Toc112692605 \h </w:instrText>
      </w:r>
      <w:r>
        <w:fldChar w:fldCharType="separate"/>
      </w:r>
      <w:r>
        <w:t>11</w:t>
      </w:r>
      <w:r>
        <w:fldChar w:fldCharType="end"/>
      </w:r>
      <w:r>
        <w:fldChar w:fldCharType="end"/>
      </w:r>
    </w:p>
    <w:p>
      <w:pPr>
        <w:pStyle w:val="TOC2"/>
        <w:spacing w:after="0"/>
        <w:rPr>
          <w:kern w:val="2"/>
          <w:sz w:val="21"/>
        </w:rPr>
      </w:pPr>
      <w:r>
        <w:fldChar w:fldCharType="begin"/>
      </w:r>
      <w:r>
        <w:instrText xml:space="preserve"> HYPERLINK \l "_Toc112692606" </w:instrText>
      </w:r>
      <w:r>
        <w:fldChar w:fldCharType="separate"/>
      </w:r>
      <w:r>
        <w:rPr>
          <w:rStyle w:val="Hyperlink"/>
          <w:rFonts w:ascii="楷体_GB2312" w:eastAsia="楷体_GB2312" w:hAnsi="仿宋"/>
          <w:color w:val="auto"/>
        </w:rPr>
        <w:t>（二）资金安排及使用情况</w:t>
      </w:r>
      <w:r>
        <w:tab/>
      </w:r>
      <w:r>
        <w:fldChar w:fldCharType="begin"/>
      </w:r>
      <w:r>
        <w:instrText xml:space="preserve"> PAGEREF _Toc112692606 \h </w:instrText>
      </w:r>
      <w:r>
        <w:fldChar w:fldCharType="separate"/>
      </w:r>
      <w:r>
        <w:t>11</w:t>
      </w:r>
      <w:r>
        <w:fldChar w:fldCharType="end"/>
      </w:r>
      <w:r>
        <w:fldChar w:fldCharType="end"/>
      </w:r>
    </w:p>
    <w:p>
      <w:pPr>
        <w:pStyle w:val="TOC2"/>
        <w:spacing w:after="0"/>
        <w:rPr>
          <w:kern w:val="2"/>
          <w:sz w:val="21"/>
        </w:rPr>
      </w:pPr>
      <w:r>
        <w:fldChar w:fldCharType="begin"/>
      </w:r>
      <w:r>
        <w:instrText xml:space="preserve"> HYPERLINK \l "_Toc112692607" </w:instrText>
      </w:r>
      <w:r>
        <w:fldChar w:fldCharType="separate"/>
      </w:r>
      <w:r>
        <w:rPr>
          <w:rStyle w:val="Hyperlink"/>
          <w:rFonts w:ascii="楷体_GB2312" w:eastAsia="楷体_GB2312" w:hAnsi="仿宋"/>
          <w:color w:val="auto"/>
        </w:rPr>
        <w:t>（三）绩效目标</w:t>
      </w:r>
      <w:r>
        <w:tab/>
      </w:r>
      <w:r>
        <w:fldChar w:fldCharType="begin"/>
      </w:r>
      <w:r>
        <w:instrText xml:space="preserve"> PAGEREF _Toc112692607 \h </w:instrText>
      </w:r>
      <w:r>
        <w:fldChar w:fldCharType="separate"/>
      </w:r>
      <w:r>
        <w:t>15</w:t>
      </w:r>
      <w:r>
        <w:fldChar w:fldCharType="end"/>
      </w:r>
      <w:r>
        <w:fldChar w:fldCharType="end"/>
      </w:r>
    </w:p>
    <w:p>
      <w:pPr>
        <w:pStyle w:val="TOC1"/>
        <w:spacing w:after="0" w:line="360" w:lineRule="exact"/>
        <w:rPr>
          <w:kern w:val="2"/>
          <w:sz w:val="21"/>
        </w:rPr>
      </w:pPr>
      <w:r>
        <w:fldChar w:fldCharType="begin"/>
      </w:r>
      <w:r>
        <w:instrText xml:space="preserve"> HYPERLINK \l "_Toc112692608" </w:instrText>
      </w:r>
      <w:r>
        <w:fldChar w:fldCharType="separate"/>
      </w:r>
      <w:r>
        <w:rPr>
          <w:rStyle w:val="Hyperlink"/>
          <w:color w:val="auto"/>
        </w:rPr>
        <w:t>二、绩效指标分析</w:t>
      </w:r>
      <w:r>
        <w:tab/>
      </w:r>
      <w:r>
        <w:fldChar w:fldCharType="begin"/>
      </w:r>
      <w:r>
        <w:instrText xml:space="preserve"> PAGEREF _Toc112692608 \h </w:instrText>
      </w:r>
      <w:r>
        <w:fldChar w:fldCharType="separate"/>
      </w:r>
      <w:r>
        <w:t>16</w:t>
      </w:r>
      <w:r>
        <w:fldChar w:fldCharType="end"/>
      </w:r>
      <w:r>
        <w:fldChar w:fldCharType="end"/>
      </w:r>
    </w:p>
    <w:p>
      <w:pPr>
        <w:pStyle w:val="TOC2"/>
        <w:spacing w:after="0"/>
        <w:rPr>
          <w:kern w:val="2"/>
          <w:sz w:val="21"/>
        </w:rPr>
      </w:pPr>
      <w:r>
        <w:fldChar w:fldCharType="begin"/>
      </w:r>
      <w:r>
        <w:instrText xml:space="preserve"> HYPERLINK \l "_Toc112692609" </w:instrText>
      </w:r>
      <w:r>
        <w:fldChar w:fldCharType="separate"/>
      </w:r>
      <w:r>
        <w:rPr>
          <w:rStyle w:val="Hyperlink"/>
          <w:rFonts w:ascii="楷体_GB2312" w:eastAsia="楷体_GB2312" w:hAnsi="仿宋"/>
          <w:color w:val="auto"/>
        </w:rPr>
        <w:t>（一）资金管理水平</w:t>
      </w:r>
      <w:r>
        <w:tab/>
      </w:r>
      <w:r>
        <w:fldChar w:fldCharType="begin"/>
      </w:r>
      <w:r>
        <w:instrText xml:space="preserve"> PAGEREF _Toc112692609 \h </w:instrText>
      </w:r>
      <w:r>
        <w:fldChar w:fldCharType="separate"/>
      </w:r>
      <w:r>
        <w:t>16</w:t>
      </w:r>
      <w:r>
        <w:fldChar w:fldCharType="end"/>
      </w:r>
      <w:r>
        <w:fldChar w:fldCharType="end"/>
      </w:r>
    </w:p>
    <w:p>
      <w:pPr>
        <w:pStyle w:val="TOC2"/>
        <w:spacing w:after="0"/>
        <w:rPr>
          <w:kern w:val="2"/>
          <w:sz w:val="21"/>
        </w:rPr>
      </w:pPr>
      <w:r>
        <w:fldChar w:fldCharType="begin"/>
      </w:r>
      <w:r>
        <w:instrText xml:space="preserve"> HYPERLINK \l "_Toc112692610" </w:instrText>
      </w:r>
      <w:r>
        <w:fldChar w:fldCharType="separate"/>
      </w:r>
      <w:r>
        <w:rPr>
          <w:rStyle w:val="Hyperlink"/>
          <w:rFonts w:ascii="楷体_GB2312" w:eastAsia="楷体_GB2312" w:hAnsi="仿宋"/>
          <w:color w:val="auto"/>
        </w:rPr>
        <w:t>（二）项目管理水平</w:t>
      </w:r>
      <w:r>
        <w:tab/>
      </w:r>
      <w:r>
        <w:fldChar w:fldCharType="begin"/>
      </w:r>
      <w:r>
        <w:instrText xml:space="preserve"> PAGEREF _Toc112692610 \h </w:instrText>
      </w:r>
      <w:r>
        <w:fldChar w:fldCharType="separate"/>
      </w:r>
      <w:r>
        <w:t>18</w:t>
      </w:r>
      <w:r>
        <w:fldChar w:fldCharType="end"/>
      </w:r>
      <w:r>
        <w:fldChar w:fldCharType="end"/>
      </w:r>
    </w:p>
    <w:p>
      <w:pPr>
        <w:pStyle w:val="TOC2"/>
        <w:spacing w:after="0"/>
        <w:rPr>
          <w:kern w:val="2"/>
          <w:sz w:val="21"/>
        </w:rPr>
      </w:pPr>
      <w:r>
        <w:fldChar w:fldCharType="begin"/>
      </w:r>
      <w:r>
        <w:instrText xml:space="preserve"> HYPERLINK \l "_Toc112692611" </w:instrText>
      </w:r>
      <w:r>
        <w:fldChar w:fldCharType="separate"/>
      </w:r>
      <w:r>
        <w:rPr>
          <w:rStyle w:val="Hyperlink"/>
          <w:rFonts w:ascii="楷体_GB2312" w:eastAsia="楷体_GB2312" w:hAnsi="仿宋"/>
          <w:color w:val="auto"/>
        </w:rPr>
        <w:t>（三）项目开展绩效</w:t>
      </w:r>
      <w:r>
        <w:tab/>
      </w:r>
      <w:r>
        <w:fldChar w:fldCharType="begin"/>
      </w:r>
      <w:r>
        <w:instrText xml:space="preserve"> PAGEREF _Toc112692611 \h </w:instrText>
      </w:r>
      <w:r>
        <w:fldChar w:fldCharType="separate"/>
      </w:r>
      <w:r>
        <w:t>20</w:t>
      </w:r>
      <w:r>
        <w:fldChar w:fldCharType="end"/>
      </w:r>
      <w:r>
        <w:fldChar w:fldCharType="end"/>
      </w:r>
    </w:p>
    <w:p>
      <w:pPr>
        <w:pStyle w:val="TOC2"/>
        <w:spacing w:after="0"/>
        <w:rPr>
          <w:kern w:val="2"/>
          <w:sz w:val="21"/>
        </w:rPr>
      </w:pPr>
      <w:r>
        <w:fldChar w:fldCharType="begin"/>
      </w:r>
      <w:r>
        <w:instrText xml:space="preserve"> HYPERLINK \l "_Toc112692612" </w:instrText>
      </w:r>
      <w:r>
        <w:fldChar w:fldCharType="separate"/>
      </w:r>
      <w:r>
        <w:rPr>
          <w:rStyle w:val="Hyperlink"/>
          <w:rFonts w:ascii="楷体_GB2312" w:eastAsia="楷体_GB2312" w:hAnsi="仿宋"/>
          <w:color w:val="auto"/>
        </w:rPr>
        <w:t>（四）自评组织工作</w:t>
      </w:r>
      <w:r>
        <w:tab/>
      </w:r>
      <w:r>
        <w:fldChar w:fldCharType="begin"/>
      </w:r>
      <w:r>
        <w:instrText xml:space="preserve"> PAGEREF _Toc112692612 \h </w:instrText>
      </w:r>
      <w:r>
        <w:fldChar w:fldCharType="separate"/>
      </w:r>
      <w:r>
        <w:t>24</w:t>
      </w:r>
      <w:r>
        <w:fldChar w:fldCharType="end"/>
      </w:r>
      <w:r>
        <w:fldChar w:fldCharType="end"/>
      </w:r>
    </w:p>
    <w:p>
      <w:pPr>
        <w:pStyle w:val="TOC1"/>
        <w:spacing w:after="0" w:line="360" w:lineRule="exact"/>
        <w:rPr>
          <w:kern w:val="2"/>
          <w:sz w:val="21"/>
        </w:rPr>
      </w:pPr>
      <w:r>
        <w:fldChar w:fldCharType="begin"/>
      </w:r>
      <w:r>
        <w:instrText xml:space="preserve"> HYPERLINK \l "_Toc112692613" </w:instrText>
      </w:r>
      <w:r>
        <w:fldChar w:fldCharType="separate"/>
      </w:r>
      <w:r>
        <w:rPr>
          <w:rStyle w:val="Hyperlink"/>
          <w:rFonts w:ascii="方正小标宋简体" w:eastAsia="方正小标宋简体"/>
          <w:color w:val="auto"/>
        </w:rPr>
        <w:t>第三部分 附件</w:t>
      </w:r>
      <w:r>
        <w:tab/>
      </w:r>
      <w:r>
        <w:fldChar w:fldCharType="begin"/>
      </w:r>
      <w:r>
        <w:instrText xml:space="preserve"> PAGEREF _Toc112692613 \h </w:instrText>
      </w:r>
      <w:r>
        <w:fldChar w:fldCharType="separate"/>
      </w:r>
      <w:r>
        <w:t>25</w:t>
      </w:r>
      <w:r>
        <w:fldChar w:fldCharType="end"/>
      </w:r>
      <w:r>
        <w:fldChar w:fldCharType="end"/>
      </w:r>
    </w:p>
    <w:p>
      <w:pPr>
        <w:pStyle w:val="TOC1"/>
        <w:spacing w:after="0" w:line="360" w:lineRule="exact"/>
        <w:rPr>
          <w:kern w:val="2"/>
          <w:sz w:val="21"/>
        </w:rPr>
      </w:pPr>
      <w:r>
        <w:fldChar w:fldCharType="begin"/>
      </w:r>
      <w:r>
        <w:instrText xml:space="preserve"> HYPERLINK \l "_Toc112692614" </w:instrText>
      </w:r>
      <w:r>
        <w:fldChar w:fldCharType="separate"/>
      </w:r>
      <w:r>
        <w:rPr>
          <w:rStyle w:val="Hyperlink"/>
          <w:color w:val="auto"/>
        </w:rPr>
        <w:t>附件：1.绩效评价体系评分表</w:t>
      </w:r>
      <w:r>
        <w:tab/>
      </w:r>
      <w:r>
        <w:fldChar w:fldCharType="begin"/>
      </w:r>
      <w:r>
        <w:instrText xml:space="preserve"> PAGEREF _Toc112692614 \h </w:instrText>
      </w:r>
      <w:r>
        <w:fldChar w:fldCharType="separate"/>
      </w:r>
      <w:r>
        <w:t>25</w:t>
      </w:r>
      <w:r>
        <w:fldChar w:fldCharType="end"/>
      </w:r>
      <w:r>
        <w:fldChar w:fldCharType="end"/>
      </w:r>
    </w:p>
    <w:p>
      <w:pPr>
        <w:pStyle w:val="TOC1"/>
        <w:spacing w:after="0" w:line="360" w:lineRule="exact"/>
        <w:rPr>
          <w:kern w:val="2"/>
          <w:sz w:val="21"/>
        </w:rPr>
      </w:pPr>
      <w:r>
        <w:fldChar w:fldCharType="begin"/>
      </w:r>
      <w:r>
        <w:instrText xml:space="preserve"> HYPERLINK \l "_Toc112692615" </w:instrText>
      </w:r>
      <w:r>
        <w:fldChar w:fldCharType="separate"/>
      </w:r>
      <w:r>
        <w:rPr>
          <w:rStyle w:val="Hyperlink"/>
          <w:color w:val="auto"/>
        </w:rPr>
        <w:t>附件：2.绩效评价说明</w:t>
      </w:r>
      <w:r>
        <w:tab/>
      </w:r>
      <w:r>
        <w:fldChar w:fldCharType="begin"/>
      </w:r>
      <w:r>
        <w:instrText xml:space="preserve"> PAGEREF _Toc112692615 \h </w:instrText>
      </w:r>
      <w:r>
        <w:fldChar w:fldCharType="separate"/>
      </w:r>
      <w:r>
        <w:t>29</w:t>
      </w:r>
      <w:r>
        <w:fldChar w:fldCharType="end"/>
      </w:r>
      <w:r>
        <w:fldChar w:fldCharType="end"/>
      </w:r>
    </w:p>
    <w:p>
      <w:pPr>
        <w:pStyle w:val="TOC2"/>
        <w:spacing w:after="0"/>
        <w:rPr>
          <w:kern w:val="2"/>
          <w:sz w:val="21"/>
        </w:rPr>
      </w:pPr>
      <w:r>
        <w:fldChar w:fldCharType="begin"/>
      </w:r>
      <w:r>
        <w:instrText xml:space="preserve"> HYPERLINK \l "_Toc112692616" </w:instrText>
      </w:r>
      <w:r>
        <w:fldChar w:fldCharType="separate"/>
      </w:r>
      <w:r>
        <w:rPr>
          <w:rStyle w:val="Hyperlink"/>
          <w:rFonts w:ascii="楷体_GB2312" w:eastAsia="楷体_GB2312" w:hAnsi="仿宋" w:cs="Times New Roman"/>
          <w:color w:val="auto"/>
          <w:lang w:val="zh-CN" w:eastAsia="zh-CN"/>
        </w:rPr>
        <w:t>（一）评价目的</w:t>
      </w:r>
      <w:r>
        <w:tab/>
      </w:r>
      <w:r>
        <w:fldChar w:fldCharType="begin"/>
      </w:r>
      <w:r>
        <w:instrText xml:space="preserve"> PAGEREF _Toc112692616 \h </w:instrText>
      </w:r>
      <w:r>
        <w:fldChar w:fldCharType="separate"/>
      </w:r>
      <w:r>
        <w:t>29</w:t>
      </w:r>
      <w:r>
        <w:fldChar w:fldCharType="end"/>
      </w:r>
      <w:r>
        <w:fldChar w:fldCharType="end"/>
      </w:r>
    </w:p>
    <w:p>
      <w:pPr>
        <w:pStyle w:val="TOC2"/>
        <w:spacing w:after="0"/>
        <w:rPr>
          <w:kern w:val="2"/>
          <w:sz w:val="21"/>
        </w:rPr>
      </w:pPr>
      <w:r>
        <w:fldChar w:fldCharType="begin"/>
      </w:r>
      <w:r>
        <w:instrText xml:space="preserve"> HYPERLINK \l "_Toc112692617" </w:instrText>
      </w:r>
      <w:r>
        <w:fldChar w:fldCharType="separate"/>
      </w:r>
      <w:r>
        <w:rPr>
          <w:rStyle w:val="Hyperlink"/>
          <w:rFonts w:ascii="楷体_GB2312" w:eastAsia="楷体_GB2312" w:hAnsi="仿宋" w:cs="Times New Roman"/>
          <w:color w:val="auto"/>
          <w:lang w:val="zh-CN" w:eastAsia="zh-CN"/>
        </w:rPr>
        <w:t>（二）评价依据</w:t>
      </w:r>
      <w:r>
        <w:tab/>
      </w:r>
      <w:r>
        <w:fldChar w:fldCharType="begin"/>
      </w:r>
      <w:r>
        <w:instrText xml:space="preserve"> PAGEREF _Toc112692617 \h </w:instrText>
      </w:r>
      <w:r>
        <w:fldChar w:fldCharType="separate"/>
      </w:r>
      <w:r>
        <w:t>29</w:t>
      </w:r>
      <w:r>
        <w:fldChar w:fldCharType="end"/>
      </w:r>
      <w:r>
        <w:fldChar w:fldCharType="end"/>
      </w:r>
    </w:p>
    <w:p>
      <w:pPr>
        <w:pStyle w:val="TOC2"/>
        <w:spacing w:after="0"/>
        <w:rPr>
          <w:kern w:val="2"/>
          <w:sz w:val="21"/>
        </w:rPr>
      </w:pPr>
      <w:r>
        <w:fldChar w:fldCharType="begin"/>
      </w:r>
      <w:r>
        <w:instrText xml:space="preserve"> HYPERLINK \l "_Toc112692618" </w:instrText>
      </w:r>
      <w:r>
        <w:fldChar w:fldCharType="separate"/>
      </w:r>
      <w:r>
        <w:rPr>
          <w:rStyle w:val="Hyperlink"/>
          <w:rFonts w:ascii="楷体_GB2312" w:eastAsia="楷体_GB2312" w:hAnsi="仿宋" w:cs="Times New Roman"/>
          <w:color w:val="auto"/>
          <w:lang w:val="zh-CN" w:eastAsia="zh-CN"/>
        </w:rPr>
        <w:t>（三）评价方法</w:t>
      </w:r>
      <w:r>
        <w:tab/>
      </w:r>
      <w:r>
        <w:fldChar w:fldCharType="begin"/>
      </w:r>
      <w:r>
        <w:instrText xml:space="preserve"> PAGEREF _Toc112692618 \h </w:instrText>
      </w:r>
      <w:r>
        <w:fldChar w:fldCharType="separate"/>
      </w:r>
      <w:r>
        <w:t>30</w:t>
      </w:r>
      <w:r>
        <w:fldChar w:fldCharType="end"/>
      </w:r>
      <w:r>
        <w:fldChar w:fldCharType="end"/>
      </w:r>
    </w:p>
    <w:p>
      <w:pPr>
        <w:pStyle w:val="TOC2"/>
        <w:spacing w:after="0"/>
        <w:rPr>
          <w:kern w:val="2"/>
          <w:sz w:val="21"/>
        </w:rPr>
      </w:pPr>
      <w:r>
        <w:fldChar w:fldCharType="begin"/>
      </w:r>
      <w:r>
        <w:instrText xml:space="preserve"> HYPERLINK \l "_Toc112692619" </w:instrText>
      </w:r>
      <w:r>
        <w:fldChar w:fldCharType="separate"/>
      </w:r>
      <w:r>
        <w:rPr>
          <w:rStyle w:val="Hyperlink"/>
          <w:rFonts w:ascii="楷体_GB2312" w:eastAsia="楷体_GB2312" w:hAnsi="仿宋" w:cs="Times New Roman"/>
          <w:color w:val="auto"/>
          <w:lang w:val="zh-CN" w:eastAsia="zh-CN"/>
        </w:rPr>
        <w:t>（四）评价指标体系</w:t>
      </w:r>
      <w:r>
        <w:tab/>
      </w:r>
      <w:r>
        <w:fldChar w:fldCharType="begin"/>
      </w:r>
      <w:r>
        <w:instrText xml:space="preserve"> PAGEREF _Toc112692619 \h </w:instrText>
      </w:r>
      <w:r>
        <w:fldChar w:fldCharType="separate"/>
      </w:r>
      <w:r>
        <w:t>31</w:t>
      </w:r>
      <w:r>
        <w:fldChar w:fldCharType="end"/>
      </w:r>
      <w:r>
        <w:fldChar w:fldCharType="end"/>
      </w:r>
    </w:p>
    <w:p>
      <w:pPr>
        <w:pStyle w:val="TOC2"/>
        <w:spacing w:after="0"/>
        <w:rPr>
          <w:kern w:val="2"/>
          <w:sz w:val="21"/>
        </w:rPr>
      </w:pPr>
      <w:r>
        <w:fldChar w:fldCharType="begin"/>
      </w:r>
      <w:r>
        <w:instrText xml:space="preserve"> HYPERLINK \l "_Toc112692620" </w:instrText>
      </w:r>
      <w:r>
        <w:fldChar w:fldCharType="separate"/>
      </w:r>
      <w:r>
        <w:rPr>
          <w:rStyle w:val="Hyperlink"/>
          <w:rFonts w:ascii="楷体_GB2312" w:eastAsia="楷体_GB2312" w:hAnsi="仿宋" w:cs="Times New Roman"/>
          <w:color w:val="auto"/>
          <w:lang w:val="zh-CN" w:eastAsia="zh-CN"/>
        </w:rPr>
        <w:t>（五）评价流程</w:t>
      </w:r>
      <w:r>
        <w:tab/>
      </w:r>
      <w:r>
        <w:fldChar w:fldCharType="begin"/>
      </w:r>
      <w:r>
        <w:instrText xml:space="preserve"> PAGEREF _Toc112692620 \h </w:instrText>
      </w:r>
      <w:r>
        <w:fldChar w:fldCharType="separate"/>
      </w:r>
      <w:r>
        <w:t>32</w:t>
      </w:r>
      <w:r>
        <w:fldChar w:fldCharType="end"/>
      </w:r>
      <w:r>
        <w:fldChar w:fldCharType="end"/>
      </w:r>
    </w:p>
    <w:p>
      <w:pPr>
        <w:pStyle w:val="TOC1"/>
        <w:spacing w:after="0" w:line="360" w:lineRule="exact"/>
        <w:rPr>
          <w:kern w:val="2"/>
          <w:sz w:val="21"/>
        </w:rPr>
      </w:pPr>
      <w:r>
        <w:fldChar w:fldCharType="begin"/>
      </w:r>
      <w:r>
        <w:instrText xml:space="preserve"> HYPERLINK \l "_Toc112692621" </w:instrText>
      </w:r>
      <w:r>
        <w:fldChar w:fldCharType="separate"/>
      </w:r>
      <w:r>
        <w:rPr>
          <w:rStyle w:val="Hyperlink"/>
          <w:color w:val="auto"/>
        </w:rPr>
        <w:t>附件：3. 专家组实地调研照片</w:t>
      </w:r>
      <w:r>
        <w:tab/>
      </w:r>
      <w:r>
        <w:fldChar w:fldCharType="begin"/>
      </w:r>
      <w:r>
        <w:instrText xml:space="preserve"> PAGEREF _Toc112692621 \h </w:instrText>
      </w:r>
      <w:r>
        <w:fldChar w:fldCharType="separate"/>
      </w:r>
      <w:r>
        <w:t>35</w:t>
      </w:r>
      <w:r>
        <w:fldChar w:fldCharType="end"/>
      </w:r>
      <w:r>
        <w:fldChar w:fldCharType="end"/>
      </w:r>
    </w:p>
    <w:p>
      <w:pPr>
        <w:spacing w:line="360" w:lineRule="exact"/>
        <w:outlineLvl w:val="0"/>
        <w:rPr>
          <w:rFonts w:ascii="仿宋_GB2312" w:eastAsia="仿宋_GB2312" w:hAnsi="楷体"/>
          <w:b/>
          <w:bCs/>
          <w:sz w:val="28"/>
          <w:szCs w:val="28"/>
          <w:lang w:val="zh-CN"/>
        </w:rPr>
        <w:sectPr>
          <w:headerReference w:type="default" r:id="rId6"/>
          <w:pgSz w:w="11906" w:h="16838"/>
          <w:pgMar w:top="1440" w:right="1800" w:bottom="1440" w:left="1800" w:header="851" w:footer="992" w:gutter="0"/>
          <w:pgNumType w:start="1"/>
          <w:cols w:num="1" w:space="425"/>
          <w:docGrid w:type="lines" w:linePitch="312" w:charSpace="0"/>
        </w:sectPr>
      </w:pPr>
      <w:r>
        <w:rPr>
          <w:rFonts w:ascii="仿宋_GB2312" w:eastAsia="仿宋_GB2312" w:hAnsi="楷体" w:hint="eastAsia"/>
          <w:b/>
          <w:bCs/>
          <w:sz w:val="28"/>
          <w:szCs w:val="28"/>
          <w:lang w:val="zh-CN"/>
        </w:rPr>
        <w:fldChar w:fldCharType="end"/>
      </w:r>
    </w:p>
    <w:p>
      <w:pPr>
        <w:spacing w:line="460" w:lineRule="exact"/>
      </w:pPr>
    </w:p>
    <w:p>
      <w:pPr>
        <w:pStyle w:val="Heading1"/>
        <w:spacing w:after="156" w:afterLines="50"/>
        <w:ind w:firstLine="442"/>
        <w:jc w:val="center"/>
        <w:rPr>
          <w:sz w:val="44"/>
          <w:szCs w:val="44"/>
        </w:rPr>
      </w:pPr>
      <w:bookmarkEnd w:id="1"/>
      <w:bookmarkStart w:id="3" w:name="_Toc112692590"/>
      <w:bookmarkStart w:id="4" w:name="_Toc486952612"/>
      <w:r>
        <w:rPr>
          <w:rFonts w:hint="eastAsia"/>
          <w:sz w:val="44"/>
          <w:szCs w:val="44"/>
        </w:rPr>
        <w:t>第一部分 绩效报告</w:t>
      </w:r>
      <w:bookmarkEnd w:id="3"/>
    </w:p>
    <w:p>
      <w:pPr>
        <w:rPr>
          <w:rFonts w:ascii="仿宋_GB2312" w:eastAsia="仿宋_GB2312"/>
          <w:sz w:val="11"/>
          <w:szCs w:val="11"/>
        </w:rPr>
      </w:pPr>
    </w:p>
    <w:p>
      <w:pPr>
        <w:pStyle w:val="Heading1"/>
      </w:pPr>
      <w:bookmarkEnd w:id="4"/>
      <w:bookmarkStart w:id="5" w:name="_Toc112692591"/>
      <w:r>
        <w:rPr>
          <w:rFonts w:hint="eastAsia"/>
        </w:rPr>
        <w:t>一、项目概况</w:t>
      </w:r>
      <w:bookmarkEnd w:id="5"/>
      <w:r>
        <w:tab/>
      </w:r>
    </w:p>
    <w:p>
      <w:pPr>
        <w:pStyle w:val="Heading2"/>
        <w:spacing w:before="0" w:after="0" w:line="360" w:lineRule="auto"/>
        <w:ind w:firstLine="420" w:firstLineChars="200"/>
        <w:rPr>
          <w:rFonts w:ascii="楷体_GB2312" w:eastAsia="楷体_GB2312" w:hAnsi="仿宋"/>
        </w:rPr>
      </w:pPr>
      <w:bookmarkStart w:id="6" w:name="_Toc486952613"/>
      <w:bookmarkStart w:id="7" w:name="_Toc112692592"/>
      <w:r>
        <w:rPr>
          <w:rFonts w:ascii="楷体_GB2312" w:eastAsia="楷体_GB2312" w:hAnsi="仿宋" w:hint="eastAsia"/>
        </w:rPr>
        <w:t>（一）</w:t>
      </w:r>
      <w:bookmarkEnd w:id="6"/>
      <w:r>
        <w:rPr>
          <w:rFonts w:ascii="楷体_GB2312" w:eastAsia="楷体_GB2312" w:hAnsi="仿宋" w:hint="eastAsia"/>
        </w:rPr>
        <w:t>基本情况</w:t>
      </w:r>
      <w:bookmarkEnd w:id="7"/>
      <w:bookmarkStart w:id="8" w:name="_Toc486952614"/>
    </w:p>
    <w:p>
      <w:pPr>
        <w:pStyle w:val="ListParagraph"/>
        <w:spacing w:line="360" w:lineRule="auto"/>
        <w:ind w:firstLine="640"/>
        <w:rPr>
          <w:rFonts w:ascii="仿宋_GB2312" w:eastAsia="仿宋_GB2312" w:hAnsi="楷体"/>
          <w:sz w:val="32"/>
          <w:szCs w:val="32"/>
        </w:rPr>
      </w:pPr>
      <w:r>
        <w:rPr>
          <w:rFonts w:ascii="仿宋_GB2312" w:eastAsia="仿宋_GB2312" w:hAnsi="楷体" w:hint="eastAsia"/>
          <w:sz w:val="32"/>
          <w:szCs w:val="32"/>
        </w:rPr>
        <w:t>为深入贯彻落实习近平总书记对防汛抢险救灾工作的重要指示精神，减少或避免地质灾害造成人员伤亡和经济损失，确保人民群众生命财产安全，保障经济社会可持续发展，江门市江海区自然资源局根据相关文件要求，结合江海区实际情况</w:t>
      </w:r>
      <w:bookmarkStart w:id="9" w:name="_Hlk112580278"/>
      <w:r>
        <w:rPr>
          <w:rFonts w:ascii="仿宋_GB2312" w:eastAsia="仿宋_GB2312" w:hAnsi="楷体" w:hint="eastAsia"/>
          <w:sz w:val="32"/>
          <w:szCs w:val="32"/>
        </w:rPr>
        <w:t>，</w:t>
      </w:r>
      <w:bookmarkEnd w:id="8"/>
      <w:bookmarkStart w:id="10" w:name="_Toc486952616"/>
      <w:r>
        <w:rPr>
          <w:rFonts w:ascii="仿宋_GB2312" w:eastAsia="仿宋_GB2312" w:hAnsi="楷体" w:hint="eastAsia"/>
          <w:sz w:val="32"/>
          <w:szCs w:val="32"/>
        </w:rPr>
        <w:t>2021年年初预算安排资金2</w:t>
      </w:r>
      <w:r>
        <w:rPr>
          <w:rFonts w:ascii="仿宋_GB2312" w:eastAsia="仿宋_GB2312" w:hAnsi="楷体"/>
          <w:sz w:val="32"/>
          <w:szCs w:val="32"/>
        </w:rPr>
        <w:t>55</w:t>
      </w:r>
      <w:r>
        <w:rPr>
          <w:rFonts w:ascii="仿宋_GB2312" w:eastAsia="仿宋_GB2312" w:hAnsi="楷体" w:hint="eastAsia"/>
          <w:sz w:val="32"/>
          <w:szCs w:val="32"/>
        </w:rPr>
        <w:t>万元用于开展江海区地质灾害项目，年中因新增地质灾害点需治理追加资金4</w:t>
      </w:r>
      <w:r>
        <w:rPr>
          <w:rFonts w:ascii="仿宋_GB2312" w:eastAsia="仿宋_GB2312" w:hAnsi="楷体"/>
          <w:sz w:val="32"/>
          <w:szCs w:val="32"/>
        </w:rPr>
        <w:t>00</w:t>
      </w:r>
      <w:r>
        <w:rPr>
          <w:rFonts w:ascii="仿宋_GB2312" w:eastAsia="仿宋_GB2312" w:hAnsi="楷体" w:hint="eastAsia"/>
          <w:sz w:val="32"/>
          <w:szCs w:val="32"/>
        </w:rPr>
        <w:t>万元，全年预算总安排资金6</w:t>
      </w:r>
      <w:r>
        <w:rPr>
          <w:rFonts w:ascii="仿宋_GB2312" w:eastAsia="仿宋_GB2312" w:hAnsi="楷体"/>
          <w:sz w:val="32"/>
          <w:szCs w:val="32"/>
        </w:rPr>
        <w:t>55</w:t>
      </w:r>
      <w:r>
        <w:rPr>
          <w:rFonts w:ascii="仿宋_GB2312" w:eastAsia="仿宋_GB2312" w:hAnsi="楷体" w:hint="eastAsia"/>
          <w:sz w:val="32"/>
          <w:szCs w:val="32"/>
        </w:rPr>
        <w:t>万元，实际支出资金</w:t>
      </w:r>
      <w:r>
        <w:rPr>
          <w:rFonts w:ascii="仿宋_GB2312" w:eastAsia="仿宋_GB2312" w:hAnsi="楷体"/>
          <w:sz w:val="32"/>
          <w:szCs w:val="32"/>
        </w:rPr>
        <w:t>653.4</w:t>
      </w:r>
      <w:r>
        <w:rPr>
          <w:rFonts w:ascii="仿宋_GB2312" w:eastAsia="仿宋_GB2312" w:hAnsi="楷体" w:hint="eastAsia"/>
          <w:sz w:val="32"/>
          <w:szCs w:val="32"/>
        </w:rPr>
        <w:t>万元，项目整体资金支出率为</w:t>
      </w:r>
      <w:r>
        <w:rPr>
          <w:rFonts w:ascii="仿宋_GB2312" w:eastAsia="仿宋_GB2312" w:hAnsi="楷体"/>
          <w:sz w:val="32"/>
          <w:szCs w:val="32"/>
        </w:rPr>
        <w:t>99.76</w:t>
      </w:r>
      <w:r>
        <w:rPr>
          <w:rFonts w:ascii="仿宋_GB2312" w:eastAsia="仿宋_GB2312" w:hAnsi="楷体" w:hint="eastAsia"/>
          <w:sz w:val="32"/>
          <w:szCs w:val="32"/>
        </w:rPr>
        <w:t>%。</w:t>
      </w:r>
      <w:bookmarkEnd w:id="9"/>
      <w:r>
        <w:rPr>
          <w:rFonts w:ascii="仿宋_GB2312" w:eastAsia="仿宋_GB2312" w:hAnsi="楷体" w:hint="eastAsia"/>
          <w:sz w:val="32"/>
          <w:szCs w:val="32"/>
        </w:rPr>
        <w:t>具体支出明细详见表1</w:t>
      </w:r>
      <w:r>
        <w:rPr>
          <w:rFonts w:ascii="仿宋_GB2312" w:eastAsia="仿宋_GB2312" w:hAnsi="楷体"/>
          <w:sz w:val="32"/>
          <w:szCs w:val="32"/>
        </w:rPr>
        <w:t>-1</w:t>
      </w:r>
      <w:r>
        <w:rPr>
          <w:rFonts w:ascii="仿宋_GB2312" w:eastAsia="仿宋_GB2312" w:hAnsi="楷体" w:hint="eastAsia"/>
          <w:sz w:val="32"/>
          <w:szCs w:val="32"/>
        </w:rPr>
        <w:t>。</w:t>
      </w:r>
    </w:p>
    <w:p>
      <w:pPr>
        <w:spacing w:line="360" w:lineRule="auto"/>
        <w:jc w:val="center"/>
        <w:rPr>
          <w:rFonts w:ascii="黑体" w:eastAsia="黑体" w:hAnsi="黑体"/>
          <w:sz w:val="28"/>
          <w:szCs w:val="28"/>
        </w:rPr>
      </w:pPr>
      <w:r>
        <w:rPr>
          <w:rFonts w:ascii="黑体" w:eastAsia="黑体" w:hAnsi="黑体" w:hint="eastAsia"/>
          <w:sz w:val="28"/>
          <w:szCs w:val="28"/>
        </w:rPr>
        <w:t>表1-</w:t>
      </w:r>
      <w:r>
        <w:rPr>
          <w:rFonts w:ascii="黑体" w:eastAsia="黑体" w:hAnsi="黑体"/>
          <w:sz w:val="28"/>
          <w:szCs w:val="28"/>
        </w:rPr>
        <w:t>1</w:t>
      </w:r>
      <w:r>
        <w:rPr>
          <w:rFonts w:ascii="黑体" w:eastAsia="黑体" w:hAnsi="黑体" w:hint="eastAsia"/>
          <w:sz w:val="28"/>
          <w:szCs w:val="28"/>
        </w:rPr>
        <w:t xml:space="preserve"> </w:t>
      </w:r>
      <w:r>
        <w:rPr>
          <w:rFonts w:ascii="黑体" w:eastAsia="黑体" w:hAnsi="黑体"/>
          <w:sz w:val="28"/>
          <w:szCs w:val="28"/>
        </w:rPr>
        <w:t>2021年</w:t>
      </w:r>
      <w:r>
        <w:rPr>
          <w:rFonts w:ascii="黑体" w:eastAsia="黑体" w:hAnsi="黑体" w:hint="eastAsia"/>
          <w:sz w:val="28"/>
          <w:szCs w:val="28"/>
        </w:rPr>
        <w:t>江海区地质灾害项目具体支出明细表</w:t>
      </w:r>
    </w:p>
    <w:tbl>
      <w:tblPr>
        <w:tblStyle w:val="TableNormal"/>
        <w:tblW w:w="8335" w:type="dxa"/>
        <w:jc w:val="center"/>
        <w:tblCellMar>
          <w:top w:w="0" w:type="dxa"/>
          <w:left w:w="108" w:type="dxa"/>
          <w:bottom w:w="0" w:type="dxa"/>
          <w:right w:w="108" w:type="dxa"/>
        </w:tblCellMar>
      </w:tblPr>
      <w:tblGrid>
        <w:gridCol w:w="396"/>
        <w:gridCol w:w="3780"/>
        <w:gridCol w:w="1013"/>
        <w:gridCol w:w="1013"/>
        <w:gridCol w:w="1177"/>
        <w:gridCol w:w="956"/>
      </w:tblGrid>
      <w:tr>
        <w:tblPrEx>
          <w:tblW w:w="8335" w:type="dxa"/>
          <w:jc w:val="center"/>
          <w:tblCellMar>
            <w:top w:w="0" w:type="dxa"/>
            <w:left w:w="108" w:type="dxa"/>
            <w:bottom w:w="0" w:type="dxa"/>
            <w:right w:w="108" w:type="dxa"/>
          </w:tblCellMar>
        </w:tblPrEx>
        <w:trPr>
          <w:trHeight w:val="589"/>
          <w:jc w:val="center"/>
        </w:trPr>
        <w:tc>
          <w:tcPr>
            <w:tcW w:w="0" w:type="auto"/>
            <w:tcBorders>
              <w:top w:val="single" w:sz="4" w:space="0" w:color="auto"/>
              <w:left w:val="single" w:sz="4" w:space="0" w:color="auto"/>
              <w:bottom w:val="single" w:sz="4" w:space="0" w:color="auto"/>
              <w:right w:val="single" w:sz="4" w:space="0" w:color="auto"/>
            </w:tcBorders>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bookmarkStart w:id="11" w:name="_Hlk74939240"/>
            <w:r>
              <w:rPr>
                <w:rFonts w:ascii="仿宋_GB2312" w:eastAsia="仿宋_GB2312" w:hAnsi="等线" w:cs="宋体" w:hint="eastAsia"/>
                <w:b/>
                <w:bCs/>
                <w:kern w:val="0"/>
                <w:sz w:val="24"/>
              </w:rPr>
              <w:t>序号</w:t>
            </w:r>
          </w:p>
        </w:tc>
        <w:tc>
          <w:tcPr>
            <w:tcW w:w="0" w:type="auto"/>
            <w:tcBorders>
              <w:top w:val="single" w:sz="4" w:space="0" w:color="auto"/>
              <w:left w:val="nil"/>
              <w:bottom w:val="single" w:sz="4" w:space="0" w:color="auto"/>
              <w:right w:val="single" w:sz="4" w:space="0" w:color="auto"/>
            </w:tcBorders>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具体支出内容</w:t>
            </w:r>
          </w:p>
        </w:tc>
        <w:tc>
          <w:tcPr>
            <w:tcW w:w="0" w:type="auto"/>
            <w:tcBorders>
              <w:top w:val="single" w:sz="4" w:space="0" w:color="auto"/>
              <w:left w:val="nil"/>
              <w:bottom w:val="single" w:sz="4" w:space="0" w:color="auto"/>
              <w:right w:val="single" w:sz="4" w:space="0" w:color="auto"/>
            </w:tcBorders>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对应经济支出科目</w:t>
            </w:r>
          </w:p>
        </w:tc>
        <w:tc>
          <w:tcPr>
            <w:tcW w:w="0" w:type="auto"/>
            <w:tcBorders>
              <w:top w:val="single" w:sz="4" w:space="0" w:color="auto"/>
              <w:left w:val="single" w:sz="4" w:space="0" w:color="auto"/>
              <w:bottom w:val="single" w:sz="4" w:space="0" w:color="auto"/>
              <w:right w:val="single" w:sz="4" w:space="0" w:color="auto"/>
            </w:tcBorders>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安排资金（万元）</w:t>
            </w:r>
          </w:p>
        </w:tc>
        <w:tc>
          <w:tcPr>
            <w:tcW w:w="0" w:type="auto"/>
            <w:tcBorders>
              <w:top w:val="single" w:sz="4" w:space="0" w:color="auto"/>
              <w:left w:val="single" w:sz="4" w:space="0" w:color="auto"/>
              <w:bottom w:val="single" w:sz="4" w:space="0" w:color="auto"/>
              <w:right w:val="single" w:sz="4" w:space="0" w:color="auto"/>
            </w:tcBorders>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支出资金（万元）</w:t>
            </w:r>
          </w:p>
        </w:tc>
        <w:tc>
          <w:tcPr>
            <w:tcW w:w="0" w:type="auto"/>
            <w:tcBorders>
              <w:top w:val="single" w:sz="4" w:space="0" w:color="auto"/>
              <w:left w:val="single" w:sz="4" w:space="0" w:color="auto"/>
              <w:bottom w:val="single" w:sz="4" w:space="0" w:color="auto"/>
              <w:right w:val="single" w:sz="4" w:space="0" w:color="auto"/>
            </w:tcBorders>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资金支出率</w:t>
            </w:r>
          </w:p>
        </w:tc>
      </w:tr>
      <w:tr>
        <w:tblPrEx>
          <w:tblW w:w="8335" w:type="dxa"/>
          <w:jc w:val="center"/>
          <w:tblCellMar>
            <w:top w:w="0" w:type="dxa"/>
            <w:left w:w="108" w:type="dxa"/>
            <w:bottom w:w="0" w:type="dxa"/>
            <w:right w:w="108" w:type="dxa"/>
          </w:tblCellMar>
        </w:tblPrEx>
        <w:trPr>
          <w:trHeight w:val="592"/>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合计</w:t>
            </w:r>
          </w:p>
        </w:tc>
        <w:tc>
          <w:tcPr>
            <w:tcW w:w="0" w:type="auto"/>
            <w:tcBorders>
              <w:top w:val="single" w:sz="4" w:space="0" w:color="auto"/>
              <w:left w:val="nil"/>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c>
          <w:tcPr>
            <w:tcW w:w="0" w:type="auto"/>
            <w:tcBorders>
              <w:top w:val="single" w:sz="4" w:space="0" w:color="auto"/>
              <w:left w:val="nil"/>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6</w:t>
            </w:r>
            <w:r>
              <w:rPr>
                <w:rFonts w:ascii="仿宋_GB2312" w:eastAsia="仿宋_GB2312" w:hAnsi="等线" w:cs="宋体"/>
                <w:b/>
                <w:bCs/>
                <w:kern w:val="0"/>
                <w:sz w:val="24"/>
              </w:rPr>
              <w:t>55</w:t>
            </w:r>
          </w:p>
        </w:tc>
        <w:tc>
          <w:tcPr>
            <w:tcW w:w="0" w:type="auto"/>
            <w:tcBorders>
              <w:top w:val="single" w:sz="4" w:space="0" w:color="auto"/>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6</w:t>
            </w:r>
            <w:r>
              <w:rPr>
                <w:rFonts w:ascii="仿宋_GB2312" w:eastAsia="仿宋_GB2312" w:hAnsi="等线" w:cs="宋体"/>
                <w:b/>
                <w:bCs/>
                <w:kern w:val="0"/>
                <w:sz w:val="24"/>
              </w:rPr>
              <w:t>53.4</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9</w:t>
            </w:r>
            <w:r>
              <w:rPr>
                <w:rFonts w:ascii="仿宋_GB2312" w:eastAsia="仿宋_GB2312" w:hAnsi="等线" w:cs="宋体"/>
                <w:b/>
                <w:bCs/>
                <w:kern w:val="0"/>
                <w:sz w:val="24"/>
              </w:rPr>
              <w:t>9.76%</w:t>
            </w:r>
          </w:p>
        </w:tc>
      </w:tr>
      <w:tr>
        <w:tblPrEx>
          <w:tblW w:w="8335" w:type="dxa"/>
          <w:jc w:val="center"/>
          <w:tblCellMar>
            <w:top w:w="0" w:type="dxa"/>
            <w:left w:w="108" w:type="dxa"/>
            <w:bottom w:w="0" w:type="dxa"/>
            <w:right w:w="108" w:type="dxa"/>
          </w:tblCellMar>
        </w:tblPrEx>
        <w:trPr>
          <w:trHeight w:val="454"/>
          <w:jc w:val="center"/>
        </w:trPr>
        <w:tc>
          <w:tcPr>
            <w:tcW w:w="0" w:type="auto"/>
            <w:tcBorders>
              <w:top w:val="nil"/>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bookmarkEnd w:id="11"/>
            <w:r>
              <w:rPr>
                <w:rFonts w:ascii="仿宋_GB2312" w:eastAsia="仿宋_GB2312" w:hAnsi="等线" w:cs="宋体" w:hint="eastAsia"/>
                <w:kern w:val="0"/>
                <w:sz w:val="24"/>
              </w:rPr>
              <w:t>1</w:t>
            </w:r>
          </w:p>
        </w:tc>
        <w:tc>
          <w:tcPr>
            <w:tcW w:w="0" w:type="auto"/>
            <w:tcBorders>
              <w:top w:val="nil"/>
              <w:left w:val="nil"/>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江南街道2019年5个地质灾害治理工程未付工程款及2021年3个新增地质灾害点治理工程工程进度款</w:t>
            </w:r>
          </w:p>
        </w:tc>
        <w:tc>
          <w:tcPr>
            <w:tcW w:w="0" w:type="auto"/>
            <w:tcBorders>
              <w:top w:val="single" w:sz="4" w:space="0" w:color="auto"/>
              <w:left w:val="nil"/>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2</w:t>
            </w:r>
            <w:r>
              <w:rPr>
                <w:rFonts w:ascii="仿宋_GB2312" w:eastAsia="仿宋_GB2312" w:hAnsi="等线" w:cs="宋体"/>
                <w:kern w:val="0"/>
                <w:sz w:val="24"/>
              </w:rPr>
              <w:t>20</w:t>
            </w:r>
          </w:p>
        </w:tc>
        <w:tc>
          <w:tcPr>
            <w:tcW w:w="0" w:type="auto"/>
            <w:tcBorders>
              <w:top w:val="single" w:sz="4" w:space="0" w:color="auto"/>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219.08</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9</w:t>
            </w:r>
            <w:r>
              <w:rPr>
                <w:rFonts w:ascii="仿宋_GB2312" w:eastAsia="仿宋_GB2312" w:hAnsi="等线" w:cs="宋体"/>
                <w:kern w:val="0"/>
                <w:sz w:val="24"/>
              </w:rPr>
              <w:t>9.58%</w:t>
            </w:r>
          </w:p>
        </w:tc>
      </w:tr>
      <w:tr>
        <w:tblPrEx>
          <w:tblW w:w="8335" w:type="dxa"/>
          <w:jc w:val="center"/>
          <w:tblCellMar>
            <w:top w:w="0" w:type="dxa"/>
            <w:left w:w="108" w:type="dxa"/>
            <w:bottom w:w="0" w:type="dxa"/>
            <w:right w:w="108" w:type="dxa"/>
          </w:tblCellMar>
        </w:tblPrEx>
        <w:trPr>
          <w:trHeight w:val="454"/>
          <w:jc w:val="center"/>
        </w:trPr>
        <w:tc>
          <w:tcPr>
            <w:tcW w:w="0" w:type="auto"/>
            <w:tcBorders>
              <w:top w:val="nil"/>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2</w:t>
            </w:r>
          </w:p>
        </w:tc>
        <w:tc>
          <w:tcPr>
            <w:tcW w:w="0" w:type="auto"/>
            <w:tcBorders>
              <w:top w:val="nil"/>
              <w:left w:val="nil"/>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外海街道东南村松仔山地质灾害治理工程工程进度款（年中追加）</w:t>
            </w:r>
          </w:p>
        </w:tc>
        <w:tc>
          <w:tcPr>
            <w:tcW w:w="0" w:type="auto"/>
            <w:tcBorders>
              <w:top w:val="single" w:sz="4" w:space="0" w:color="auto"/>
              <w:left w:val="nil"/>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4</w:t>
            </w:r>
            <w:r>
              <w:rPr>
                <w:rFonts w:ascii="仿宋_GB2312" w:eastAsia="仿宋_GB2312" w:hAnsi="等线" w:cs="宋体"/>
                <w:kern w:val="0"/>
                <w:sz w:val="24"/>
              </w:rPr>
              <w:t>00</w:t>
            </w:r>
          </w:p>
        </w:tc>
        <w:tc>
          <w:tcPr>
            <w:tcW w:w="0" w:type="auto"/>
            <w:tcBorders>
              <w:top w:val="single" w:sz="4" w:space="0" w:color="auto"/>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400</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1</w:t>
            </w:r>
            <w:r>
              <w:rPr>
                <w:rFonts w:ascii="仿宋_GB2312" w:eastAsia="仿宋_GB2312" w:hAnsi="等线" w:cs="宋体"/>
                <w:kern w:val="0"/>
                <w:sz w:val="24"/>
              </w:rPr>
              <w:t>00%</w:t>
            </w:r>
          </w:p>
        </w:tc>
      </w:tr>
      <w:tr>
        <w:tblPrEx>
          <w:tblW w:w="8335" w:type="dxa"/>
          <w:jc w:val="center"/>
          <w:tblCellMar>
            <w:top w:w="0" w:type="dxa"/>
            <w:left w:w="108" w:type="dxa"/>
            <w:bottom w:w="0" w:type="dxa"/>
            <w:right w:w="108" w:type="dxa"/>
          </w:tblCellMar>
        </w:tblPrEx>
        <w:trPr>
          <w:trHeight w:val="454"/>
          <w:jc w:val="center"/>
        </w:trPr>
        <w:tc>
          <w:tcPr>
            <w:tcW w:w="0" w:type="auto"/>
            <w:tcBorders>
              <w:top w:val="nil"/>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3</w:t>
            </w:r>
          </w:p>
        </w:tc>
        <w:tc>
          <w:tcPr>
            <w:tcW w:w="0" w:type="auto"/>
            <w:tcBorders>
              <w:top w:val="nil"/>
              <w:left w:val="nil"/>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地质灾害点监测设备</w:t>
            </w:r>
          </w:p>
        </w:tc>
        <w:tc>
          <w:tcPr>
            <w:tcW w:w="0" w:type="auto"/>
            <w:tcBorders>
              <w:top w:val="single" w:sz="4" w:space="0" w:color="auto"/>
              <w:left w:val="nil"/>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3</w:t>
            </w:r>
            <w:r>
              <w:rPr>
                <w:rFonts w:ascii="仿宋_GB2312" w:eastAsia="仿宋_GB2312" w:hAnsi="等线" w:cs="宋体"/>
                <w:kern w:val="0"/>
                <w:sz w:val="24"/>
              </w:rPr>
              <w:t>0</w:t>
            </w:r>
          </w:p>
        </w:tc>
        <w:tc>
          <w:tcPr>
            <w:tcW w:w="0" w:type="auto"/>
            <w:tcBorders>
              <w:top w:val="single" w:sz="4" w:space="0" w:color="auto"/>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29.32</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9</w:t>
            </w:r>
            <w:r>
              <w:rPr>
                <w:rFonts w:ascii="仿宋_GB2312" w:eastAsia="仿宋_GB2312" w:hAnsi="等线" w:cs="宋体"/>
                <w:kern w:val="0"/>
                <w:sz w:val="24"/>
              </w:rPr>
              <w:t>7.73%</w:t>
            </w:r>
          </w:p>
        </w:tc>
      </w:tr>
      <w:tr>
        <w:tblPrEx>
          <w:tblW w:w="8335" w:type="dxa"/>
          <w:jc w:val="center"/>
          <w:tblCellMar>
            <w:top w:w="0" w:type="dxa"/>
            <w:left w:w="108" w:type="dxa"/>
            <w:bottom w:w="0" w:type="dxa"/>
            <w:right w:w="108" w:type="dxa"/>
          </w:tblCellMar>
        </w:tblPrEx>
        <w:trPr>
          <w:trHeight w:val="454"/>
          <w:jc w:val="center"/>
        </w:trPr>
        <w:tc>
          <w:tcPr>
            <w:tcW w:w="0" w:type="auto"/>
            <w:tcBorders>
              <w:top w:val="single" w:sz="4" w:space="0" w:color="auto"/>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4</w:t>
            </w:r>
          </w:p>
        </w:tc>
        <w:tc>
          <w:tcPr>
            <w:tcW w:w="0" w:type="auto"/>
            <w:tcBorders>
              <w:top w:val="single" w:sz="4" w:space="0" w:color="auto"/>
              <w:left w:val="nil"/>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地质灾害监测与技术支撑</w:t>
            </w:r>
          </w:p>
          <w:p>
            <w:pPr>
              <w:rPr>
                <w:rFonts w:ascii="仿宋_GB2312" w:eastAsia="仿宋_GB2312" w:hAnsi="等线" w:cs="宋体"/>
                <w:sz w:val="24"/>
              </w:rPr>
            </w:pPr>
          </w:p>
        </w:tc>
        <w:tc>
          <w:tcPr>
            <w:tcW w:w="0" w:type="auto"/>
            <w:tcBorders>
              <w:top w:val="single" w:sz="4" w:space="0" w:color="auto"/>
              <w:left w:val="nil"/>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5</w:t>
            </w:r>
          </w:p>
        </w:tc>
        <w:tc>
          <w:tcPr>
            <w:tcW w:w="0" w:type="auto"/>
            <w:tcBorders>
              <w:top w:val="single" w:sz="4" w:space="0" w:color="auto"/>
              <w:left w:val="single" w:sz="4" w:space="0" w:color="auto"/>
              <w:bottom w:val="single" w:sz="4" w:space="0" w:color="auto"/>
              <w:right w:val="single" w:sz="4" w:space="0" w:color="auto"/>
            </w:tcBorders>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5</w:t>
            </w:r>
            <w:r>
              <w:rPr>
                <w:rFonts w:ascii="仿宋_GB2312" w:eastAsia="仿宋_GB2312" w:hAnsi="等线" w:cs="宋体" w:hint="eastAsia"/>
                <w:kern w:val="0"/>
                <w:sz w:val="24"/>
              </w:rPr>
              <w:t xml:space="preserve"> </w:t>
            </w:r>
          </w:p>
        </w:tc>
        <w:tc>
          <w:tcPr>
            <w:tcW w:w="0" w:type="auto"/>
            <w:tcBorders>
              <w:top w:val="single" w:sz="4" w:space="0" w:color="auto"/>
              <w:left w:val="single" w:sz="4" w:space="0" w:color="auto"/>
              <w:bottom w:val="single" w:sz="4" w:space="0" w:color="auto"/>
              <w:right w:val="single" w:sz="4" w:space="0" w:color="auto"/>
            </w:tcBorders>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1</w:t>
            </w:r>
            <w:r>
              <w:rPr>
                <w:rFonts w:ascii="仿宋_GB2312" w:eastAsia="仿宋_GB2312" w:hAnsi="等线" w:cs="宋体"/>
                <w:kern w:val="0"/>
                <w:sz w:val="24"/>
              </w:rPr>
              <w:t>00%</w:t>
            </w:r>
          </w:p>
        </w:tc>
      </w:tr>
    </w:tbl>
    <w:p>
      <w:pPr>
        <w:pStyle w:val="Heading2"/>
        <w:spacing w:before="0" w:after="0" w:line="360" w:lineRule="auto"/>
        <w:ind w:firstLine="420" w:firstLineChars="200"/>
        <w:rPr>
          <w:rFonts w:ascii="楷体_GB2312" w:eastAsia="楷体_GB2312" w:hAnsi="仿宋"/>
        </w:rPr>
      </w:pPr>
      <w:bookmarkEnd w:id="10"/>
      <w:bookmarkStart w:id="12" w:name="_Toc112692593"/>
      <w:bookmarkStart w:id="13" w:name="_Toc486952620"/>
      <w:r>
        <w:rPr>
          <w:rFonts w:ascii="楷体_GB2312" w:eastAsia="楷体_GB2312" w:hAnsi="仿宋" w:hint="eastAsia"/>
        </w:rPr>
        <w:t>（二）绩效目标</w:t>
      </w:r>
      <w:bookmarkEnd w:id="12"/>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1</w:t>
      </w:r>
      <w:r>
        <w:rPr>
          <w:rFonts w:ascii="仿宋_GB2312" w:eastAsia="仿宋_GB2312" w:hAnsi="仿宋" w:cstheme="majorBidi"/>
          <w:bCs/>
          <w:sz w:val="32"/>
          <w:szCs w:val="32"/>
        </w:rPr>
        <w:t>.</w:t>
      </w:r>
      <w:r>
        <w:rPr>
          <w:rFonts w:ascii="仿宋_GB2312" w:eastAsia="仿宋_GB2312" w:hAnsi="仿宋" w:cstheme="majorBidi" w:hint="eastAsia"/>
          <w:bCs/>
          <w:sz w:val="32"/>
          <w:szCs w:val="32"/>
        </w:rPr>
        <w:t>项目总体目标</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实施地质灾害防治工程，</w:t>
      </w:r>
      <w:r>
        <w:rPr>
          <w:rFonts w:ascii="仿宋_GB2312" w:eastAsia="仿宋_GB2312" w:hAnsi="楷体" w:hint="eastAsia"/>
          <w:sz w:val="32"/>
          <w:szCs w:val="32"/>
        </w:rPr>
        <w:t>减少或避免地质灾害造成人员伤亡和经济损失，确保人民群众生命财产安全，保障经济社会可持续发展</w:t>
      </w:r>
      <w:r>
        <w:rPr>
          <w:rFonts w:ascii="仿宋_GB2312" w:eastAsia="仿宋_GB2312" w:hAnsi="仿宋" w:cstheme="majorBidi"/>
          <w:bCs/>
          <w:sz w:val="32"/>
          <w:szCs w:val="32"/>
        </w:rPr>
        <w:t>。</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2</w:t>
      </w:r>
      <w:r>
        <w:rPr>
          <w:rFonts w:ascii="仿宋_GB2312" w:eastAsia="仿宋_GB2312" w:hAnsi="仿宋" w:cstheme="majorBidi"/>
          <w:bCs/>
          <w:sz w:val="32"/>
          <w:szCs w:val="32"/>
        </w:rPr>
        <w:t>.</w:t>
      </w:r>
      <w:r>
        <w:rPr>
          <w:rFonts w:ascii="仿宋_GB2312" w:eastAsia="仿宋_GB2312" w:hAnsi="仿宋" w:cstheme="majorBidi" w:hint="eastAsia"/>
          <w:bCs/>
          <w:sz w:val="32"/>
          <w:szCs w:val="32"/>
        </w:rPr>
        <w:t>项目年度目标及完成情况</w:t>
      </w:r>
    </w:p>
    <w:p>
      <w:pPr>
        <w:spacing w:line="360" w:lineRule="auto"/>
        <w:ind w:firstLine="420" w:firstLineChars="200"/>
        <w:rPr>
          <w:rFonts w:ascii="黑体" w:eastAsia="黑体" w:hAnsi="黑体"/>
          <w:sz w:val="28"/>
          <w:szCs w:val="28"/>
        </w:rPr>
      </w:pPr>
      <w:r>
        <w:rPr>
          <w:rFonts w:ascii="仿宋_GB2312" w:eastAsia="仿宋_GB2312" w:hAnsi="仿宋" w:hint="eastAsia"/>
          <w:sz w:val="32"/>
          <w:szCs w:val="32"/>
        </w:rPr>
        <w:t>项目年中无调整绩效目标，无未完成的目标，绩效目标完成程度高</w:t>
      </w:r>
      <w:r>
        <w:rPr>
          <w:rFonts w:ascii="仿宋_GB2312" w:eastAsia="仿宋_GB2312" w:hAnsi="仿宋" w:cstheme="majorBidi" w:hint="eastAsia"/>
          <w:bCs/>
          <w:sz w:val="32"/>
          <w:szCs w:val="32"/>
        </w:rPr>
        <w:t>。项目年度目标和目标完成情况详见表1-</w:t>
      </w:r>
      <w:r>
        <w:rPr>
          <w:rFonts w:ascii="仿宋_GB2312" w:eastAsia="仿宋_GB2312" w:hAnsi="仿宋" w:cstheme="majorBidi"/>
          <w:bCs/>
          <w:sz w:val="32"/>
          <w:szCs w:val="32"/>
        </w:rPr>
        <w:t>2</w:t>
      </w:r>
      <w:r>
        <w:rPr>
          <w:rFonts w:ascii="仿宋_GB2312" w:eastAsia="仿宋_GB2312" w:hAnsi="仿宋" w:cstheme="majorBidi" w:hint="eastAsia"/>
          <w:bCs/>
          <w:sz w:val="32"/>
          <w:szCs w:val="32"/>
        </w:rPr>
        <w:t>。</w:t>
      </w:r>
    </w:p>
    <w:p>
      <w:pPr>
        <w:spacing w:line="360" w:lineRule="auto"/>
        <w:jc w:val="center"/>
        <w:rPr>
          <w:rFonts w:ascii="黑体" w:eastAsia="黑体" w:hAnsi="黑体"/>
          <w:sz w:val="28"/>
          <w:szCs w:val="28"/>
        </w:rPr>
      </w:pPr>
      <w:r>
        <w:rPr>
          <w:rFonts w:ascii="黑体" w:eastAsia="黑体" w:hAnsi="黑体" w:hint="eastAsia"/>
          <w:sz w:val="28"/>
          <w:szCs w:val="28"/>
        </w:rPr>
        <w:t>表1-</w:t>
      </w:r>
      <w:r>
        <w:rPr>
          <w:rFonts w:ascii="黑体" w:eastAsia="黑体" w:hAnsi="黑体"/>
          <w:sz w:val="28"/>
          <w:szCs w:val="28"/>
        </w:rPr>
        <w:t>2 2021年</w:t>
      </w:r>
      <w:r>
        <w:rPr>
          <w:rFonts w:ascii="黑体" w:eastAsia="黑体" w:hAnsi="黑体" w:hint="eastAsia"/>
          <w:sz w:val="28"/>
          <w:szCs w:val="28"/>
        </w:rPr>
        <w:t>江海区地质灾害项目年度目标及目标完成情况表</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1"/>
        <w:gridCol w:w="3251"/>
        <w:gridCol w:w="3236"/>
        <w:gridCol w:w="1002"/>
      </w:tblGrid>
      <w:tr>
        <w:tblPrEx>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637"/>
          <w:jc w:val="center"/>
        </w:trPr>
        <w:tc>
          <w:tcPr>
            <w:tcW w:w="811" w:type="dxa"/>
            <w:tcBorders>
              <w:tl2br w:val="nil"/>
              <w:tr2bl w:val="nil"/>
            </w:tcBorders>
            <w:shd w:val="clear" w:color="auto" w:fill="F1F1F1" w:themeFill="background1" w:themeFillShade="F2"/>
            <w:noWrap/>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目标</w:t>
            </w:r>
          </w:p>
        </w:tc>
        <w:tc>
          <w:tcPr>
            <w:tcW w:w="3251" w:type="dxa"/>
            <w:tcBorders>
              <w:tl2br w:val="nil"/>
              <w:tr2bl w:val="nil"/>
            </w:tcBorders>
            <w:shd w:val="clear" w:color="auto" w:fill="F1F1F1" w:themeFill="background1" w:themeFillShade="F2"/>
            <w:noWrap/>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年度目标</w:t>
            </w:r>
          </w:p>
        </w:tc>
        <w:tc>
          <w:tcPr>
            <w:tcW w:w="3236" w:type="dxa"/>
            <w:tcBorders>
              <w:tl2br w:val="nil"/>
              <w:tr2bl w:val="nil"/>
            </w:tcBorders>
            <w:shd w:val="clear" w:color="auto" w:fill="F1F1F1" w:themeFill="background1" w:themeFillShade="F2"/>
            <w:noWrap/>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目标完成情况</w:t>
            </w:r>
          </w:p>
        </w:tc>
        <w:tc>
          <w:tcPr>
            <w:tcW w:w="1002" w:type="dxa"/>
            <w:tcBorders>
              <w:tl2br w:val="nil"/>
              <w:tr2bl w:val="nil"/>
            </w:tcBorders>
            <w:shd w:val="clear" w:color="auto" w:fill="F1F1F1" w:themeFill="background1" w:themeFillShade="F2"/>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完成情况说明</w:t>
            </w:r>
          </w:p>
        </w:tc>
      </w:tr>
      <w:tr>
        <w:tblPrEx>
          <w:tblW w:w="8300" w:type="dxa"/>
          <w:jc w:val="center"/>
          <w:tblCellMar>
            <w:top w:w="0" w:type="dxa"/>
            <w:left w:w="108" w:type="dxa"/>
            <w:bottom w:w="0" w:type="dxa"/>
            <w:right w:w="108" w:type="dxa"/>
          </w:tblCellMar>
        </w:tblPrEx>
        <w:trPr>
          <w:cantSplit/>
          <w:trHeight w:val="851"/>
          <w:jc w:val="center"/>
        </w:trPr>
        <w:tc>
          <w:tcPr>
            <w:tcW w:w="811"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cs="仿宋_GB2312" w:hint="eastAsia"/>
                <w:kern w:val="0"/>
                <w:sz w:val="24"/>
              </w:rPr>
              <w:t>目标一</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完成江南街道2020年3个新增地质灾害点治理工程验收，消除三处地质灾害隐患</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完成江南街道2020年3个新增地质灾害点治理工程验收，消除三处地质灾害隐患</w:t>
            </w:r>
          </w:p>
        </w:tc>
        <w:tc>
          <w:tcPr>
            <w:tcW w:w="1002"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r>
        <w:tblPrEx>
          <w:tblW w:w="8300" w:type="dxa"/>
          <w:jc w:val="center"/>
          <w:tblCellMar>
            <w:top w:w="0" w:type="dxa"/>
            <w:left w:w="108" w:type="dxa"/>
            <w:bottom w:w="0" w:type="dxa"/>
            <w:right w:w="108" w:type="dxa"/>
          </w:tblCellMar>
        </w:tblPrEx>
        <w:trPr>
          <w:cantSplit/>
          <w:trHeight w:val="851"/>
          <w:jc w:val="center"/>
        </w:trPr>
        <w:tc>
          <w:tcPr>
            <w:tcW w:w="811"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目标二</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完成江海区地质灾害监测系统建设并通过验收</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完成江海区地质灾害监测系统建设并通过验收</w:t>
            </w:r>
          </w:p>
        </w:tc>
        <w:tc>
          <w:tcPr>
            <w:tcW w:w="1002"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r>
        <w:tblPrEx>
          <w:tblW w:w="8300" w:type="dxa"/>
          <w:jc w:val="center"/>
          <w:tblCellMar>
            <w:top w:w="0" w:type="dxa"/>
            <w:left w:w="108" w:type="dxa"/>
            <w:bottom w:w="0" w:type="dxa"/>
            <w:right w:w="108" w:type="dxa"/>
          </w:tblCellMar>
        </w:tblPrEx>
        <w:trPr>
          <w:cantSplit/>
          <w:trHeight w:val="851"/>
          <w:jc w:val="center"/>
        </w:trPr>
        <w:tc>
          <w:tcPr>
            <w:tcW w:w="811"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目标三</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地质灾害技术单位（省地质六队）为我区提供地质灾害应急调查服务，汛期每月开展地质灾害隐患巡查排查</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地质灾害技术单位（省地质六队）为我区提供地质灾害应急调查服务，汛期每月开展地质灾害隐患巡查排查</w:t>
            </w:r>
          </w:p>
        </w:tc>
        <w:tc>
          <w:tcPr>
            <w:tcW w:w="1002"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r>
        <w:tblPrEx>
          <w:tblW w:w="8300" w:type="dxa"/>
          <w:jc w:val="center"/>
          <w:tblCellMar>
            <w:top w:w="0" w:type="dxa"/>
            <w:left w:w="108" w:type="dxa"/>
            <w:bottom w:w="0" w:type="dxa"/>
            <w:right w:w="108" w:type="dxa"/>
          </w:tblCellMar>
        </w:tblPrEx>
        <w:trPr>
          <w:cantSplit/>
          <w:trHeight w:val="851"/>
          <w:jc w:val="center"/>
        </w:trPr>
        <w:tc>
          <w:tcPr>
            <w:tcW w:w="811"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目标四</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完成外海街道东南村松仔山地质灾害治理工程进度款支付</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完成外海街道东南村松仔山地质灾害治理工程进度款支付</w:t>
            </w:r>
          </w:p>
        </w:tc>
        <w:tc>
          <w:tcPr>
            <w:tcW w:w="1002"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bl>
    <w:p>
      <w:pPr>
        <w:spacing w:line="360" w:lineRule="auto"/>
        <w:ind w:firstLine="420" w:firstLineChars="200"/>
        <w:rPr>
          <w:rFonts w:ascii="仿宋_GB2312" w:eastAsia="仿宋_GB2312" w:hAnsi="仿宋" w:cstheme="majorBidi"/>
          <w:bCs/>
          <w:sz w:val="32"/>
          <w:szCs w:val="32"/>
        </w:rPr>
      </w:pPr>
      <w:bookmarkEnd w:id="13"/>
      <w:r>
        <w:rPr>
          <w:rFonts w:ascii="仿宋_GB2312" w:eastAsia="仿宋_GB2312" w:hAnsi="仿宋" w:cstheme="majorBidi" w:hint="eastAsia"/>
          <w:bCs/>
          <w:sz w:val="32"/>
          <w:szCs w:val="32"/>
        </w:rPr>
        <w:t>3</w:t>
      </w:r>
      <w:r>
        <w:rPr>
          <w:rFonts w:ascii="仿宋_GB2312" w:eastAsia="仿宋_GB2312" w:hAnsi="仿宋" w:cstheme="majorBidi"/>
          <w:bCs/>
          <w:sz w:val="32"/>
          <w:szCs w:val="32"/>
        </w:rPr>
        <w:t>.</w:t>
      </w:r>
      <w:r>
        <w:rPr>
          <w:rFonts w:ascii="仿宋_GB2312" w:eastAsia="仿宋_GB2312" w:hAnsi="仿宋" w:cstheme="majorBidi" w:hint="eastAsia"/>
          <w:bCs/>
          <w:sz w:val="32"/>
          <w:szCs w:val="32"/>
        </w:rPr>
        <w:t>项目绩效指标完成情况</w:t>
      </w:r>
    </w:p>
    <w:p>
      <w:pPr>
        <w:spacing w:line="160" w:lineRule="atLeast"/>
        <w:ind w:firstLine="570"/>
        <w:rPr>
          <w:rFonts w:ascii="仿宋_GB2312" w:eastAsia="仿宋_GB2312" w:hAnsi="仿宋" w:cstheme="majorBidi"/>
          <w:bCs/>
          <w:sz w:val="32"/>
          <w:szCs w:val="32"/>
        </w:rPr>
      </w:pPr>
      <w:r>
        <w:rPr>
          <w:rFonts w:ascii="仿宋_GB2312" w:eastAsia="仿宋_GB2312" w:hAnsi="仿宋" w:cstheme="majorBidi" w:hint="eastAsia"/>
          <w:bCs/>
          <w:sz w:val="32"/>
          <w:szCs w:val="32"/>
        </w:rPr>
        <w:t>项目无未完成的绩效指标，部分指标完成程度高于年初设定指标值，绩效指标完成程度高。项目绩效指标完成情况详见表1</w:t>
      </w:r>
      <w:r>
        <w:rPr>
          <w:rFonts w:ascii="仿宋_GB2312" w:eastAsia="仿宋_GB2312" w:hAnsi="仿宋" w:cstheme="majorBidi"/>
          <w:bCs/>
          <w:sz w:val="32"/>
          <w:szCs w:val="32"/>
        </w:rPr>
        <w:t>-3</w:t>
      </w:r>
      <w:r>
        <w:rPr>
          <w:rFonts w:ascii="仿宋_GB2312" w:eastAsia="仿宋_GB2312" w:hAnsi="仿宋" w:cstheme="majorBidi" w:hint="eastAsia"/>
          <w:bCs/>
          <w:sz w:val="32"/>
          <w:szCs w:val="32"/>
        </w:rPr>
        <w:t>。</w:t>
      </w:r>
    </w:p>
    <w:p>
      <w:pPr>
        <w:spacing w:line="160" w:lineRule="atLeast"/>
        <w:ind w:firstLine="570"/>
        <w:rPr>
          <w:rFonts w:ascii="仿宋_GB2312" w:eastAsia="仿宋_GB2312" w:hAnsi="仿宋" w:cstheme="majorBidi"/>
          <w:bCs/>
          <w:sz w:val="32"/>
          <w:szCs w:val="32"/>
        </w:rPr>
      </w:pPr>
    </w:p>
    <w:p>
      <w:pPr>
        <w:spacing w:line="160" w:lineRule="atLeast"/>
        <w:ind w:firstLine="570"/>
        <w:rPr>
          <w:rFonts w:ascii="仿宋_GB2312" w:eastAsia="仿宋_GB2312" w:hAnsi="仿宋" w:cstheme="majorBidi"/>
          <w:bCs/>
          <w:sz w:val="32"/>
          <w:szCs w:val="32"/>
        </w:rPr>
      </w:pPr>
    </w:p>
    <w:p>
      <w:pPr>
        <w:spacing w:line="160" w:lineRule="atLeast"/>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1</w:t>
      </w:r>
      <w:r>
        <w:rPr>
          <w:rFonts w:ascii="黑体" w:eastAsia="黑体" w:hAnsi="黑体" w:hint="eastAsia"/>
          <w:sz w:val="28"/>
          <w:szCs w:val="28"/>
        </w:rPr>
        <w:t>-</w:t>
      </w:r>
      <w:r>
        <w:rPr>
          <w:rFonts w:ascii="黑体" w:eastAsia="黑体" w:hAnsi="黑体"/>
          <w:sz w:val="28"/>
          <w:szCs w:val="28"/>
        </w:rPr>
        <w:t>3</w:t>
      </w:r>
      <w:r>
        <w:rPr>
          <w:rFonts w:ascii="黑体" w:eastAsia="黑体" w:hAnsi="黑体" w:hint="eastAsia"/>
          <w:sz w:val="28"/>
          <w:szCs w:val="28"/>
        </w:rPr>
        <w:t xml:space="preserve"> </w:t>
      </w:r>
      <w:r>
        <w:rPr>
          <w:rFonts w:ascii="黑体" w:eastAsia="黑体" w:hAnsi="黑体"/>
          <w:sz w:val="28"/>
          <w:szCs w:val="28"/>
        </w:rPr>
        <w:t>2021年</w:t>
      </w:r>
      <w:r>
        <w:rPr>
          <w:rFonts w:ascii="黑体" w:eastAsia="黑体" w:hAnsi="黑体" w:hint="eastAsia"/>
          <w:sz w:val="28"/>
          <w:szCs w:val="28"/>
        </w:rPr>
        <w:t>江海区地质灾害项目绩效指标完成情况</w:t>
      </w:r>
    </w:p>
    <w:tbl>
      <w:tblPr>
        <w:tblStyle w:val="TableNormal"/>
        <w:tblW w:w="8335" w:type="dxa"/>
        <w:jc w:val="center"/>
        <w:tblCellMar>
          <w:top w:w="0" w:type="dxa"/>
          <w:left w:w="108" w:type="dxa"/>
          <w:bottom w:w="0" w:type="dxa"/>
          <w:right w:w="108" w:type="dxa"/>
        </w:tblCellMar>
      </w:tblPr>
      <w:tblGrid>
        <w:gridCol w:w="838"/>
        <w:gridCol w:w="1316"/>
        <w:gridCol w:w="2681"/>
        <w:gridCol w:w="1207"/>
        <w:gridCol w:w="1165"/>
        <w:gridCol w:w="1128"/>
      </w:tblGrid>
      <w:tr>
        <w:tblPrEx>
          <w:tblW w:w="8335" w:type="dxa"/>
          <w:jc w:val="center"/>
          <w:tblCellMar>
            <w:top w:w="0" w:type="dxa"/>
            <w:left w:w="108" w:type="dxa"/>
            <w:bottom w:w="0" w:type="dxa"/>
            <w:right w:w="108" w:type="dxa"/>
          </w:tblCellMar>
        </w:tblPrEx>
        <w:trPr>
          <w:trHeight w:val="727"/>
          <w:jc w:val="center"/>
        </w:trPr>
        <w:tc>
          <w:tcPr>
            <w:tcW w:w="852" w:type="dxa"/>
            <w:tcBorders>
              <w:top w:val="single" w:sz="4" w:space="0" w:color="000000"/>
              <w:left w:val="single" w:sz="4" w:space="0" w:color="000000"/>
              <w:bottom w:val="single" w:sz="4" w:space="0" w:color="auto"/>
              <w:right w:val="single" w:sz="4" w:space="0" w:color="000000"/>
            </w:tcBorders>
            <w:shd w:val="clear" w:color="auto" w:fill="F1F1F1" w:themeFill="background1" w:themeFillShade="F2"/>
            <w:vAlign w:val="center"/>
          </w:tcPr>
          <w:p>
            <w:pPr>
              <w:widowControl/>
              <w:jc w:val="center"/>
              <w:rPr>
                <w:rFonts w:ascii="仿宋_GB2312" w:eastAsia="仿宋_GB2312"/>
                <w:b/>
                <w:bCs/>
                <w:sz w:val="24"/>
              </w:rPr>
            </w:pPr>
            <w:r>
              <w:rPr>
                <w:rFonts w:ascii="仿宋_GB2312" w:eastAsia="仿宋_GB2312" w:hint="eastAsia"/>
                <w:b/>
                <w:bCs/>
                <w:sz w:val="24"/>
              </w:rPr>
              <w:t>一级指标</w:t>
            </w:r>
          </w:p>
        </w:tc>
        <w:tc>
          <w:tcPr>
            <w:tcW w:w="1346"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hint="eastAsia"/>
                <w:b/>
                <w:bCs/>
                <w:sz w:val="24"/>
              </w:rPr>
              <w:t>二级指标</w:t>
            </w:r>
          </w:p>
        </w:tc>
        <w:tc>
          <w:tcPr>
            <w:tcW w:w="2750" w:type="dxa"/>
            <w:tcBorders>
              <w:top w:val="single" w:sz="4" w:space="0" w:color="000000"/>
              <w:left w:val="single" w:sz="4" w:space="0" w:color="000000"/>
              <w:bottom w:val="single" w:sz="4" w:space="0" w:color="auto"/>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cs="仿宋_GB2312" w:hint="eastAsia"/>
                <w:b/>
                <w:bCs/>
                <w:kern w:val="0"/>
                <w:sz w:val="24"/>
              </w:rPr>
              <w:t>指标名称</w:t>
            </w:r>
          </w:p>
        </w:tc>
        <w:tc>
          <w:tcPr>
            <w:tcW w:w="1233"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cs="仿宋_GB2312" w:hint="eastAsia"/>
                <w:b/>
                <w:bCs/>
                <w:kern w:val="0"/>
                <w:sz w:val="24"/>
              </w:rPr>
              <w:t>年度申报指标值</w:t>
            </w:r>
          </w:p>
        </w:tc>
        <w:tc>
          <w:tcPr>
            <w:tcW w:w="1190"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cs="仿宋_GB2312" w:hint="eastAsia"/>
                <w:b/>
                <w:bCs/>
                <w:kern w:val="0"/>
                <w:sz w:val="24"/>
              </w:rPr>
              <w:t>实际完成指标值</w:t>
            </w:r>
          </w:p>
        </w:tc>
        <w:tc>
          <w:tcPr>
            <w:tcW w:w="1151"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cs="仿宋_GB2312"/>
                <w:b/>
                <w:bCs/>
                <w:kern w:val="0"/>
                <w:sz w:val="24"/>
              </w:rPr>
            </w:pPr>
            <w:r>
              <w:rPr>
                <w:rFonts w:ascii="仿宋_GB2312" w:eastAsia="仿宋_GB2312" w:cs="仿宋_GB2312" w:hint="eastAsia"/>
                <w:b/>
                <w:bCs/>
                <w:kern w:val="0"/>
                <w:sz w:val="24"/>
              </w:rPr>
              <w:t>完成情况说明</w:t>
            </w:r>
          </w:p>
        </w:tc>
      </w:tr>
      <w:tr>
        <w:tblPrEx>
          <w:tblW w:w="8335" w:type="dxa"/>
          <w:jc w:val="center"/>
          <w:tblCellMar>
            <w:top w:w="0" w:type="dxa"/>
            <w:left w:w="108" w:type="dxa"/>
            <w:bottom w:w="0" w:type="dxa"/>
            <w:right w:w="108" w:type="dxa"/>
          </w:tblCellMar>
        </w:tblPrEx>
        <w:trPr>
          <w:trHeight w:val="550"/>
          <w:jc w:val="center"/>
        </w:trPr>
        <w:tc>
          <w:tcPr>
            <w:tcW w:w="852" w:type="dxa"/>
            <w:vMerge w:val="restart"/>
            <w:tcBorders>
              <w:top w:val="single" w:sz="4" w:space="0" w:color="000000"/>
              <w:left w:val="single" w:sz="4" w:space="0" w:color="000000"/>
              <w:right w:val="single" w:sz="4" w:space="0" w:color="000000"/>
            </w:tcBorders>
            <w:vAlign w:val="center"/>
          </w:tcPr>
          <w:p>
            <w:pPr>
              <w:widowControl/>
              <w:wordWrap w:val="0"/>
              <w:jc w:val="center"/>
              <w:rPr>
                <w:rFonts w:ascii="仿宋_GB2312" w:eastAsia="仿宋_GB2312"/>
                <w:sz w:val="24"/>
              </w:rPr>
            </w:pPr>
            <w:r>
              <w:rPr>
                <w:rFonts w:ascii="仿宋_GB2312" w:eastAsia="仿宋_GB2312" w:hint="eastAsia"/>
                <w:kern w:val="0"/>
                <w:sz w:val="24"/>
              </w:rPr>
              <w:t>产出指标</w:t>
            </w:r>
          </w:p>
        </w:tc>
        <w:tc>
          <w:tcPr>
            <w:tcW w:w="1346" w:type="dxa"/>
            <w:vMerge w:val="restart"/>
            <w:tcBorders>
              <w:top w:val="single" w:sz="4" w:space="0" w:color="000000"/>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数量指标</w:t>
            </w: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地质灾害隐患排查率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right w:val="single" w:sz="4" w:space="0" w:color="000000"/>
            </w:tcBorders>
            <w:vAlign w:val="center"/>
          </w:tcPr>
          <w:p>
            <w:pPr>
              <w:widowControl/>
              <w:wordWrap w:val="0"/>
              <w:jc w:val="center"/>
              <w:rPr>
                <w:rFonts w:ascii="仿宋_GB2312" w:eastAsia="仿宋_GB2312"/>
                <w:sz w:val="24"/>
              </w:rPr>
            </w:pPr>
          </w:p>
        </w:tc>
        <w:tc>
          <w:tcPr>
            <w:tcW w:w="1346" w:type="dxa"/>
            <w:vMerge/>
            <w:tcBorders>
              <w:top w:val="single" w:sz="4" w:space="0" w:color="000000"/>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jc w:val="center"/>
              <w:rPr>
                <w:rFonts w:ascii="仿宋_GB2312" w:eastAsia="仿宋_GB2312"/>
                <w:kern w:val="0"/>
                <w:sz w:val="24"/>
              </w:rPr>
            </w:pPr>
            <w:r>
              <w:rPr>
                <w:rFonts w:ascii="仿宋_GB2312" w:eastAsia="仿宋_GB2312" w:hint="eastAsia"/>
                <w:kern w:val="0"/>
                <w:sz w:val="24"/>
              </w:rPr>
              <w:t>消除地质灾害隐患点</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3</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3</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right w:val="single" w:sz="4" w:space="0" w:color="000000"/>
            </w:tcBorders>
            <w:vAlign w:val="center"/>
          </w:tcPr>
          <w:p>
            <w:pPr>
              <w:widowControl/>
              <w:wordWrap w:val="0"/>
              <w:jc w:val="center"/>
              <w:rPr>
                <w:rFonts w:ascii="仿宋_GB2312" w:eastAsia="仿宋_GB2312"/>
                <w:sz w:val="24"/>
              </w:rPr>
            </w:pPr>
          </w:p>
        </w:tc>
        <w:tc>
          <w:tcPr>
            <w:tcW w:w="1346" w:type="dxa"/>
            <w:vMerge w:val="restart"/>
            <w:tcBorders>
              <w:top w:val="single" w:sz="4" w:space="0" w:color="000000"/>
              <w:left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质量指标</w:t>
            </w: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监测数据有效利用率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95%</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95%</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bottom w:val="single" w:sz="4" w:space="0" w:color="auto"/>
              <w:right w:val="single" w:sz="4" w:space="0" w:color="000000"/>
            </w:tcBorders>
            <w:vAlign w:val="center"/>
          </w:tcPr>
          <w:p>
            <w:pPr>
              <w:widowControl/>
              <w:wordWrap w:val="0"/>
              <w:jc w:val="center"/>
              <w:rPr>
                <w:rFonts w:ascii="仿宋_GB2312" w:eastAsia="仿宋_GB2312"/>
                <w:sz w:val="24"/>
              </w:rPr>
            </w:pPr>
          </w:p>
        </w:tc>
        <w:tc>
          <w:tcPr>
            <w:tcW w:w="1346" w:type="dxa"/>
            <w:vMerge/>
            <w:tcBorders>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工程事故发生率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0%</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效益</w:t>
            </w:r>
          </w:p>
          <w:p>
            <w:pPr>
              <w:widowControl/>
              <w:wordWrap w:val="0"/>
              <w:jc w:val="center"/>
              <w:rPr>
                <w:rFonts w:ascii="仿宋_GB2312" w:eastAsia="仿宋_GB2312"/>
                <w:kern w:val="0"/>
                <w:sz w:val="24"/>
              </w:rPr>
            </w:pPr>
            <w:r>
              <w:rPr>
                <w:rFonts w:ascii="仿宋_GB2312" w:eastAsia="仿宋_GB2312" w:hint="eastAsia"/>
                <w:kern w:val="0"/>
                <w:sz w:val="24"/>
              </w:rPr>
              <w:t>指标</w:t>
            </w:r>
          </w:p>
        </w:tc>
        <w:tc>
          <w:tcPr>
            <w:tcW w:w="1346" w:type="dxa"/>
            <w:tcBorders>
              <w:top w:val="single" w:sz="4" w:space="0" w:color="auto"/>
              <w:left w:val="single" w:sz="4" w:space="0" w:color="000000"/>
              <w:bottom w:val="single" w:sz="4" w:space="0" w:color="000000"/>
              <w:right w:val="single" w:sz="4" w:space="0" w:color="000000"/>
            </w:tcBorders>
            <w:vAlign w:val="center"/>
          </w:tcPr>
          <w:p>
            <w:pPr>
              <w:widowControl/>
              <w:jc w:val="center"/>
              <w:rPr>
                <w:rFonts w:ascii="仿宋_GB2312" w:eastAsia="仿宋_GB2312"/>
                <w:kern w:val="0"/>
                <w:sz w:val="24"/>
              </w:rPr>
            </w:pPr>
            <w:r>
              <w:rPr>
                <w:rFonts w:ascii="仿宋_GB2312" w:eastAsia="仿宋_GB2312" w:hint="eastAsia"/>
                <w:kern w:val="0"/>
                <w:sz w:val="24"/>
              </w:rPr>
              <w:t>社会效益</w:t>
            </w:r>
          </w:p>
          <w:p>
            <w:pPr>
              <w:widowControl/>
              <w:jc w:val="center"/>
              <w:rPr>
                <w:rFonts w:ascii="仿宋_GB2312" w:eastAsia="仿宋_GB2312"/>
                <w:kern w:val="0"/>
                <w:sz w:val="24"/>
              </w:rPr>
            </w:pPr>
            <w:r>
              <w:rPr>
                <w:rFonts w:ascii="仿宋_GB2312" w:eastAsia="仿宋_GB2312" w:hint="eastAsia"/>
                <w:kern w:val="0"/>
                <w:sz w:val="24"/>
              </w:rPr>
              <w:t>指标</w:t>
            </w: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灾害事件下降率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80%</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val="restart"/>
            <w:tcBorders>
              <w:top w:val="single" w:sz="4" w:space="0" w:color="auto"/>
              <w:left w:val="single" w:sz="4" w:space="0" w:color="000000"/>
              <w:right w:val="single" w:sz="4" w:space="0" w:color="000000"/>
            </w:tcBorders>
            <w:vAlign w:val="center"/>
          </w:tcPr>
          <w:p>
            <w:pPr>
              <w:widowControl/>
              <w:wordWrap w:val="0"/>
              <w:jc w:val="center"/>
              <w:rPr>
                <w:rFonts w:ascii="仿宋_GB2312" w:eastAsia="仿宋_GB2312"/>
                <w:sz w:val="24"/>
              </w:rPr>
            </w:pPr>
            <w:r>
              <w:rPr>
                <w:rFonts w:ascii="仿宋_GB2312" w:eastAsia="仿宋_GB2312" w:hint="eastAsia"/>
                <w:sz w:val="24"/>
              </w:rPr>
              <w:t>满意度指标</w:t>
            </w:r>
          </w:p>
        </w:tc>
        <w:tc>
          <w:tcPr>
            <w:tcW w:w="1346" w:type="dxa"/>
            <w:vMerge w:val="restart"/>
            <w:tcBorders>
              <w:top w:val="single" w:sz="4" w:space="0" w:color="auto"/>
              <w:left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服务对象</w:t>
            </w:r>
          </w:p>
          <w:p>
            <w:pPr>
              <w:widowControl/>
              <w:wordWrap w:val="0"/>
              <w:jc w:val="center"/>
              <w:rPr>
                <w:rFonts w:ascii="仿宋_GB2312" w:eastAsia="仿宋_GB2312"/>
                <w:kern w:val="0"/>
                <w:sz w:val="24"/>
              </w:rPr>
            </w:pPr>
            <w:r>
              <w:rPr>
                <w:rFonts w:ascii="仿宋_GB2312" w:eastAsia="仿宋_GB2312" w:hint="eastAsia"/>
                <w:kern w:val="0"/>
                <w:sz w:val="24"/>
              </w:rPr>
              <w:t>满意度指标</w:t>
            </w:r>
          </w:p>
        </w:tc>
        <w:tc>
          <w:tcPr>
            <w:tcW w:w="2750"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群众满意度</w:t>
            </w:r>
          </w:p>
        </w:tc>
        <w:tc>
          <w:tcPr>
            <w:tcW w:w="1233"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98%</w:t>
            </w:r>
          </w:p>
        </w:tc>
        <w:tc>
          <w:tcPr>
            <w:tcW w:w="1190"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bottom w:val="single" w:sz="4" w:space="0" w:color="000000"/>
              <w:right w:val="single" w:sz="4" w:space="0" w:color="000000"/>
            </w:tcBorders>
            <w:vAlign w:val="center"/>
          </w:tcPr>
          <w:p>
            <w:pPr>
              <w:widowControl/>
              <w:wordWrap w:val="0"/>
              <w:jc w:val="center"/>
              <w:rPr>
                <w:rFonts w:ascii="仿宋_GB2312" w:eastAsia="仿宋_GB2312"/>
                <w:sz w:val="24"/>
              </w:rPr>
            </w:pPr>
          </w:p>
        </w:tc>
        <w:tc>
          <w:tcPr>
            <w:tcW w:w="1346" w:type="dxa"/>
            <w:vMerge/>
            <w:tcBorders>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投诉下降率（灾害隐患点）</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95%</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bl>
    <w:p>
      <w:pPr>
        <w:spacing w:line="360" w:lineRule="auto"/>
        <w:ind w:firstLine="420" w:firstLineChars="200"/>
        <w:rPr>
          <w:rFonts w:ascii="楷体_GB2312" w:eastAsia="楷体_GB2312" w:hAnsi="仿宋" w:cstheme="majorBidi"/>
          <w:b/>
          <w:bCs/>
          <w:sz w:val="32"/>
          <w:szCs w:val="32"/>
        </w:rPr>
      </w:pPr>
    </w:p>
    <w:p>
      <w:pPr>
        <w:pStyle w:val="Heading1"/>
      </w:pPr>
      <w:bookmarkStart w:id="14" w:name="_Toc112692594"/>
      <w:r>
        <w:rPr>
          <w:rFonts w:hint="eastAsia"/>
        </w:rPr>
        <w:t>二、综合评价结论</w:t>
      </w:r>
      <w:bookmarkEnd w:id="14"/>
    </w:p>
    <w:p>
      <w:pPr>
        <w:spacing w:line="360" w:lineRule="auto"/>
        <w:ind w:firstLine="420" w:firstLineChars="200"/>
        <w:rPr>
          <w:rFonts w:ascii="仿宋_GB2312" w:eastAsia="仿宋_GB2312" w:hAnsi="仿宋" w:cs="Arial"/>
          <w:kern w:val="0"/>
          <w:sz w:val="32"/>
          <w:szCs w:val="32"/>
        </w:rPr>
      </w:pPr>
      <w:r>
        <w:rPr>
          <w:rFonts w:ascii="仿宋_GB2312" w:eastAsia="仿宋_GB2312" w:hAnsi="仿宋" w:hint="eastAsia"/>
          <w:sz w:val="32"/>
          <w:szCs w:val="32"/>
        </w:rPr>
        <w:t>通过自评材料分析和实地调研，结合资金管理水平、项目管理水平、项目开展绩效、自评组织工作四方面综合对项目资金使用进行比较分析，评价工作组认为：总体上，2021年江海区地质灾害专项支出取得了一定成效，项目在资金管理水平和项目开展绩效方面的表现相对较好，资金使用率高，实施效益明显，而在项目管理水平和自评组织工作方面的表现相对较差，主要存在问题是：项目管理制度不够健全，管理水平有待提高；绩效指标设置不够完善，个别指标完成情况考量方式的科学性有待提升；自评工作组织管理有待提升。本次</w:t>
      </w:r>
      <w:r>
        <w:rPr>
          <w:rFonts w:ascii="仿宋_GB2312" w:eastAsia="仿宋_GB2312" w:hAnsi="仿宋" w:cs="Arial" w:hint="eastAsia"/>
          <w:kern w:val="0"/>
          <w:sz w:val="32"/>
          <w:szCs w:val="32"/>
        </w:rPr>
        <w:t>项目综合评价得分为8</w:t>
      </w:r>
      <w:r>
        <w:rPr>
          <w:rFonts w:ascii="仿宋_GB2312" w:eastAsia="仿宋_GB2312" w:hAnsi="仿宋" w:cs="Arial"/>
          <w:kern w:val="0"/>
          <w:sz w:val="32"/>
          <w:szCs w:val="32"/>
        </w:rPr>
        <w:t>5</w:t>
      </w:r>
      <w:r>
        <w:rPr>
          <w:rFonts w:ascii="仿宋_GB2312" w:eastAsia="仿宋_GB2312" w:hAnsi="仿宋" w:cs="Arial" w:hint="eastAsia"/>
          <w:kern w:val="0"/>
          <w:sz w:val="32"/>
          <w:szCs w:val="32"/>
        </w:rPr>
        <w:t>分，评价等级为“良”。评价得分情况详见表1</w:t>
      </w:r>
      <w:r>
        <w:rPr>
          <w:rFonts w:ascii="仿宋_GB2312" w:eastAsia="仿宋_GB2312" w:hAnsi="仿宋" w:cs="Arial"/>
          <w:kern w:val="0"/>
          <w:sz w:val="32"/>
          <w:szCs w:val="32"/>
        </w:rPr>
        <w:t>-4</w:t>
      </w:r>
      <w:r>
        <w:rPr>
          <w:rFonts w:ascii="仿宋_GB2312" w:eastAsia="仿宋_GB2312" w:hAnsi="仿宋" w:cs="Arial" w:hint="eastAsia"/>
          <w:kern w:val="0"/>
          <w:sz w:val="32"/>
          <w:szCs w:val="32"/>
        </w:rPr>
        <w:t>、图1</w:t>
      </w:r>
      <w:r>
        <w:rPr>
          <w:rFonts w:ascii="仿宋_GB2312" w:eastAsia="仿宋_GB2312" w:hAnsi="仿宋" w:cs="Arial"/>
          <w:kern w:val="0"/>
          <w:sz w:val="32"/>
          <w:szCs w:val="32"/>
        </w:rPr>
        <w:t>-1</w:t>
      </w:r>
      <w:r>
        <w:rPr>
          <w:rFonts w:ascii="仿宋_GB2312" w:eastAsia="仿宋_GB2312" w:hAnsi="仿宋" w:cs="Arial" w:hint="eastAsia"/>
          <w:kern w:val="0"/>
          <w:sz w:val="32"/>
          <w:szCs w:val="32"/>
        </w:rPr>
        <w:t>。</w:t>
      </w:r>
    </w:p>
    <w:p>
      <w:pPr>
        <w:spacing w:line="360" w:lineRule="auto"/>
        <w:ind w:firstLine="420" w:firstLineChars="200"/>
        <w:jc w:val="center"/>
        <w:rPr>
          <w:rFonts w:ascii="黑体" w:eastAsia="黑体" w:hAnsi="黑体"/>
          <w:sz w:val="28"/>
          <w:szCs w:val="28"/>
        </w:rPr>
      </w:pPr>
      <w:r>
        <w:rPr>
          <w:rFonts w:ascii="黑体" w:eastAsia="黑体" w:hAnsi="黑体" w:hint="eastAsia"/>
          <w:sz w:val="28"/>
          <w:szCs w:val="28"/>
        </w:rPr>
        <w:t>表1</w:t>
      </w:r>
      <w:r>
        <w:rPr>
          <w:rFonts w:ascii="黑体" w:eastAsia="黑体" w:hAnsi="黑体"/>
          <w:sz w:val="28"/>
          <w:szCs w:val="28"/>
        </w:rPr>
        <w:t xml:space="preserve">-4 </w:t>
      </w:r>
      <w:r>
        <w:rPr>
          <w:rFonts w:ascii="黑体" w:eastAsia="黑体" w:hAnsi="黑体" w:hint="eastAsia"/>
          <w:sz w:val="28"/>
          <w:szCs w:val="28"/>
        </w:rPr>
        <w:t>评价得分情况总表</w:t>
      </w:r>
    </w:p>
    <w:tbl>
      <w:tblPr>
        <w:tblStyle w:val="TableGrid"/>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130"/>
        <w:gridCol w:w="2130"/>
        <w:gridCol w:w="2131"/>
        <w:gridCol w:w="2131"/>
      </w:tblGrid>
      <w:tr>
        <w:tblPrEx>
          <w:tblW w:w="0" w:type="auto"/>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tcW w:w="2130" w:type="dxa"/>
            <w:shd w:val="clear" w:color="auto" w:fill="F1F1F1" w:themeFill="background1" w:themeFillShade="F2"/>
          </w:tcPr>
          <w:p>
            <w:pPr>
              <w:spacing w:line="360" w:lineRule="auto"/>
              <w:jc w:val="center"/>
              <w:rPr>
                <w:rFonts w:ascii="仿宋_GB2312" w:eastAsia="仿宋_GB2312" w:hAnsi="仿宋" w:cs="Arial"/>
                <w:b/>
                <w:bCs/>
                <w:kern w:val="0"/>
                <w:sz w:val="24"/>
              </w:rPr>
            </w:pPr>
            <w:r>
              <w:rPr>
                <w:rFonts w:ascii="仿宋_GB2312" w:eastAsia="仿宋_GB2312" w:hAnsi="仿宋" w:cs="Arial" w:hint="eastAsia"/>
                <w:b/>
                <w:bCs/>
                <w:kern w:val="0"/>
                <w:sz w:val="24"/>
              </w:rPr>
              <w:t>评价因素</w:t>
            </w:r>
          </w:p>
        </w:tc>
        <w:tc>
          <w:tcPr>
            <w:tcW w:w="2130" w:type="dxa"/>
            <w:shd w:val="clear" w:color="auto" w:fill="F1F1F1" w:themeFill="background1" w:themeFillShade="F2"/>
          </w:tcPr>
          <w:p>
            <w:pPr>
              <w:spacing w:line="360" w:lineRule="auto"/>
              <w:jc w:val="center"/>
              <w:rPr>
                <w:rFonts w:ascii="仿宋_GB2312" w:eastAsia="仿宋_GB2312" w:hAnsi="仿宋" w:cs="Arial"/>
                <w:b/>
                <w:bCs/>
                <w:kern w:val="0"/>
                <w:sz w:val="24"/>
              </w:rPr>
            </w:pPr>
            <w:r>
              <w:rPr>
                <w:rFonts w:ascii="仿宋_GB2312" w:eastAsia="仿宋_GB2312" w:hAnsi="仿宋" w:cs="Arial" w:hint="eastAsia"/>
                <w:b/>
                <w:bCs/>
                <w:kern w:val="0"/>
                <w:sz w:val="24"/>
              </w:rPr>
              <w:t>分值</w:t>
            </w:r>
          </w:p>
        </w:tc>
        <w:tc>
          <w:tcPr>
            <w:tcW w:w="2131" w:type="dxa"/>
            <w:shd w:val="clear" w:color="auto" w:fill="F1F1F1" w:themeFill="background1" w:themeFillShade="F2"/>
          </w:tcPr>
          <w:p>
            <w:pPr>
              <w:spacing w:line="360" w:lineRule="auto"/>
              <w:jc w:val="center"/>
              <w:rPr>
                <w:rFonts w:ascii="仿宋_GB2312" w:eastAsia="仿宋_GB2312" w:hAnsi="仿宋" w:cs="Arial"/>
                <w:b/>
                <w:bCs/>
                <w:kern w:val="0"/>
                <w:sz w:val="24"/>
              </w:rPr>
            </w:pPr>
            <w:r>
              <w:rPr>
                <w:rFonts w:ascii="仿宋_GB2312" w:eastAsia="仿宋_GB2312" w:hAnsi="仿宋" w:cs="Arial" w:hint="eastAsia"/>
                <w:b/>
                <w:bCs/>
                <w:kern w:val="0"/>
                <w:sz w:val="24"/>
              </w:rPr>
              <w:t>评价得分</w:t>
            </w:r>
          </w:p>
        </w:tc>
        <w:tc>
          <w:tcPr>
            <w:tcW w:w="2131" w:type="dxa"/>
            <w:shd w:val="clear" w:color="auto" w:fill="F1F1F1" w:themeFill="background1" w:themeFillShade="F2"/>
          </w:tcPr>
          <w:p>
            <w:pPr>
              <w:spacing w:line="360" w:lineRule="auto"/>
              <w:jc w:val="center"/>
              <w:rPr>
                <w:rFonts w:ascii="仿宋_GB2312" w:eastAsia="仿宋_GB2312" w:hAnsi="仿宋" w:cs="Arial"/>
                <w:b/>
                <w:bCs/>
                <w:kern w:val="0"/>
                <w:sz w:val="24"/>
              </w:rPr>
            </w:pPr>
            <w:r>
              <w:rPr>
                <w:rFonts w:ascii="仿宋_GB2312" w:eastAsia="仿宋_GB2312" w:hAnsi="仿宋" w:cs="Arial" w:hint="eastAsia"/>
                <w:b/>
                <w:bCs/>
                <w:kern w:val="0"/>
                <w:sz w:val="24"/>
              </w:rPr>
              <w:t>得分率</w:t>
            </w:r>
          </w:p>
        </w:tc>
      </w:tr>
      <w:tr>
        <w:tblPrEx>
          <w:tblW w:w="0" w:type="auto"/>
          <w:tblInd w:w="0" w:type="dxa"/>
          <w:tblCellMar>
            <w:top w:w="0" w:type="dxa"/>
            <w:left w:w="108" w:type="dxa"/>
            <w:bottom w:w="0" w:type="dxa"/>
            <w:right w:w="108" w:type="dxa"/>
          </w:tblCellMar>
        </w:tblPrEx>
        <w:tc>
          <w:tcPr>
            <w:tcW w:w="2130" w:type="dxa"/>
          </w:tcPr>
          <w:p>
            <w:pPr>
              <w:spacing w:line="360" w:lineRule="auto"/>
              <w:jc w:val="center"/>
              <w:rPr>
                <w:rFonts w:ascii="仿宋_GB2312" w:eastAsia="仿宋_GB2312" w:hAnsi="仿宋" w:cs="Arial"/>
                <w:b/>
                <w:bCs/>
                <w:kern w:val="0"/>
                <w:sz w:val="24"/>
              </w:rPr>
            </w:pPr>
            <w:r>
              <w:rPr>
                <w:rFonts w:ascii="仿宋_GB2312" w:eastAsia="仿宋_GB2312" w:hAnsi="仿宋" w:cs="Arial" w:hint="eastAsia"/>
                <w:b/>
                <w:bCs/>
                <w:kern w:val="0"/>
                <w:sz w:val="24"/>
              </w:rPr>
              <w:t>评价总分</w:t>
            </w:r>
          </w:p>
        </w:tc>
        <w:tc>
          <w:tcPr>
            <w:tcW w:w="2130" w:type="dxa"/>
          </w:tcPr>
          <w:p>
            <w:pPr>
              <w:spacing w:line="360" w:lineRule="auto"/>
              <w:jc w:val="center"/>
              <w:rPr>
                <w:rFonts w:ascii="仿宋_GB2312" w:eastAsia="仿宋_GB2312" w:hAnsi="仿宋" w:cs="Arial"/>
                <w:b/>
                <w:bCs/>
                <w:kern w:val="0"/>
                <w:sz w:val="24"/>
              </w:rPr>
            </w:pPr>
            <w:r>
              <w:rPr>
                <w:rFonts w:ascii="仿宋_GB2312" w:eastAsia="仿宋_GB2312" w:hAnsi="仿宋" w:cs="Arial" w:hint="eastAsia"/>
                <w:b/>
                <w:bCs/>
                <w:kern w:val="0"/>
                <w:sz w:val="24"/>
              </w:rPr>
              <w:t>1</w:t>
            </w:r>
            <w:r>
              <w:rPr>
                <w:rFonts w:ascii="仿宋_GB2312" w:eastAsia="仿宋_GB2312" w:hAnsi="仿宋" w:cs="Arial"/>
                <w:b/>
                <w:bCs/>
                <w:kern w:val="0"/>
                <w:sz w:val="24"/>
              </w:rPr>
              <w:t>00</w:t>
            </w:r>
          </w:p>
        </w:tc>
        <w:tc>
          <w:tcPr>
            <w:tcW w:w="2131" w:type="dxa"/>
          </w:tcPr>
          <w:p>
            <w:pPr>
              <w:spacing w:line="360" w:lineRule="auto"/>
              <w:jc w:val="center"/>
              <w:rPr>
                <w:rFonts w:ascii="仿宋_GB2312" w:eastAsia="仿宋_GB2312" w:hAnsi="仿宋" w:cs="Arial"/>
                <w:b/>
                <w:bCs/>
                <w:kern w:val="0"/>
                <w:sz w:val="24"/>
              </w:rPr>
            </w:pPr>
            <w:r>
              <w:rPr>
                <w:rFonts w:ascii="仿宋_GB2312" w:eastAsia="仿宋_GB2312" w:hAnsi="仿宋" w:cs="Arial" w:hint="eastAsia"/>
                <w:b/>
                <w:bCs/>
                <w:kern w:val="0"/>
                <w:sz w:val="24"/>
              </w:rPr>
              <w:t>8</w:t>
            </w:r>
            <w:r>
              <w:rPr>
                <w:rFonts w:ascii="仿宋_GB2312" w:eastAsia="仿宋_GB2312" w:hAnsi="仿宋" w:cs="Arial"/>
                <w:b/>
                <w:bCs/>
                <w:kern w:val="0"/>
                <w:sz w:val="24"/>
              </w:rPr>
              <w:t>5</w:t>
            </w:r>
          </w:p>
        </w:tc>
        <w:tc>
          <w:tcPr>
            <w:tcW w:w="2131" w:type="dxa"/>
          </w:tcPr>
          <w:p>
            <w:pPr>
              <w:spacing w:line="360" w:lineRule="auto"/>
              <w:jc w:val="center"/>
              <w:rPr>
                <w:rFonts w:ascii="仿宋_GB2312" w:eastAsia="仿宋_GB2312" w:hAnsi="仿宋" w:cs="Arial"/>
                <w:b/>
                <w:bCs/>
                <w:kern w:val="0"/>
                <w:sz w:val="24"/>
              </w:rPr>
            </w:pPr>
            <w:r>
              <w:rPr>
                <w:rFonts w:ascii="仿宋_GB2312" w:eastAsia="仿宋_GB2312" w:hAnsi="仿宋" w:cs="Arial" w:hint="eastAsia"/>
                <w:b/>
                <w:bCs/>
                <w:kern w:val="0"/>
                <w:sz w:val="24"/>
              </w:rPr>
              <w:t>8</w:t>
            </w:r>
            <w:r>
              <w:rPr>
                <w:rFonts w:ascii="仿宋_GB2312" w:eastAsia="仿宋_GB2312" w:hAnsi="仿宋" w:cs="Arial"/>
                <w:b/>
                <w:bCs/>
                <w:kern w:val="0"/>
                <w:sz w:val="24"/>
              </w:rPr>
              <w:t>5%</w:t>
            </w:r>
          </w:p>
        </w:tc>
      </w:tr>
      <w:tr>
        <w:tblPrEx>
          <w:tblW w:w="0" w:type="auto"/>
          <w:tblInd w:w="0" w:type="dxa"/>
          <w:tblCellMar>
            <w:top w:w="0" w:type="dxa"/>
            <w:left w:w="108" w:type="dxa"/>
            <w:bottom w:w="0" w:type="dxa"/>
            <w:right w:w="108" w:type="dxa"/>
          </w:tblCellMar>
        </w:tblPrEx>
        <w:tc>
          <w:tcPr>
            <w:tcW w:w="2130"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资金管理水平</w:t>
            </w:r>
          </w:p>
        </w:tc>
        <w:tc>
          <w:tcPr>
            <w:tcW w:w="2130"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2</w:t>
            </w:r>
            <w:r>
              <w:rPr>
                <w:rFonts w:ascii="仿宋_GB2312" w:eastAsia="仿宋_GB2312" w:hAnsi="仿宋" w:cs="Arial"/>
                <w:kern w:val="0"/>
                <w:sz w:val="24"/>
              </w:rPr>
              <w:t>0</w:t>
            </w:r>
          </w:p>
        </w:tc>
        <w:tc>
          <w:tcPr>
            <w:tcW w:w="2131"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1</w:t>
            </w:r>
            <w:r>
              <w:rPr>
                <w:rFonts w:ascii="仿宋_GB2312" w:eastAsia="仿宋_GB2312" w:hAnsi="仿宋" w:cs="Arial"/>
                <w:kern w:val="0"/>
                <w:sz w:val="24"/>
              </w:rPr>
              <w:t>7</w:t>
            </w:r>
          </w:p>
        </w:tc>
        <w:tc>
          <w:tcPr>
            <w:tcW w:w="2131" w:type="dxa"/>
          </w:tcPr>
          <w:p>
            <w:pPr>
              <w:spacing w:line="360" w:lineRule="auto"/>
              <w:jc w:val="center"/>
              <w:rPr>
                <w:rFonts w:ascii="仿宋_GB2312" w:eastAsia="仿宋_GB2312" w:hAnsi="仿宋" w:cs="Arial"/>
                <w:kern w:val="0"/>
                <w:sz w:val="24"/>
              </w:rPr>
            </w:pPr>
            <w:r>
              <w:rPr>
                <w:rFonts w:ascii="仿宋_GB2312" w:eastAsia="仿宋_GB2312" w:hAnsi="仿宋" w:cs="Arial"/>
                <w:kern w:val="0"/>
                <w:sz w:val="24"/>
              </w:rPr>
              <w:t>85%</w:t>
            </w:r>
          </w:p>
        </w:tc>
      </w:tr>
      <w:tr>
        <w:tblPrEx>
          <w:tblW w:w="0" w:type="auto"/>
          <w:tblInd w:w="0" w:type="dxa"/>
          <w:tblCellMar>
            <w:top w:w="0" w:type="dxa"/>
            <w:left w:w="108" w:type="dxa"/>
            <w:bottom w:w="0" w:type="dxa"/>
            <w:right w:w="108" w:type="dxa"/>
          </w:tblCellMar>
        </w:tblPrEx>
        <w:tc>
          <w:tcPr>
            <w:tcW w:w="2130"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项目管理水平</w:t>
            </w:r>
          </w:p>
        </w:tc>
        <w:tc>
          <w:tcPr>
            <w:tcW w:w="2130"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2</w:t>
            </w:r>
            <w:r>
              <w:rPr>
                <w:rFonts w:ascii="仿宋_GB2312" w:eastAsia="仿宋_GB2312" w:hAnsi="仿宋" w:cs="Arial"/>
                <w:kern w:val="0"/>
                <w:sz w:val="24"/>
              </w:rPr>
              <w:t>0</w:t>
            </w:r>
          </w:p>
        </w:tc>
        <w:tc>
          <w:tcPr>
            <w:tcW w:w="2131"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1</w:t>
            </w:r>
            <w:r>
              <w:rPr>
                <w:rFonts w:ascii="仿宋_GB2312" w:eastAsia="仿宋_GB2312" w:hAnsi="仿宋" w:cs="Arial"/>
                <w:kern w:val="0"/>
                <w:sz w:val="24"/>
              </w:rPr>
              <w:t>4.5</w:t>
            </w:r>
          </w:p>
        </w:tc>
        <w:tc>
          <w:tcPr>
            <w:tcW w:w="2131"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7</w:t>
            </w:r>
            <w:r>
              <w:rPr>
                <w:rFonts w:ascii="仿宋_GB2312" w:eastAsia="仿宋_GB2312" w:hAnsi="仿宋" w:cs="Arial"/>
                <w:kern w:val="0"/>
                <w:sz w:val="24"/>
              </w:rPr>
              <w:t>2.5%</w:t>
            </w:r>
          </w:p>
        </w:tc>
      </w:tr>
      <w:tr>
        <w:tblPrEx>
          <w:tblW w:w="0" w:type="auto"/>
          <w:tblInd w:w="0" w:type="dxa"/>
          <w:tblCellMar>
            <w:top w:w="0" w:type="dxa"/>
            <w:left w:w="108" w:type="dxa"/>
            <w:bottom w:w="0" w:type="dxa"/>
            <w:right w:w="108" w:type="dxa"/>
          </w:tblCellMar>
        </w:tblPrEx>
        <w:tc>
          <w:tcPr>
            <w:tcW w:w="2130"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项目开展绩效</w:t>
            </w:r>
          </w:p>
        </w:tc>
        <w:tc>
          <w:tcPr>
            <w:tcW w:w="2130"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5</w:t>
            </w:r>
            <w:r>
              <w:rPr>
                <w:rFonts w:ascii="仿宋_GB2312" w:eastAsia="仿宋_GB2312" w:hAnsi="仿宋" w:cs="Arial"/>
                <w:kern w:val="0"/>
                <w:sz w:val="24"/>
              </w:rPr>
              <w:t>0</w:t>
            </w:r>
          </w:p>
        </w:tc>
        <w:tc>
          <w:tcPr>
            <w:tcW w:w="2131"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4</w:t>
            </w:r>
            <w:r>
              <w:rPr>
                <w:rFonts w:ascii="仿宋_GB2312" w:eastAsia="仿宋_GB2312" w:hAnsi="仿宋" w:cs="Arial"/>
                <w:kern w:val="0"/>
                <w:sz w:val="24"/>
              </w:rPr>
              <w:t>7</w:t>
            </w:r>
          </w:p>
        </w:tc>
        <w:tc>
          <w:tcPr>
            <w:tcW w:w="2131"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9</w:t>
            </w:r>
            <w:r>
              <w:rPr>
                <w:rFonts w:ascii="仿宋_GB2312" w:eastAsia="仿宋_GB2312" w:hAnsi="仿宋" w:cs="Arial"/>
                <w:kern w:val="0"/>
                <w:sz w:val="24"/>
              </w:rPr>
              <w:t>4%</w:t>
            </w:r>
          </w:p>
        </w:tc>
      </w:tr>
      <w:tr>
        <w:tblPrEx>
          <w:tblW w:w="0" w:type="auto"/>
          <w:tblInd w:w="0" w:type="dxa"/>
          <w:tblCellMar>
            <w:top w:w="0" w:type="dxa"/>
            <w:left w:w="108" w:type="dxa"/>
            <w:bottom w:w="0" w:type="dxa"/>
            <w:right w:w="108" w:type="dxa"/>
          </w:tblCellMar>
        </w:tblPrEx>
        <w:tc>
          <w:tcPr>
            <w:tcW w:w="2130"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自评组织工作</w:t>
            </w:r>
          </w:p>
        </w:tc>
        <w:tc>
          <w:tcPr>
            <w:tcW w:w="2130"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1</w:t>
            </w:r>
            <w:r>
              <w:rPr>
                <w:rFonts w:ascii="仿宋_GB2312" w:eastAsia="仿宋_GB2312" w:hAnsi="仿宋" w:cs="Arial"/>
                <w:kern w:val="0"/>
                <w:sz w:val="24"/>
              </w:rPr>
              <w:t>0</w:t>
            </w:r>
          </w:p>
        </w:tc>
        <w:tc>
          <w:tcPr>
            <w:tcW w:w="2131"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6</w:t>
            </w:r>
            <w:r>
              <w:rPr>
                <w:rFonts w:ascii="仿宋_GB2312" w:eastAsia="仿宋_GB2312" w:hAnsi="仿宋" w:cs="Arial"/>
                <w:kern w:val="0"/>
                <w:sz w:val="24"/>
              </w:rPr>
              <w:t>.5</w:t>
            </w:r>
          </w:p>
        </w:tc>
        <w:tc>
          <w:tcPr>
            <w:tcW w:w="2131" w:type="dxa"/>
          </w:tcPr>
          <w:p>
            <w:pPr>
              <w:spacing w:line="360" w:lineRule="auto"/>
              <w:jc w:val="center"/>
              <w:rPr>
                <w:rFonts w:ascii="仿宋_GB2312" w:eastAsia="仿宋_GB2312" w:hAnsi="仿宋" w:cs="Arial"/>
                <w:kern w:val="0"/>
                <w:sz w:val="24"/>
              </w:rPr>
            </w:pPr>
            <w:r>
              <w:rPr>
                <w:rFonts w:ascii="仿宋_GB2312" w:eastAsia="仿宋_GB2312" w:hAnsi="仿宋" w:cs="Arial" w:hint="eastAsia"/>
                <w:kern w:val="0"/>
                <w:sz w:val="24"/>
              </w:rPr>
              <w:t>6</w:t>
            </w:r>
            <w:r>
              <w:rPr>
                <w:rFonts w:ascii="仿宋_GB2312" w:eastAsia="仿宋_GB2312" w:hAnsi="仿宋" w:cs="Arial"/>
                <w:kern w:val="0"/>
                <w:sz w:val="24"/>
              </w:rPr>
              <w:t>5%</w:t>
            </w:r>
          </w:p>
        </w:tc>
      </w:tr>
    </w:tbl>
    <w:p>
      <w:pPr>
        <w:jc w:val="center"/>
        <w:rPr>
          <w:rFonts w:ascii="仿宋_GB2312" w:eastAsia="仿宋_GB2312" w:hAnsi="仿宋"/>
          <w:sz w:val="32"/>
          <w:szCs w:val="32"/>
        </w:rPr>
      </w:pPr>
    </w:p>
    <w:p>
      <w:pPr>
        <w:jc w:val="center"/>
        <w:rPr>
          <w:rFonts w:ascii="黑体" w:eastAsia="黑体" w:hAnsi="黑体" w:cs="Arial"/>
          <w:kern w:val="0"/>
          <w:sz w:val="28"/>
          <w:szCs w:val="28"/>
        </w:rPr>
      </w:pPr>
      <w:r>
        <w:rPr>
          <w:rFonts w:ascii="黑体" w:eastAsia="黑体" w:hAnsi="黑体" w:cs="Arial"/>
          <w:kern w:val="0"/>
          <w:sz w:val="28"/>
          <w:szCs w:val="28"/>
        </w:rPr>
        <w:drawing>
          <wp:inline distT="0" distB="0" distL="0" distR="0">
            <wp:extent cx="5274310" cy="3076575"/>
            <wp:effectExtent l="0" t="0" r="2540" b="9525"/>
            <wp:docPr id="8" name="图表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pStyle w:val="Heading1"/>
      </w:pPr>
    </w:p>
    <w:p>
      <w:pPr>
        <w:pStyle w:val="Heading1"/>
      </w:pPr>
      <w:bookmarkStart w:id="15" w:name="_Toc112692595"/>
      <w:r>
        <w:rPr>
          <w:rFonts w:hint="eastAsia"/>
        </w:rPr>
        <w:t>三、项目绩效分析</w:t>
      </w:r>
      <w:bookmarkEnd w:id="15"/>
    </w:p>
    <w:p>
      <w:pPr>
        <w:pStyle w:val="Heading2"/>
        <w:spacing w:before="0" w:after="0" w:line="360" w:lineRule="auto"/>
        <w:ind w:firstLine="420" w:firstLineChars="200"/>
        <w:rPr>
          <w:rFonts w:ascii="楷体_GB2312" w:eastAsia="楷体_GB2312" w:hAnsi="仿宋"/>
        </w:rPr>
      </w:pPr>
      <w:bookmarkStart w:id="16" w:name="_Toc112692596"/>
      <w:r>
        <w:rPr>
          <w:rFonts w:ascii="楷体_GB2312" w:eastAsia="楷体_GB2312" w:hAnsi="仿宋" w:hint="eastAsia"/>
        </w:rPr>
        <w:t>（一）资金管理水平</w:t>
      </w:r>
      <w:bookmarkEnd w:id="16"/>
    </w:p>
    <w:p>
      <w:pPr>
        <w:ind w:firstLine="420" w:firstLineChars="200"/>
        <w:rPr>
          <w:rFonts w:ascii="仿宋_GB2312" w:eastAsia="仿宋_GB2312" w:hAnsi="仿宋" w:cstheme="majorBidi"/>
          <w:bCs/>
          <w:sz w:val="32"/>
          <w:szCs w:val="32"/>
        </w:rPr>
      </w:pPr>
      <w:r>
        <w:rPr>
          <w:rFonts w:ascii="仿宋_GB2312" w:eastAsia="仿宋_GB2312" w:hAnsi="仿宋" w:hint="eastAsia"/>
          <w:sz w:val="32"/>
          <w:szCs w:val="32"/>
        </w:rPr>
        <w:t>项目资金管理水平指标满分20分，综合评价得分1</w:t>
      </w:r>
      <w:r>
        <w:rPr>
          <w:rFonts w:ascii="仿宋_GB2312" w:eastAsia="仿宋_GB2312" w:hAnsi="仿宋"/>
          <w:sz w:val="32"/>
          <w:szCs w:val="32"/>
        </w:rPr>
        <w:t>7</w:t>
      </w:r>
      <w:r>
        <w:rPr>
          <w:rFonts w:ascii="仿宋_GB2312" w:eastAsia="仿宋_GB2312" w:hAnsi="仿宋" w:hint="eastAsia"/>
          <w:sz w:val="32"/>
          <w:szCs w:val="32"/>
        </w:rPr>
        <w:t>分，得分率</w:t>
      </w:r>
      <w:r>
        <w:rPr>
          <w:rFonts w:ascii="仿宋_GB2312" w:eastAsia="仿宋_GB2312" w:hAnsi="仿宋"/>
          <w:sz w:val="32"/>
          <w:szCs w:val="32"/>
        </w:rPr>
        <w:t>85</w:t>
      </w:r>
      <w:r>
        <w:rPr>
          <w:rFonts w:ascii="仿宋_GB2312" w:eastAsia="仿宋_GB2312" w:hAnsi="仿宋" w:hint="eastAsia"/>
          <w:sz w:val="32"/>
          <w:szCs w:val="32"/>
        </w:rPr>
        <w:t>%。</w:t>
      </w:r>
      <w:r>
        <w:rPr>
          <w:rFonts w:ascii="仿宋_GB2312" w:eastAsia="仿宋_GB2312" w:hAnsi="楷体" w:hint="eastAsia"/>
          <w:sz w:val="32"/>
          <w:szCs w:val="32"/>
        </w:rPr>
        <w:t>项目整体资金支出率为</w:t>
      </w:r>
      <w:r>
        <w:rPr>
          <w:rFonts w:ascii="仿宋_GB2312" w:eastAsia="仿宋_GB2312" w:hAnsi="楷体"/>
          <w:sz w:val="32"/>
          <w:szCs w:val="32"/>
        </w:rPr>
        <w:t>99.76</w:t>
      </w:r>
      <w:r>
        <w:rPr>
          <w:rFonts w:ascii="仿宋_GB2312" w:eastAsia="仿宋_GB2312" w:hAnsi="楷体" w:hint="eastAsia"/>
          <w:sz w:val="32"/>
          <w:szCs w:val="32"/>
        </w:rPr>
        <w:t>%</w:t>
      </w:r>
      <w:r>
        <w:rPr>
          <w:rFonts w:ascii="仿宋_GB2312" w:eastAsia="仿宋_GB2312" w:hAnsi="楷体"/>
          <w:sz w:val="32"/>
          <w:szCs w:val="32"/>
        </w:rPr>
        <w:t>,</w:t>
      </w:r>
      <w:r>
        <w:rPr>
          <w:rFonts w:ascii="仿宋_GB2312" w:eastAsia="仿宋_GB2312" w:hAnsi="楷体" w:hint="eastAsia"/>
          <w:sz w:val="32"/>
          <w:szCs w:val="32"/>
        </w:rPr>
        <w:t>资金使用率高</w:t>
      </w:r>
      <w:r>
        <w:rPr>
          <w:rFonts w:ascii="仿宋_GB2312" w:eastAsia="仿宋_GB2312" w:hAnsi="仿宋" w:cstheme="majorBidi" w:hint="eastAsia"/>
          <w:bCs/>
          <w:sz w:val="32"/>
          <w:szCs w:val="32"/>
        </w:rPr>
        <w:t>。项目单位内部财务管理制度较健全,</w:t>
      </w:r>
      <w:r>
        <w:rPr>
          <w:rFonts w:ascii="仿宋_GB2312" w:eastAsia="仿宋_GB2312" w:hAnsi="仿宋" w:cs="Arial" w:hint="eastAsia"/>
          <w:kern w:val="0"/>
          <w:sz w:val="32"/>
          <w:szCs w:val="32"/>
        </w:rPr>
        <w:t xml:space="preserve"> 资金使用符合规定，专款专用，且能通过招标采购等方式有效控制成本。存在的不足主要有：一是</w:t>
      </w:r>
      <w:r>
        <w:rPr>
          <w:rFonts w:ascii="仿宋_GB2312" w:eastAsia="仿宋_GB2312" w:hAnsi="仿宋" w:hint="eastAsia"/>
          <w:sz w:val="32"/>
          <w:szCs w:val="32"/>
        </w:rPr>
        <w:t>未针对江海区地质灾害项目制定专项资金管理办法，财务管理制度指标扣</w:t>
      </w:r>
      <w:r>
        <w:rPr>
          <w:rFonts w:ascii="仿宋_GB2312" w:eastAsia="仿宋_GB2312" w:hAnsi="仿宋"/>
          <w:sz w:val="32"/>
          <w:szCs w:val="32"/>
        </w:rPr>
        <w:t>2</w:t>
      </w:r>
      <w:r>
        <w:rPr>
          <w:rFonts w:ascii="仿宋_GB2312" w:eastAsia="仿宋_GB2312" w:hAnsi="仿宋" w:hint="eastAsia"/>
          <w:sz w:val="32"/>
          <w:szCs w:val="32"/>
        </w:rPr>
        <w:t>分；二是未制定项</w:t>
      </w:r>
      <w:r>
        <w:rPr>
          <w:rFonts w:ascii="仿宋_GB2312" w:eastAsia="仿宋_GB2312" w:hAnsi="仿宋" w:cs="Arial" w:hint="eastAsia"/>
          <w:kern w:val="0"/>
          <w:sz w:val="32"/>
          <w:szCs w:val="32"/>
        </w:rPr>
        <w:t>目的具体实施方案，资金管理及制度落实情况指标扣1分</w:t>
      </w:r>
      <w:r>
        <w:rPr>
          <w:rFonts w:ascii="仿宋_GB2312" w:eastAsia="仿宋_GB2312" w:hAnsi="仿宋" w:hint="eastAsia"/>
          <w:sz w:val="32"/>
          <w:szCs w:val="32"/>
        </w:rPr>
        <w:t>。</w:t>
      </w:r>
    </w:p>
    <w:p>
      <w:pPr>
        <w:pStyle w:val="Heading2"/>
        <w:spacing w:before="0" w:after="0" w:line="360" w:lineRule="auto"/>
        <w:ind w:firstLine="420" w:firstLineChars="200"/>
        <w:rPr>
          <w:rFonts w:ascii="楷体_GB2312" w:eastAsia="楷体_GB2312" w:hAnsi="仿宋"/>
        </w:rPr>
      </w:pPr>
      <w:bookmarkStart w:id="17" w:name="_Toc112692597"/>
      <w:r>
        <w:rPr>
          <w:rFonts w:ascii="楷体_GB2312" w:eastAsia="楷体_GB2312" w:hAnsi="仿宋" w:hint="eastAsia"/>
        </w:rPr>
        <w:t>（二）项目管理水平</w:t>
      </w:r>
      <w:bookmarkEnd w:id="17"/>
    </w:p>
    <w:p>
      <w:pPr>
        <w:ind w:firstLine="420" w:firstLineChars="200"/>
        <w:rPr>
          <w:rFonts w:ascii="仿宋_GB2312" w:eastAsia="仿宋_GB2312" w:hAnsi="仿宋"/>
          <w:bCs/>
          <w:sz w:val="32"/>
          <w:szCs w:val="32"/>
        </w:rPr>
      </w:pPr>
      <w:r>
        <w:rPr>
          <w:rFonts w:ascii="仿宋_GB2312" w:eastAsia="仿宋_GB2312" w:hAnsi="仿宋" w:hint="eastAsia"/>
          <w:sz w:val="32"/>
          <w:szCs w:val="32"/>
        </w:rPr>
        <w:t>项目管理水平指标满分20分，综合评价得分1</w:t>
      </w:r>
      <w:r>
        <w:rPr>
          <w:rFonts w:ascii="仿宋_GB2312" w:eastAsia="仿宋_GB2312" w:hAnsi="仿宋"/>
          <w:sz w:val="32"/>
          <w:szCs w:val="32"/>
        </w:rPr>
        <w:t>4.5</w:t>
      </w:r>
      <w:r>
        <w:rPr>
          <w:rFonts w:ascii="仿宋_GB2312" w:eastAsia="仿宋_GB2312" w:hAnsi="仿宋" w:hint="eastAsia"/>
          <w:sz w:val="32"/>
          <w:szCs w:val="32"/>
        </w:rPr>
        <w:t>分，得分率</w:t>
      </w:r>
      <w:r>
        <w:rPr>
          <w:rFonts w:ascii="仿宋_GB2312" w:eastAsia="仿宋_GB2312" w:hAnsi="仿宋"/>
          <w:sz w:val="32"/>
          <w:szCs w:val="32"/>
        </w:rPr>
        <w:t>75</w:t>
      </w:r>
      <w:r>
        <w:rPr>
          <w:rFonts w:ascii="仿宋_GB2312" w:eastAsia="仿宋_GB2312" w:hAnsi="仿宋" w:hint="eastAsia"/>
          <w:sz w:val="32"/>
          <w:szCs w:val="32"/>
        </w:rPr>
        <w:t>%。</w:t>
      </w:r>
      <w:r>
        <w:rPr>
          <w:rFonts w:ascii="仿宋_GB2312" w:eastAsia="仿宋_GB2312" w:hAnsi="仿宋" w:cs="Arial" w:hint="eastAsia"/>
          <w:kern w:val="0"/>
          <w:sz w:val="32"/>
          <w:szCs w:val="32"/>
        </w:rPr>
        <w:t>项目有成立管理科室，项目年中追加资金有按照规定办理相关审批手续，调整内容合理，项目完成情况较好</w:t>
      </w:r>
      <w:r>
        <w:rPr>
          <w:rFonts w:ascii="仿宋_GB2312" w:eastAsia="仿宋_GB2312" w:hAnsi="仿宋" w:hint="eastAsia"/>
          <w:bCs/>
          <w:sz w:val="32"/>
          <w:szCs w:val="32"/>
        </w:rPr>
        <w:t>。存在的不足主要有：一是部分工程存在进度慢的情况，项目实施管理相关制度不够健全，层级管理及项目实施主体责权未有充分明确，</w:t>
      </w:r>
      <w:r>
        <w:rPr>
          <w:rFonts w:ascii="仿宋_GB2312" w:eastAsia="仿宋_GB2312" w:hAnsi="仿宋" w:hint="eastAsia"/>
          <w:sz w:val="32"/>
          <w:szCs w:val="32"/>
        </w:rPr>
        <w:t>监管未全面到位，</w:t>
      </w:r>
      <w:r>
        <w:rPr>
          <w:rFonts w:ascii="仿宋_GB2312" w:eastAsia="仿宋_GB2312" w:hAnsi="仿宋" w:hint="eastAsia"/>
          <w:bCs/>
          <w:sz w:val="32"/>
          <w:szCs w:val="32"/>
        </w:rPr>
        <w:t>项目管理情况指标扣2</w:t>
      </w:r>
      <w:r>
        <w:rPr>
          <w:rFonts w:ascii="仿宋_GB2312" w:eastAsia="仿宋_GB2312" w:hAnsi="仿宋"/>
          <w:bCs/>
          <w:sz w:val="32"/>
          <w:szCs w:val="32"/>
        </w:rPr>
        <w:t>.5</w:t>
      </w:r>
      <w:r>
        <w:rPr>
          <w:rFonts w:ascii="仿宋_GB2312" w:eastAsia="仿宋_GB2312" w:hAnsi="仿宋" w:hint="eastAsia"/>
          <w:bCs/>
          <w:sz w:val="32"/>
          <w:szCs w:val="32"/>
        </w:rPr>
        <w:t>分；二是无总结项目开展的影响因素及改进情况，项目实施与改进情况指标扣</w:t>
      </w:r>
      <w:r>
        <w:rPr>
          <w:rFonts w:ascii="仿宋_GB2312" w:eastAsia="仿宋_GB2312" w:hAnsi="仿宋"/>
          <w:bCs/>
          <w:sz w:val="32"/>
          <w:szCs w:val="32"/>
        </w:rPr>
        <w:t>3</w:t>
      </w:r>
      <w:r>
        <w:rPr>
          <w:rFonts w:ascii="仿宋_GB2312" w:eastAsia="仿宋_GB2312" w:hAnsi="仿宋" w:hint="eastAsia"/>
          <w:bCs/>
          <w:sz w:val="32"/>
          <w:szCs w:val="32"/>
        </w:rPr>
        <w:t>分。</w:t>
      </w:r>
    </w:p>
    <w:p>
      <w:pPr>
        <w:pStyle w:val="Heading2"/>
        <w:spacing w:before="0" w:after="0" w:line="360" w:lineRule="auto"/>
        <w:ind w:firstLine="420" w:firstLineChars="200"/>
        <w:rPr>
          <w:rFonts w:ascii="楷体_GB2312" w:eastAsia="楷体_GB2312" w:hAnsi="仿宋"/>
        </w:rPr>
      </w:pPr>
      <w:bookmarkStart w:id="18" w:name="_Toc112692598"/>
      <w:r>
        <w:rPr>
          <w:rFonts w:ascii="楷体_GB2312" w:eastAsia="楷体_GB2312" w:hAnsi="仿宋" w:hint="eastAsia"/>
        </w:rPr>
        <w:t>（三）项目开展绩效</w:t>
      </w:r>
      <w:bookmarkEnd w:id="18"/>
    </w:p>
    <w:p>
      <w:pPr>
        <w:ind w:firstLine="420" w:firstLineChars="200"/>
        <w:rPr>
          <w:rFonts w:ascii="仿宋_GB2312" w:eastAsia="仿宋_GB2312" w:hAnsi="仿宋"/>
          <w:sz w:val="32"/>
          <w:szCs w:val="32"/>
        </w:rPr>
      </w:pPr>
      <w:r>
        <w:rPr>
          <w:rFonts w:ascii="仿宋_GB2312" w:eastAsia="仿宋_GB2312" w:hAnsi="仿宋" w:hint="eastAsia"/>
          <w:sz w:val="32"/>
          <w:szCs w:val="32"/>
        </w:rPr>
        <w:t>项目开展绩效指标满分</w:t>
      </w:r>
      <w:r>
        <w:rPr>
          <w:rFonts w:ascii="仿宋_GB2312" w:eastAsia="仿宋_GB2312" w:hAnsi="仿宋"/>
          <w:sz w:val="32"/>
          <w:szCs w:val="32"/>
        </w:rPr>
        <w:t>5</w:t>
      </w:r>
      <w:r>
        <w:rPr>
          <w:rFonts w:ascii="仿宋_GB2312" w:eastAsia="仿宋_GB2312" w:hAnsi="仿宋" w:hint="eastAsia"/>
          <w:sz w:val="32"/>
          <w:szCs w:val="32"/>
        </w:rPr>
        <w:t>0分，综合评价得分</w:t>
      </w:r>
      <w:r>
        <w:rPr>
          <w:rFonts w:ascii="仿宋_GB2312" w:eastAsia="仿宋_GB2312" w:hAnsi="仿宋"/>
          <w:sz w:val="32"/>
          <w:szCs w:val="32"/>
        </w:rPr>
        <w:t>47</w:t>
      </w:r>
      <w:r>
        <w:rPr>
          <w:rFonts w:ascii="仿宋_GB2312" w:eastAsia="仿宋_GB2312" w:hAnsi="仿宋" w:hint="eastAsia"/>
          <w:sz w:val="32"/>
          <w:szCs w:val="32"/>
        </w:rPr>
        <w:t>分，得分率</w:t>
      </w:r>
      <w:r>
        <w:rPr>
          <w:rFonts w:ascii="仿宋_GB2312" w:eastAsia="仿宋_GB2312" w:hAnsi="仿宋"/>
          <w:sz w:val="32"/>
          <w:szCs w:val="32"/>
        </w:rPr>
        <w:t>94</w:t>
      </w:r>
      <w:r>
        <w:rPr>
          <w:rFonts w:ascii="仿宋_GB2312" w:eastAsia="仿宋_GB2312" w:hAnsi="仿宋" w:hint="eastAsia"/>
          <w:sz w:val="32"/>
          <w:szCs w:val="32"/>
        </w:rPr>
        <w:t>%。</w:t>
      </w:r>
      <w:bookmarkStart w:id="19" w:name="_Hlk112677561"/>
      <w:r>
        <w:rPr>
          <w:rFonts w:ascii="仿宋_GB2312" w:eastAsia="仿宋_GB2312" w:hAnsi="仿宋" w:cstheme="majorBidi" w:hint="eastAsia"/>
          <w:bCs/>
          <w:sz w:val="32"/>
          <w:szCs w:val="32"/>
        </w:rPr>
        <w:t>项目评价指标设置能够运用定量指标与定性指标相结合，也结合项目特点设置了个性化的评价指标，但指标设置不够全面，缺乏能够反映项目实施效果的关键指标</w:t>
      </w:r>
      <w:bookmarkEnd w:id="19"/>
      <w:r>
        <w:rPr>
          <w:rFonts w:ascii="仿宋_GB2312" w:eastAsia="仿宋_GB2312" w:hAnsi="仿宋" w:cstheme="majorBidi" w:hint="eastAsia"/>
          <w:bCs/>
          <w:sz w:val="32"/>
          <w:szCs w:val="32"/>
        </w:rPr>
        <w:t>，评价指标体系的科学性和合理性指标扣2分。绩效目标的完成程度方面，</w:t>
      </w:r>
      <w:r>
        <w:rPr>
          <w:rFonts w:ascii="仿宋_GB2312" w:eastAsia="仿宋_GB2312" w:hAnsi="仿宋" w:hint="eastAsia"/>
          <w:sz w:val="32"/>
          <w:szCs w:val="32"/>
        </w:rPr>
        <w:t>项目年中无调整绩效目标，无未完成的目标，绩效目标完成程度高；存在的不足是群众满意度指标完成情况的考量方式不够科学，绩效目标的完成程度指标扣</w:t>
      </w:r>
      <w:r>
        <w:rPr>
          <w:rFonts w:ascii="仿宋_GB2312" w:eastAsia="仿宋_GB2312" w:hAnsi="仿宋"/>
          <w:sz w:val="32"/>
          <w:szCs w:val="32"/>
        </w:rPr>
        <w:t>1</w:t>
      </w:r>
      <w:r>
        <w:rPr>
          <w:rFonts w:ascii="仿宋_GB2312" w:eastAsia="仿宋_GB2312" w:hAnsi="仿宋" w:hint="eastAsia"/>
          <w:sz w:val="32"/>
          <w:szCs w:val="32"/>
        </w:rPr>
        <w:t>分。</w:t>
      </w:r>
    </w:p>
    <w:p>
      <w:pPr>
        <w:pStyle w:val="Heading2"/>
        <w:spacing w:before="0" w:after="0" w:line="360" w:lineRule="auto"/>
        <w:ind w:firstLine="420" w:firstLineChars="200"/>
        <w:rPr>
          <w:rFonts w:ascii="楷体_GB2312" w:eastAsia="楷体_GB2312" w:hAnsi="仿宋"/>
        </w:rPr>
      </w:pPr>
      <w:bookmarkStart w:id="20" w:name="_Toc112692599"/>
      <w:r>
        <w:rPr>
          <w:rFonts w:ascii="楷体_GB2312" w:eastAsia="楷体_GB2312" w:hAnsi="仿宋" w:hint="eastAsia"/>
        </w:rPr>
        <w:t>（四）项目自评组织工作</w:t>
      </w:r>
      <w:bookmarkEnd w:id="20"/>
    </w:p>
    <w:p>
      <w:pPr>
        <w:ind w:firstLine="420" w:firstLineChars="200"/>
        <w:rPr>
          <w:rFonts w:ascii="仿宋_GB2312" w:eastAsia="仿宋_GB2312" w:hAnsi="楷体"/>
          <w:sz w:val="32"/>
          <w:szCs w:val="32"/>
        </w:rPr>
      </w:pPr>
      <w:r>
        <w:rPr>
          <w:rFonts w:ascii="仿宋_GB2312" w:eastAsia="仿宋_GB2312" w:hAnsi="仿宋" w:hint="eastAsia"/>
          <w:sz w:val="32"/>
          <w:szCs w:val="32"/>
        </w:rPr>
        <w:t>项目自评组织工作指标满分</w:t>
      </w:r>
      <w:r>
        <w:rPr>
          <w:rFonts w:ascii="仿宋_GB2312" w:eastAsia="仿宋_GB2312" w:hAnsi="仿宋"/>
          <w:sz w:val="32"/>
          <w:szCs w:val="32"/>
        </w:rPr>
        <w:t>10</w:t>
      </w:r>
      <w:r>
        <w:rPr>
          <w:rFonts w:ascii="仿宋_GB2312" w:eastAsia="仿宋_GB2312" w:hAnsi="仿宋" w:hint="eastAsia"/>
          <w:sz w:val="32"/>
          <w:szCs w:val="32"/>
        </w:rPr>
        <w:t>分，综合评价得分</w:t>
      </w:r>
      <w:r>
        <w:rPr>
          <w:rFonts w:ascii="仿宋_GB2312" w:eastAsia="仿宋_GB2312" w:hAnsi="仿宋"/>
          <w:sz w:val="32"/>
          <w:szCs w:val="32"/>
        </w:rPr>
        <w:t>6.5</w:t>
      </w:r>
      <w:r>
        <w:rPr>
          <w:rFonts w:ascii="仿宋_GB2312" w:eastAsia="仿宋_GB2312" w:hAnsi="仿宋" w:hint="eastAsia"/>
          <w:sz w:val="32"/>
          <w:szCs w:val="32"/>
        </w:rPr>
        <w:t>分，得分率</w:t>
      </w:r>
      <w:r>
        <w:rPr>
          <w:rFonts w:ascii="仿宋_GB2312" w:eastAsia="仿宋_GB2312" w:hAnsi="仿宋"/>
          <w:sz w:val="32"/>
          <w:szCs w:val="32"/>
        </w:rPr>
        <w:t>65</w:t>
      </w:r>
      <w:r>
        <w:rPr>
          <w:rFonts w:ascii="仿宋_GB2312" w:eastAsia="仿宋_GB2312" w:hAnsi="仿宋" w:hint="eastAsia"/>
          <w:sz w:val="32"/>
          <w:szCs w:val="32"/>
        </w:rPr>
        <w:t>%。</w:t>
      </w:r>
      <w:r>
        <w:rPr>
          <w:rFonts w:ascii="仿宋_GB2312" w:eastAsia="仿宋_GB2312" w:hAnsi="楷体" w:hint="eastAsia"/>
          <w:sz w:val="32"/>
          <w:szCs w:val="32"/>
        </w:rPr>
        <w:t>项目单位提供的自评表内容填报基本清晰，但附件材料不够完整，自评工作质量指标扣1</w:t>
      </w:r>
      <w:r>
        <w:rPr>
          <w:rFonts w:ascii="仿宋_GB2312" w:eastAsia="仿宋_GB2312" w:hAnsi="楷体"/>
          <w:sz w:val="32"/>
          <w:szCs w:val="32"/>
        </w:rPr>
        <w:t>.5</w:t>
      </w:r>
      <w:r>
        <w:rPr>
          <w:rFonts w:ascii="仿宋_GB2312" w:eastAsia="仿宋_GB2312" w:hAnsi="楷体" w:hint="eastAsia"/>
          <w:sz w:val="32"/>
          <w:szCs w:val="32"/>
        </w:rPr>
        <w:t>分。项目单位对自评工作的重视程度不够高，</w:t>
      </w:r>
      <w:r>
        <w:rPr>
          <w:rFonts w:eastAsia="仿宋_GB2312" w:hint="eastAsia"/>
          <w:sz w:val="32"/>
          <w:szCs w:val="20"/>
        </w:rPr>
        <w:t>无通过自评总结经验以及提出下一步改进工作的意见和建议，自评工作态度指标</w:t>
      </w:r>
      <w:r>
        <w:rPr>
          <w:rFonts w:ascii="仿宋_GB2312" w:eastAsia="仿宋_GB2312" w:hAnsi="楷体" w:hint="eastAsia"/>
          <w:sz w:val="32"/>
          <w:szCs w:val="32"/>
        </w:rPr>
        <w:t>扣</w:t>
      </w:r>
      <w:r>
        <w:rPr>
          <w:rFonts w:ascii="仿宋_GB2312" w:eastAsia="仿宋_GB2312" w:hAnsi="楷体"/>
          <w:sz w:val="32"/>
          <w:szCs w:val="32"/>
        </w:rPr>
        <w:t>2</w:t>
      </w:r>
      <w:r>
        <w:rPr>
          <w:rFonts w:ascii="仿宋_GB2312" w:eastAsia="仿宋_GB2312" w:hAnsi="楷体" w:hint="eastAsia"/>
          <w:sz w:val="32"/>
          <w:szCs w:val="32"/>
        </w:rPr>
        <w:t>分。</w:t>
      </w:r>
    </w:p>
    <w:p>
      <w:pPr>
        <w:pStyle w:val="Heading1"/>
      </w:pPr>
      <w:bookmarkStart w:id="21" w:name="_Toc112692600"/>
      <w:r>
        <w:rPr>
          <w:rFonts w:hint="eastAsia"/>
        </w:rPr>
        <w:t>四、主要绩效</w:t>
      </w:r>
      <w:bookmarkEnd w:id="21"/>
    </w:p>
    <w:p>
      <w:pPr>
        <w:ind w:firstLine="420" w:firstLineChars="200"/>
        <w:rPr>
          <w:rFonts w:ascii="楷体_GB2312" w:eastAsia="楷体_GB2312"/>
          <w:b/>
          <w:kern w:val="0"/>
          <w:sz w:val="32"/>
          <w:szCs w:val="32"/>
        </w:rPr>
      </w:pPr>
      <w:r>
        <w:rPr>
          <w:rFonts w:ascii="楷体_GB2312" w:eastAsia="楷体_GB2312" w:hint="eastAsia"/>
          <w:b/>
          <w:kern w:val="0"/>
          <w:sz w:val="32"/>
          <w:szCs w:val="32"/>
        </w:rPr>
        <w:t>（一）防灾减灾成效显著</w:t>
      </w:r>
    </w:p>
    <w:p>
      <w:pPr>
        <w:rPr>
          <w:rFonts w:ascii="仿宋_GB2312" w:eastAsia="仿宋_GB2312" w:hAnsi="楷体"/>
          <w:sz w:val="32"/>
          <w:szCs w:val="32"/>
        </w:rPr>
      </w:pPr>
      <w:r>
        <w:rPr>
          <w:rFonts w:ascii="仿宋_GB2312" w:eastAsia="仿宋_GB2312" w:hAnsi="楷体"/>
          <w:sz w:val="32"/>
          <w:szCs w:val="32"/>
        </w:rPr>
        <w:t xml:space="preserve">    </w:t>
      </w:r>
      <w:r>
        <w:rPr>
          <w:rFonts w:ascii="仿宋_GB2312" w:eastAsia="仿宋_GB2312" w:hAnsi="楷体" w:hint="eastAsia"/>
          <w:sz w:val="32"/>
          <w:szCs w:val="32"/>
        </w:rPr>
        <w:t>通过实施2</w:t>
      </w:r>
      <w:r>
        <w:rPr>
          <w:rFonts w:ascii="仿宋_GB2312" w:eastAsia="仿宋_GB2312" w:hAnsi="楷体"/>
          <w:sz w:val="32"/>
          <w:szCs w:val="32"/>
        </w:rPr>
        <w:t>021</w:t>
      </w:r>
      <w:r>
        <w:rPr>
          <w:rFonts w:ascii="仿宋_GB2312" w:eastAsia="仿宋_GB2312" w:hAnsi="楷体" w:hint="eastAsia"/>
          <w:sz w:val="32"/>
          <w:szCs w:val="32"/>
        </w:rPr>
        <w:t>年地质灾害隐患点治理，完成江南街道2</w:t>
      </w:r>
      <w:r>
        <w:rPr>
          <w:rFonts w:ascii="仿宋_GB2312" w:eastAsia="仿宋_GB2312" w:hAnsi="楷体"/>
          <w:sz w:val="32"/>
          <w:szCs w:val="32"/>
        </w:rPr>
        <w:t>020</w:t>
      </w:r>
      <w:r>
        <w:rPr>
          <w:rFonts w:ascii="仿宋_GB2312" w:eastAsia="仿宋_GB2312" w:hAnsi="楷体" w:hint="eastAsia"/>
          <w:sz w:val="32"/>
          <w:szCs w:val="32"/>
        </w:rPr>
        <w:t>年3个新增地质灾害点治理工程验收，消除三处地质灾害隐患，除</w:t>
      </w:r>
      <w:r>
        <w:rPr>
          <w:rFonts w:ascii="仿宋_GB2312" w:eastAsia="仿宋_GB2312" w:hAnsi="仿宋" w:cstheme="majorBidi" w:hint="eastAsia"/>
          <w:bCs/>
          <w:sz w:val="32"/>
          <w:szCs w:val="32"/>
        </w:rPr>
        <w:t>2</w:t>
      </w:r>
      <w:r>
        <w:rPr>
          <w:rFonts w:ascii="仿宋_GB2312" w:eastAsia="仿宋_GB2312" w:hAnsi="仿宋" w:cstheme="majorBidi"/>
          <w:bCs/>
          <w:sz w:val="32"/>
          <w:szCs w:val="32"/>
        </w:rPr>
        <w:t>021</w:t>
      </w:r>
      <w:r>
        <w:rPr>
          <w:rFonts w:ascii="仿宋_GB2312" w:eastAsia="仿宋_GB2312" w:hAnsi="仿宋" w:cstheme="majorBidi" w:hint="eastAsia"/>
          <w:bCs/>
          <w:sz w:val="32"/>
          <w:szCs w:val="32"/>
        </w:rPr>
        <w:t>年中新增的一处地质灾害点仍在施工外，全区在册的地质灾害隐患点均已消除，减少受威胁群众1</w:t>
      </w:r>
      <w:r>
        <w:rPr>
          <w:rFonts w:ascii="仿宋_GB2312" w:eastAsia="仿宋_GB2312" w:hAnsi="仿宋" w:cstheme="majorBidi"/>
          <w:bCs/>
          <w:sz w:val="32"/>
          <w:szCs w:val="32"/>
        </w:rPr>
        <w:t>0</w:t>
      </w:r>
      <w:r>
        <w:rPr>
          <w:rFonts w:ascii="仿宋_GB2312" w:eastAsia="仿宋_GB2312" w:hAnsi="仿宋" w:cstheme="majorBidi" w:hint="eastAsia"/>
          <w:bCs/>
          <w:sz w:val="32"/>
          <w:szCs w:val="32"/>
        </w:rPr>
        <w:t>人，减少潜在经济损失5</w:t>
      </w:r>
      <w:r>
        <w:rPr>
          <w:rFonts w:ascii="仿宋_GB2312" w:eastAsia="仿宋_GB2312" w:hAnsi="仿宋" w:cstheme="majorBidi"/>
          <w:bCs/>
          <w:sz w:val="32"/>
          <w:szCs w:val="32"/>
        </w:rPr>
        <w:t>0</w:t>
      </w:r>
      <w:r>
        <w:rPr>
          <w:rFonts w:ascii="仿宋_GB2312" w:eastAsia="仿宋_GB2312" w:hAnsi="仿宋" w:cstheme="majorBidi" w:hint="eastAsia"/>
          <w:bCs/>
          <w:sz w:val="32"/>
          <w:szCs w:val="32"/>
        </w:rPr>
        <w:t>万元，实现2</w:t>
      </w:r>
      <w:r>
        <w:rPr>
          <w:rFonts w:ascii="仿宋_GB2312" w:eastAsia="仿宋_GB2312" w:hAnsi="仿宋" w:cstheme="majorBidi"/>
          <w:bCs/>
          <w:sz w:val="32"/>
          <w:szCs w:val="32"/>
        </w:rPr>
        <w:t>021</w:t>
      </w:r>
      <w:r>
        <w:rPr>
          <w:rFonts w:ascii="仿宋_GB2312" w:eastAsia="仿宋_GB2312" w:hAnsi="仿宋" w:cstheme="majorBidi" w:hint="eastAsia"/>
          <w:bCs/>
          <w:sz w:val="32"/>
          <w:szCs w:val="32"/>
        </w:rPr>
        <w:t>年无地质灾害事件发生，有效</w:t>
      </w:r>
      <w:r>
        <w:rPr>
          <w:rFonts w:ascii="仿宋_GB2312" w:eastAsia="仿宋_GB2312" w:hAnsi="楷体" w:hint="eastAsia"/>
          <w:sz w:val="32"/>
          <w:szCs w:val="32"/>
        </w:rPr>
        <w:t>避免地质灾害造成人员伤亡和经济损失，确保人民群众生命财产安全，保障经济社会可持续发展。</w:t>
      </w:r>
    </w:p>
    <w:p>
      <w:pPr>
        <w:ind w:firstLine="420" w:firstLineChars="200"/>
        <w:rPr>
          <w:rFonts w:ascii="楷体_GB2312" w:eastAsia="楷体_GB2312"/>
          <w:b/>
          <w:kern w:val="0"/>
          <w:sz w:val="32"/>
          <w:szCs w:val="32"/>
        </w:rPr>
      </w:pPr>
      <w:bookmarkStart w:id="22" w:name="_Hlk112395090"/>
      <w:bookmarkStart w:id="23" w:name="_Hlk73725122"/>
      <w:r>
        <w:rPr>
          <w:rFonts w:ascii="楷体_GB2312" w:eastAsia="楷体_GB2312" w:hint="eastAsia"/>
          <w:b/>
          <w:kern w:val="0"/>
          <w:sz w:val="32"/>
          <w:szCs w:val="32"/>
        </w:rPr>
        <w:t>（二）提高地质灾害防范能力</w:t>
      </w:r>
      <w:bookmarkEnd w:id="22"/>
      <w:r>
        <w:rPr>
          <w:rFonts w:ascii="楷体_GB2312" w:eastAsia="楷体_GB2312" w:hint="eastAsia"/>
          <w:b/>
          <w:kern w:val="0"/>
          <w:sz w:val="32"/>
          <w:szCs w:val="32"/>
        </w:rPr>
        <w:t>，促进防治高质量发展</w:t>
      </w:r>
    </w:p>
    <w:p>
      <w:pPr>
        <w:ind w:firstLine="420" w:firstLineChars="200"/>
        <w:rPr>
          <w:rFonts w:ascii="仿宋_GB2312" w:eastAsia="仿宋_GB2312" w:hAnsi="仿宋" w:cs="Arial"/>
          <w:kern w:val="0"/>
          <w:sz w:val="32"/>
          <w:szCs w:val="32"/>
        </w:rPr>
      </w:pPr>
      <w:bookmarkEnd w:id="23"/>
      <w:r>
        <w:rPr>
          <w:rFonts w:ascii="仿宋_GB2312" w:eastAsia="仿宋_GB2312" w:hAnsi="仿宋" w:cs="Arial" w:hint="eastAsia"/>
          <w:kern w:val="0"/>
          <w:sz w:val="32"/>
          <w:szCs w:val="32"/>
        </w:rPr>
        <w:t>通过实施2</w:t>
      </w:r>
      <w:r>
        <w:rPr>
          <w:rFonts w:ascii="仿宋_GB2312" w:eastAsia="仿宋_GB2312" w:hAnsi="仿宋" w:cs="Arial"/>
          <w:kern w:val="0"/>
          <w:sz w:val="32"/>
          <w:szCs w:val="32"/>
        </w:rPr>
        <w:t>021</w:t>
      </w:r>
      <w:r>
        <w:rPr>
          <w:rFonts w:ascii="仿宋_GB2312" w:eastAsia="仿宋_GB2312" w:hAnsi="仿宋" w:cs="Arial" w:hint="eastAsia"/>
          <w:kern w:val="0"/>
          <w:sz w:val="32"/>
          <w:szCs w:val="32"/>
        </w:rPr>
        <w:t>年江海区地质灾害防治，提高了地质灾害防范能力。一是完成了2个隐患点的专业监测建设，支持配合市统筹的广东省地质灾害监测网建设。专业监测的建设通过监测监控数据的实时采集和传输、地质灾害监测预警数据的统一管理和联合分析，实现了自动化预警。二是通过购买技术支撑服务，为开展地质灾害防治提供了技术保障。</w:t>
      </w:r>
      <w:bookmarkStart w:id="24" w:name="_Toc486952628"/>
    </w:p>
    <w:p>
      <w:pPr>
        <w:pStyle w:val="Heading1"/>
      </w:pPr>
      <w:bookmarkStart w:id="25" w:name="_Toc112692601"/>
      <w:r>
        <w:rPr>
          <w:rFonts w:hint="eastAsia"/>
        </w:rPr>
        <w:t>五、存在问题</w:t>
      </w:r>
      <w:bookmarkEnd w:id="25"/>
    </w:p>
    <w:p>
      <w:pPr>
        <w:ind w:firstLine="420" w:firstLineChars="200"/>
        <w:rPr>
          <w:rFonts w:ascii="楷体_GB2312" w:eastAsia="楷体_GB2312"/>
          <w:b/>
          <w:kern w:val="0"/>
          <w:sz w:val="32"/>
          <w:szCs w:val="32"/>
        </w:rPr>
      </w:pPr>
      <w:r>
        <w:rPr>
          <w:rFonts w:ascii="楷体_GB2312" w:eastAsia="楷体_GB2312" w:hint="eastAsia"/>
          <w:b/>
          <w:kern w:val="0"/>
          <w:sz w:val="32"/>
          <w:szCs w:val="32"/>
        </w:rPr>
        <w:t>（一）</w:t>
      </w:r>
      <w:bookmarkStart w:id="26" w:name="_Hlk75772873"/>
      <w:r>
        <w:rPr>
          <w:rFonts w:ascii="楷体_GB2312" w:eastAsia="楷体_GB2312" w:hint="eastAsia"/>
          <w:b/>
          <w:kern w:val="0"/>
          <w:sz w:val="32"/>
          <w:szCs w:val="32"/>
        </w:rPr>
        <w:t>项目管理制度不够健全，</w:t>
      </w:r>
      <w:bookmarkEnd w:id="26"/>
      <w:r>
        <w:rPr>
          <w:rFonts w:ascii="楷体_GB2312" w:eastAsia="楷体_GB2312" w:hint="eastAsia"/>
          <w:b/>
          <w:kern w:val="0"/>
          <w:sz w:val="32"/>
          <w:szCs w:val="32"/>
        </w:rPr>
        <w:t>管理水平有待提高</w:t>
      </w:r>
    </w:p>
    <w:p>
      <w:pPr>
        <w:ind w:firstLine="420" w:firstLineChars="200"/>
        <w:rPr>
          <w:rFonts w:ascii="仿宋_GB2312" w:eastAsia="仿宋_GB2312" w:hAnsi="仿宋"/>
          <w:sz w:val="32"/>
          <w:szCs w:val="32"/>
        </w:rPr>
      </w:pPr>
      <w:r>
        <w:rPr>
          <w:rFonts w:ascii="仿宋_GB2312" w:eastAsia="仿宋_GB2312" w:hAnsi="仿宋" w:cstheme="majorBidi" w:hint="eastAsia"/>
          <w:bCs/>
          <w:sz w:val="32"/>
          <w:szCs w:val="32"/>
        </w:rPr>
        <w:t>一是项目未制定实施的具体方案，未制定建立</w:t>
      </w:r>
      <w:r>
        <w:rPr>
          <w:rFonts w:ascii="仿宋_GB2312" w:eastAsia="仿宋_GB2312" w:hAnsi="仿宋" w:hint="eastAsia"/>
          <w:sz w:val="32"/>
          <w:szCs w:val="32"/>
        </w:rPr>
        <w:t>项目实施管理办法或保障措施。</w:t>
      </w:r>
    </w:p>
    <w:p>
      <w:pPr>
        <w:ind w:firstLine="420" w:firstLineChars="200"/>
        <w:rPr>
          <w:rFonts w:ascii="仿宋_GB2312" w:eastAsia="仿宋_GB2312" w:hAnsi="仿宋"/>
          <w:sz w:val="32"/>
          <w:szCs w:val="32"/>
        </w:rPr>
      </w:pPr>
      <w:r>
        <w:rPr>
          <w:rFonts w:ascii="仿宋_GB2312" w:eastAsia="仿宋_GB2312" w:hAnsi="仿宋" w:hint="eastAsia"/>
          <w:sz w:val="32"/>
          <w:szCs w:val="32"/>
        </w:rPr>
        <w:t>二是</w:t>
      </w:r>
      <w:r>
        <w:rPr>
          <w:rFonts w:ascii="仿宋_GB2312" w:eastAsia="仿宋_GB2312" w:hAnsi="仿宋" w:hint="eastAsia"/>
          <w:bCs/>
          <w:sz w:val="32"/>
          <w:szCs w:val="32"/>
        </w:rPr>
        <w:t>层级管理及项目实施主体责权未有充分明确，</w:t>
      </w:r>
      <w:r>
        <w:rPr>
          <w:rFonts w:ascii="仿宋_GB2312" w:eastAsia="仿宋_GB2312" w:hAnsi="仿宋" w:hint="eastAsia"/>
          <w:sz w:val="32"/>
          <w:szCs w:val="32"/>
        </w:rPr>
        <w:t>监管未全面到位。地质灾害治理工程的项目实施主体为属地街道，项目单位主要负责地质灾害项目的组织、协调地质灾害治理的勘测设计和重要设计方案论证等前期工作，对项目实施进行指导和督促。部分治理工程进度慢，街道实施监督效果不理想，项目单位督促未到位。</w:t>
      </w:r>
    </w:p>
    <w:p>
      <w:pPr>
        <w:ind w:firstLine="420" w:firstLineChars="200"/>
        <w:rPr>
          <w:rFonts w:ascii="仿宋_GB2312" w:eastAsia="仿宋_GB2312" w:hAnsi="仿宋"/>
          <w:sz w:val="32"/>
          <w:szCs w:val="32"/>
        </w:rPr>
      </w:pPr>
      <w:r>
        <w:rPr>
          <w:rFonts w:ascii="仿宋_GB2312" w:eastAsia="仿宋_GB2312" w:hAnsi="仿宋" w:hint="eastAsia"/>
          <w:sz w:val="32"/>
          <w:szCs w:val="32"/>
        </w:rPr>
        <w:t>合同管理严谨性方面有待加强。个别合同存在没有填写签署日期的情况，合同履行过程中容易由此引发纠纷，造成不必要的损失。</w:t>
      </w:r>
    </w:p>
    <w:p>
      <w:pPr>
        <w:ind w:firstLine="420" w:firstLineChars="200"/>
        <w:rPr>
          <w:rFonts w:ascii="仿宋_GB2312" w:eastAsia="仿宋_GB2312" w:hAnsi="仿宋"/>
          <w:sz w:val="32"/>
          <w:szCs w:val="32"/>
        </w:rPr>
      </w:pPr>
      <w:r>
        <w:rPr>
          <w:rFonts w:ascii="仿宋_GB2312" w:eastAsia="仿宋_GB2312" w:hAnsi="仿宋" w:hint="eastAsia"/>
          <w:sz w:val="32"/>
          <w:szCs w:val="32"/>
        </w:rPr>
        <w:t>三是未对项目开展的影响因素以及改进情况进行总结，不利于下一步工作的开展。</w:t>
      </w:r>
    </w:p>
    <w:p>
      <w:pPr>
        <w:ind w:firstLine="420" w:firstLineChars="200"/>
        <w:rPr>
          <w:rFonts w:ascii="楷体_GB2312" w:eastAsia="楷体_GB2312"/>
          <w:b/>
          <w:kern w:val="0"/>
          <w:sz w:val="32"/>
          <w:szCs w:val="32"/>
        </w:rPr>
      </w:pPr>
      <w:r>
        <w:rPr>
          <w:rFonts w:ascii="楷体_GB2312" w:eastAsia="楷体_GB2312" w:hint="eastAsia"/>
          <w:b/>
          <w:kern w:val="0"/>
          <w:sz w:val="32"/>
          <w:szCs w:val="32"/>
        </w:rPr>
        <w:t>（二）绩效指标设置不够完善，个别指标完成情况考量方式的科学性有待提升</w:t>
      </w:r>
    </w:p>
    <w:p>
      <w:pPr>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在绩效指标设置方面，项目绩效指标设置能够运用定量指标与定性指标相结合，也结合项目特点设置了个性化的绩效指标，但指标设置不够全面，未能全面反映项目实施效果。项目主要资金用于灾害治理工程建设，绩效指标的设置缺乏反映工程类项目实施效果的关键指标。</w:t>
      </w:r>
    </w:p>
    <w:p>
      <w:pPr>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指标完成情况的考量方式方面，个别指标完成情况考量方式的科学性有待提升。项目单位通过无群众投诉来确定群众满意度指标实际完成指标值为100%，该指标完成情况的考量方式不够科学、合理。</w:t>
      </w:r>
    </w:p>
    <w:p>
      <w:pPr>
        <w:ind w:firstLine="420" w:firstLineChars="200"/>
        <w:rPr>
          <w:rFonts w:ascii="楷体_GB2312" w:eastAsia="楷体_GB2312"/>
          <w:b/>
          <w:kern w:val="0"/>
          <w:sz w:val="32"/>
          <w:szCs w:val="32"/>
        </w:rPr>
      </w:pPr>
      <w:r>
        <w:rPr>
          <w:rFonts w:ascii="楷体_GB2312" w:eastAsia="楷体_GB2312" w:hint="eastAsia"/>
          <w:b/>
          <w:kern w:val="0"/>
          <w:sz w:val="32"/>
          <w:szCs w:val="32"/>
        </w:rPr>
        <w:t>（三）自评工作组织管理有待提升</w:t>
      </w:r>
    </w:p>
    <w:p>
      <w:pPr>
        <w:ind w:firstLine="420" w:firstLineChars="200"/>
        <w:rPr>
          <w:rFonts w:eastAsia="仿宋_GB2312"/>
          <w:sz w:val="32"/>
          <w:szCs w:val="20"/>
        </w:rPr>
      </w:pPr>
      <w:r>
        <w:rPr>
          <w:rFonts w:eastAsia="仿宋_GB2312" w:hint="eastAsia"/>
          <w:sz w:val="32"/>
          <w:szCs w:val="20"/>
        </w:rPr>
        <w:t>项目单位对自评组织工作的重视程度不够高，无通过自评总结经验以及提出下一步改进工作的意见和建议，自评材料整体质量一般，自评工作组织管理有待提升。</w:t>
      </w:r>
    </w:p>
    <w:p>
      <w:pPr>
        <w:rPr>
          <w:rFonts w:eastAsia="仿宋_GB2312"/>
          <w:sz w:val="24"/>
          <w:szCs w:val="16"/>
        </w:rPr>
      </w:pPr>
    </w:p>
    <w:p>
      <w:pPr>
        <w:pStyle w:val="Heading1"/>
      </w:pPr>
      <w:bookmarkStart w:id="27" w:name="_Toc112692602"/>
      <w:r>
        <w:rPr>
          <w:rFonts w:hint="eastAsia"/>
        </w:rPr>
        <w:t>六、相关建议</w:t>
      </w:r>
      <w:bookmarkEnd w:id="24"/>
      <w:bookmarkEnd w:id="27"/>
    </w:p>
    <w:p>
      <w:pPr>
        <w:ind w:firstLine="420" w:firstLineChars="200"/>
        <w:rPr>
          <w:rFonts w:ascii="楷体_GB2312" w:eastAsia="楷体_GB2312"/>
          <w:b/>
          <w:kern w:val="0"/>
          <w:sz w:val="32"/>
          <w:szCs w:val="32"/>
        </w:rPr>
      </w:pPr>
      <w:bookmarkStart w:id="28" w:name="_Toc43281458"/>
      <w:bookmarkStart w:id="29" w:name="_Toc74936077"/>
      <w:bookmarkStart w:id="30" w:name="_Toc75018718"/>
      <w:bookmarkStart w:id="31" w:name="_Toc75195219"/>
      <w:r>
        <w:rPr>
          <w:rFonts w:ascii="楷体_GB2312" w:eastAsia="楷体_GB2312" w:hint="eastAsia"/>
          <w:b/>
          <w:kern w:val="0"/>
          <w:sz w:val="32"/>
          <w:szCs w:val="32"/>
        </w:rPr>
        <w:t>（一）</w:t>
      </w:r>
      <w:bookmarkStart w:id="32" w:name="_Hlk75772913"/>
      <w:r>
        <w:rPr>
          <w:rFonts w:ascii="楷体_GB2312" w:eastAsia="楷体_GB2312" w:hint="eastAsia"/>
          <w:b/>
          <w:kern w:val="0"/>
          <w:sz w:val="32"/>
          <w:szCs w:val="32"/>
        </w:rPr>
        <w:t>以制度建设和落实为抓手，稳步提升项目管理水平</w:t>
      </w:r>
    </w:p>
    <w:p>
      <w:pPr>
        <w:ind w:firstLine="420" w:firstLineChars="200"/>
        <w:rPr>
          <w:rFonts w:eastAsia="仿宋_GB2312"/>
          <w:sz w:val="32"/>
          <w:szCs w:val="20"/>
        </w:rPr>
      </w:pPr>
      <w:bookmarkEnd w:id="28"/>
      <w:bookmarkEnd w:id="29"/>
      <w:bookmarkEnd w:id="30"/>
      <w:bookmarkEnd w:id="31"/>
      <w:bookmarkEnd w:id="32"/>
      <w:r>
        <w:rPr>
          <w:rFonts w:eastAsia="仿宋_GB2312" w:hint="eastAsia"/>
          <w:sz w:val="32"/>
          <w:szCs w:val="20"/>
        </w:rPr>
        <w:t>一是建议项目实施前制定具体的实施方案，为项目的顺利实施提供指导和保障。</w:t>
      </w:r>
    </w:p>
    <w:p>
      <w:pPr>
        <w:ind w:firstLine="420" w:firstLineChars="200"/>
        <w:rPr>
          <w:rFonts w:eastAsia="仿宋_GB2312"/>
          <w:sz w:val="32"/>
          <w:szCs w:val="20"/>
        </w:rPr>
      </w:pPr>
      <w:r>
        <w:rPr>
          <w:rFonts w:eastAsia="仿宋_GB2312" w:hint="eastAsia"/>
          <w:sz w:val="32"/>
          <w:szCs w:val="20"/>
        </w:rPr>
        <w:t>二是建议逐步建立健全的项目实施管理</w:t>
      </w:r>
      <w:r>
        <w:rPr>
          <w:rFonts w:ascii="仿宋_GB2312" w:eastAsia="仿宋_GB2312" w:hAnsi="仿宋" w:cstheme="majorBidi" w:hint="eastAsia"/>
          <w:bCs/>
          <w:sz w:val="32"/>
          <w:szCs w:val="32"/>
        </w:rPr>
        <w:t>相关制度</w:t>
      </w:r>
      <w:r>
        <w:rPr>
          <w:rFonts w:eastAsia="仿宋_GB2312" w:hint="eastAsia"/>
          <w:sz w:val="32"/>
          <w:szCs w:val="20"/>
        </w:rPr>
        <w:t>，从而做到项目管理过程中有章可循、有据可依。</w:t>
      </w:r>
    </w:p>
    <w:p>
      <w:pPr>
        <w:ind w:firstLine="420" w:firstLineChars="200"/>
        <w:rPr>
          <w:rFonts w:eastAsia="仿宋_GB2312"/>
          <w:sz w:val="32"/>
          <w:szCs w:val="20"/>
        </w:rPr>
      </w:pPr>
      <w:r>
        <w:rPr>
          <w:rFonts w:eastAsia="仿宋_GB2312" w:hint="eastAsia"/>
          <w:sz w:val="32"/>
          <w:szCs w:val="20"/>
        </w:rPr>
        <w:t>三是建议充分明确层级管理及项目实施主体责权，以提高工作效能。</w:t>
      </w:r>
    </w:p>
    <w:p>
      <w:pPr>
        <w:ind w:firstLine="420" w:firstLineChars="200"/>
        <w:rPr>
          <w:rFonts w:ascii="仿宋_GB2312" w:eastAsia="仿宋_GB2312" w:hAnsi="仿宋"/>
          <w:sz w:val="32"/>
          <w:szCs w:val="32"/>
        </w:rPr>
      </w:pPr>
      <w:r>
        <w:rPr>
          <w:rFonts w:eastAsia="仿宋_GB2312" w:hint="eastAsia"/>
          <w:sz w:val="32"/>
          <w:szCs w:val="20"/>
        </w:rPr>
        <w:t>四是建议增强</w:t>
      </w:r>
      <w:r>
        <w:rPr>
          <w:rFonts w:ascii="仿宋_GB2312" w:eastAsia="仿宋_GB2312" w:hAnsi="仿宋" w:hint="eastAsia"/>
          <w:sz w:val="32"/>
          <w:szCs w:val="32"/>
        </w:rPr>
        <w:t>对实施情况进行检查督导，切实履行督导职责。</w:t>
      </w:r>
      <w:r>
        <w:rPr>
          <w:rFonts w:eastAsia="仿宋_GB2312" w:hint="eastAsia"/>
          <w:sz w:val="32"/>
          <w:szCs w:val="20"/>
        </w:rPr>
        <w:t>增强项目实施主体的监管意识，完善监管措施，明确监督检查职责，提高监管效能。</w:t>
      </w:r>
      <w:r>
        <w:rPr>
          <w:rFonts w:ascii="仿宋_GB2312" w:eastAsia="仿宋_GB2312" w:hAnsi="仿宋" w:hint="eastAsia"/>
          <w:sz w:val="32"/>
          <w:szCs w:val="32"/>
        </w:rPr>
        <w:t>同时，加大对项目的实施情况、资金使用绩效等进行全面评估、跟踪、指导，对项目实施中存在的客观困难要强化沟通协调，为项目顺利实施提供技术保障。</w:t>
      </w:r>
    </w:p>
    <w:p>
      <w:pPr>
        <w:ind w:firstLine="420" w:firstLineChars="200"/>
        <w:rPr>
          <w:rFonts w:ascii="仿宋_GB2312" w:eastAsia="仿宋_GB2312" w:hAnsi="仿宋"/>
          <w:sz w:val="32"/>
          <w:szCs w:val="32"/>
        </w:rPr>
      </w:pPr>
      <w:r>
        <w:rPr>
          <w:rFonts w:ascii="仿宋_GB2312" w:eastAsia="仿宋_GB2312" w:hAnsi="仿宋" w:hint="eastAsia"/>
          <w:sz w:val="32"/>
          <w:szCs w:val="32"/>
        </w:rPr>
        <w:t>五是建议加强合同管理，增强人员的合同管理和风险防范意识，避免合同履行过程中引发纠纷而造成不必要的损失。</w:t>
      </w:r>
    </w:p>
    <w:p>
      <w:pPr>
        <w:ind w:firstLine="420" w:firstLineChars="200"/>
        <w:rPr>
          <w:rFonts w:ascii="仿宋_GB2312" w:eastAsia="仿宋_GB2312" w:hAnsi="仿宋"/>
          <w:sz w:val="32"/>
          <w:szCs w:val="32"/>
        </w:rPr>
      </w:pPr>
      <w:r>
        <w:rPr>
          <w:rFonts w:ascii="仿宋_GB2312" w:eastAsia="仿宋_GB2312" w:hAnsi="仿宋" w:hint="eastAsia"/>
          <w:sz w:val="32"/>
          <w:szCs w:val="32"/>
        </w:rPr>
        <w:t>六是建议总结项目开展的影响因素，以利于及时发现问题，并找到改进的措施。</w:t>
      </w:r>
    </w:p>
    <w:p>
      <w:pPr>
        <w:ind w:firstLine="420" w:firstLineChars="200"/>
        <w:rPr>
          <w:rFonts w:ascii="楷体_GB2312" w:eastAsia="楷体_GB2312"/>
          <w:b/>
          <w:kern w:val="0"/>
          <w:sz w:val="32"/>
          <w:szCs w:val="32"/>
        </w:rPr>
      </w:pPr>
      <w:bookmarkStart w:id="33" w:name="_Toc43281460"/>
      <w:bookmarkStart w:id="34" w:name="_Toc74936079"/>
      <w:bookmarkStart w:id="35" w:name="_Toc75018720"/>
      <w:bookmarkStart w:id="36" w:name="_Toc75195221"/>
      <w:r>
        <w:rPr>
          <w:rFonts w:ascii="楷体_GB2312" w:eastAsia="楷体_GB2312" w:hint="eastAsia"/>
          <w:b/>
          <w:kern w:val="0"/>
          <w:sz w:val="32"/>
          <w:szCs w:val="32"/>
        </w:rPr>
        <w:t>（二）</w:t>
      </w:r>
      <w:bookmarkEnd w:id="33"/>
      <w:bookmarkEnd w:id="34"/>
      <w:bookmarkEnd w:id="35"/>
      <w:bookmarkEnd w:id="36"/>
      <w:r>
        <w:rPr>
          <w:rFonts w:ascii="楷体_GB2312" w:eastAsia="楷体_GB2312" w:hint="eastAsia"/>
          <w:b/>
          <w:kern w:val="0"/>
          <w:sz w:val="32"/>
          <w:szCs w:val="32"/>
        </w:rPr>
        <w:t>重视绩效目标设置，提高绩效目标设置的科学性</w:t>
      </w:r>
    </w:p>
    <w:p>
      <w:pPr>
        <w:ind w:firstLine="420" w:firstLineChars="200"/>
        <w:rPr>
          <w:rFonts w:ascii="仿宋_GB2312" w:eastAsia="仿宋_GB2312" w:hAnsi="仿宋"/>
          <w:sz w:val="32"/>
          <w:szCs w:val="32"/>
        </w:rPr>
      </w:pPr>
      <w:r>
        <w:rPr>
          <w:rFonts w:ascii="仿宋_GB2312" w:eastAsia="仿宋_GB2312" w:hAnsi="仿宋" w:hint="eastAsia"/>
          <w:sz w:val="32"/>
          <w:szCs w:val="32"/>
        </w:rPr>
        <w:t>对项目单位来说，绩效目标既是使用财政资金的承诺，也是做实项目的指引和工具，项目单位应重视项目绩效目标的设置。</w:t>
      </w:r>
    </w:p>
    <w:p>
      <w:pPr>
        <w:ind w:firstLine="420" w:firstLineChars="200"/>
        <w:rPr>
          <w:rFonts w:ascii="仿宋_GB2312" w:eastAsia="仿宋_GB2312" w:hAnsi="仿宋"/>
          <w:sz w:val="32"/>
          <w:szCs w:val="32"/>
        </w:rPr>
      </w:pPr>
      <w:r>
        <w:rPr>
          <w:rFonts w:ascii="仿宋_GB2312" w:eastAsia="仿宋_GB2312" w:hAnsi="仿宋" w:hint="eastAsia"/>
          <w:sz w:val="32"/>
          <w:szCs w:val="32"/>
        </w:rPr>
        <w:t>一是建议根据项目实施的阶段性计划，评估项目年度内可达成程度，结合项目的总体目标和资金使用范围，从数量、质量、时效、成本、效益、满意度等方面综合衡量预算资金的使用效果，科学设置绩效指标。根据地质灾害治理项目特点，建议增设项目验收合格率（质量指标）、工程进度完成率（时效指标）、工程预算成本控制率（成本指标）等能够反映项目实施效果的关键指标</w:t>
      </w:r>
      <w:bookmarkStart w:id="37" w:name="_Hlk113009813"/>
      <w:r>
        <w:rPr>
          <w:rFonts w:ascii="仿宋_GB2312" w:eastAsia="仿宋_GB2312" w:hAnsi="仿宋" w:hint="eastAsia"/>
          <w:sz w:val="32"/>
          <w:szCs w:val="32"/>
        </w:rPr>
        <w:t>，以项目实施过程中受影响的企业集体或群众为调查对象，制定科学合理的满意度指标。</w:t>
      </w:r>
      <w:bookmarkEnd w:id="37"/>
      <w:r>
        <w:rPr>
          <w:rFonts w:ascii="仿宋_GB2312" w:eastAsia="仿宋_GB2312" w:hAnsi="仿宋" w:hint="eastAsia"/>
          <w:sz w:val="32"/>
          <w:szCs w:val="32"/>
        </w:rPr>
        <w:t xml:space="preserve"> </w:t>
      </w:r>
      <w:r>
        <w:rPr>
          <w:rFonts w:ascii="仿宋_GB2312" w:eastAsia="仿宋_GB2312" w:hAnsi="仿宋"/>
          <w:sz w:val="32"/>
          <w:szCs w:val="32"/>
        </w:rPr>
        <w:t xml:space="preserve">     </w:t>
      </w:r>
    </w:p>
    <w:p>
      <w:pPr>
        <w:ind w:firstLine="420" w:firstLineChars="200"/>
        <w:rPr>
          <w:rFonts w:ascii="仿宋_GB2312" w:eastAsia="仿宋_GB2312" w:hAnsi="仿宋"/>
          <w:sz w:val="32"/>
          <w:szCs w:val="32"/>
        </w:rPr>
      </w:pPr>
      <w:r>
        <w:rPr>
          <w:rFonts w:ascii="仿宋_GB2312" w:eastAsia="仿宋_GB2312" w:hAnsi="仿宋" w:hint="eastAsia"/>
          <w:sz w:val="32"/>
          <w:szCs w:val="32"/>
        </w:rPr>
        <w:t>二是建议项目单位可采用调查问卷等方式对实施过程中受影响的企业集体或群众进行调查，以调查结果来反映群众的满意度。</w:t>
      </w:r>
    </w:p>
    <w:p>
      <w:pPr>
        <w:ind w:firstLine="420" w:firstLineChars="200"/>
        <w:rPr>
          <w:rFonts w:ascii="楷体_GB2312" w:eastAsia="楷体_GB2312"/>
          <w:b/>
          <w:kern w:val="0"/>
          <w:sz w:val="32"/>
          <w:szCs w:val="32"/>
        </w:rPr>
      </w:pPr>
      <w:r>
        <w:rPr>
          <w:rFonts w:ascii="楷体_GB2312" w:eastAsia="楷体_GB2312" w:hint="eastAsia"/>
          <w:b/>
          <w:kern w:val="0"/>
          <w:sz w:val="32"/>
          <w:szCs w:val="32"/>
        </w:rPr>
        <w:t>（三）增强绩效管理意识，提高自评组织工作质量</w:t>
      </w:r>
    </w:p>
    <w:p>
      <w:pPr>
        <w:ind w:firstLine="420" w:firstLineChars="200"/>
        <w:rPr>
          <w:rFonts w:eastAsia="仿宋_GB2312"/>
          <w:sz w:val="32"/>
          <w:szCs w:val="20"/>
        </w:rPr>
      </w:pPr>
      <w:r>
        <w:rPr>
          <w:rFonts w:eastAsia="仿宋_GB2312" w:hint="eastAsia"/>
          <w:sz w:val="32"/>
          <w:szCs w:val="20"/>
        </w:rPr>
        <w:t>一是建议开展培训以提升绩效管理认识。加强对预算绩效管理政策学习，准确理解绩效内涵、原理、方法和内容，强化业务管理人员和财务人员的绩效管理理论水平，切实提高对绩效管理的认识。树立预算目标设定——绩效跟踪评价——支出绩效后评价的思维，并将绩效思维融入项目实施的每个环节中，构建完整、完善的全过程绩效管理模式。</w:t>
      </w:r>
    </w:p>
    <w:p>
      <w:pPr>
        <w:ind w:firstLine="420" w:firstLineChars="200"/>
        <w:rPr>
          <w:rFonts w:eastAsia="仿宋_GB2312"/>
          <w:sz w:val="32"/>
          <w:szCs w:val="20"/>
        </w:rPr>
      </w:pPr>
      <w:r>
        <w:rPr>
          <w:rFonts w:eastAsia="仿宋_GB2312" w:hint="eastAsia"/>
          <w:sz w:val="32"/>
          <w:szCs w:val="20"/>
        </w:rPr>
        <w:t>二是建议项目单位重视自评工作的组织，提高自评工作质量。绩效评价管理是一项综合性较强的工作，是财务、项目管理、绩效评价、财政、公共管理等方面的综合。建议在构建形成绩效自评组织管理体系的过程中，由项目单位财务审计科主导，各相关部门协调配合，形成联动，按照“谁支出、谁填报、谁负责”的原则，编制预算绩效评价自评表和自评报告，对项目实施全过程资料进行留档管理，保障绩效评价的准确性、完整性。</w:t>
      </w:r>
    </w:p>
    <w:p>
      <w:pPr>
        <w:ind w:firstLine="420" w:firstLineChars="200"/>
        <w:rPr>
          <w:rFonts w:eastAsia="仿宋_GB2312"/>
          <w:sz w:val="32"/>
          <w:szCs w:val="20"/>
        </w:rPr>
      </w:pPr>
      <w:r>
        <w:rPr>
          <w:rFonts w:eastAsia="仿宋_GB2312" w:hint="eastAsia"/>
          <w:sz w:val="32"/>
          <w:szCs w:val="20"/>
        </w:rPr>
        <w:t>三是建议项目单位及时进行自评总结经验，以便更好的开展下一步工作。</w:t>
      </w:r>
    </w:p>
    <w:p>
      <w:pPr>
        <w:rPr>
          <w:rFonts w:ascii="楷体_GB2312" w:eastAsia="楷体_GB2312"/>
          <w:bCs/>
          <w:kern w:val="0"/>
          <w:sz w:val="32"/>
          <w:szCs w:val="32"/>
        </w:rPr>
      </w:pPr>
    </w:p>
    <w:p>
      <w:pPr>
        <w:rPr>
          <w:rFonts w:ascii="楷体_GB2312" w:eastAsia="楷体_GB2312"/>
          <w:bCs/>
          <w:kern w:val="0"/>
          <w:sz w:val="32"/>
          <w:szCs w:val="32"/>
        </w:rPr>
      </w:pPr>
    </w:p>
    <w:p>
      <w:pPr>
        <w:rPr>
          <w:rFonts w:ascii="楷体_GB2312" w:eastAsia="楷体_GB2312"/>
          <w:bCs/>
          <w:kern w:val="0"/>
          <w:sz w:val="32"/>
          <w:szCs w:val="32"/>
        </w:rPr>
      </w:pPr>
    </w:p>
    <w:p>
      <w:pPr>
        <w:rPr>
          <w:rFonts w:ascii="楷体_GB2312" w:eastAsia="楷体_GB2312"/>
          <w:bCs/>
          <w:kern w:val="0"/>
          <w:sz w:val="32"/>
          <w:szCs w:val="32"/>
        </w:rPr>
      </w:pPr>
    </w:p>
    <w:p>
      <w:pPr>
        <w:rPr>
          <w:rFonts w:ascii="楷体_GB2312" w:eastAsia="楷体_GB2312"/>
          <w:bCs/>
          <w:kern w:val="0"/>
          <w:sz w:val="32"/>
          <w:szCs w:val="32"/>
        </w:rPr>
      </w:pPr>
    </w:p>
    <w:p>
      <w:pPr>
        <w:pStyle w:val="Heading1"/>
        <w:ind w:firstLine="442"/>
        <w:jc w:val="center"/>
        <w:rPr>
          <w:sz w:val="44"/>
          <w:szCs w:val="44"/>
        </w:rPr>
      </w:pPr>
      <w:bookmarkStart w:id="38" w:name="_Toc112692603"/>
      <w:r>
        <w:rPr>
          <w:rFonts w:hint="eastAsia"/>
          <w:sz w:val="44"/>
          <w:szCs w:val="44"/>
        </w:rPr>
        <w:t>第二部分 分析报告</w:t>
      </w:r>
      <w:bookmarkEnd w:id="38"/>
    </w:p>
    <w:p>
      <w:pPr>
        <w:spacing w:line="560" w:lineRule="exact"/>
        <w:jc w:val="left"/>
        <w:rPr>
          <w:rFonts w:ascii="仿宋_GB2312" w:eastAsia="仿宋_GB2312" w:hAnsi="仿宋" w:cstheme="minorBidi"/>
          <w:sz w:val="32"/>
          <w:szCs w:val="32"/>
        </w:rPr>
      </w:pPr>
    </w:p>
    <w:p>
      <w:pPr>
        <w:pStyle w:val="Heading1"/>
      </w:pPr>
      <w:bookmarkStart w:id="39" w:name="_Toc112692604"/>
      <w:r>
        <w:rPr>
          <w:rFonts w:hint="eastAsia"/>
        </w:rPr>
        <w:t>一、基本情况</w:t>
      </w:r>
      <w:bookmarkEnd w:id="39"/>
    </w:p>
    <w:p>
      <w:pPr>
        <w:pStyle w:val="Heading2"/>
        <w:spacing w:before="0" w:after="0" w:line="360" w:lineRule="auto"/>
        <w:ind w:firstLine="420" w:firstLineChars="200"/>
        <w:rPr>
          <w:rFonts w:ascii="楷体_GB2312" w:eastAsia="楷体_GB2312" w:hAnsi="仿宋"/>
        </w:rPr>
      </w:pPr>
      <w:bookmarkStart w:id="40" w:name="_Toc112692605"/>
      <w:r>
        <w:rPr>
          <w:rFonts w:ascii="楷体_GB2312" w:eastAsia="楷体_GB2312" w:hAnsi="仿宋" w:hint="eastAsia"/>
        </w:rPr>
        <w:t>（一）专项背景</w:t>
      </w:r>
      <w:bookmarkEnd w:id="40"/>
    </w:p>
    <w:p>
      <w:pPr>
        <w:pStyle w:val="ListParagraph"/>
        <w:spacing w:line="360" w:lineRule="auto"/>
        <w:ind w:firstLine="640"/>
        <w:rPr>
          <w:rFonts w:ascii="仿宋_GB2312" w:eastAsia="仿宋_GB2312" w:hAnsi="楷体"/>
          <w:sz w:val="32"/>
          <w:szCs w:val="32"/>
        </w:rPr>
      </w:pPr>
      <w:r>
        <w:rPr>
          <w:rFonts w:ascii="仿宋_GB2312" w:eastAsia="仿宋_GB2312" w:hAnsi="楷体" w:hint="eastAsia"/>
          <w:sz w:val="32"/>
          <w:szCs w:val="32"/>
        </w:rPr>
        <w:t>为深入贯彻落实习近平总书记对防汛抢险救灾工作的重要指示精神，减少或避免地质灾害造成人员伤亡和经济损失，确保人民群众生命财产安全，保障经济社会可持续发展，江门市江海区自然资源局根据《中华人民共和国突发事件应对法》《地质灾害防治条例》《广东省地质环境管理条例》《中共广东省委广东省人民政府关于推进防灾减灾救灾体制机制改革的实施意见》《广东省地质灾害防治三年行动方案（2020-2022年）的通知》等相关文件要求，结合江海区实际情况，2021年安排资金6</w:t>
      </w:r>
      <w:r>
        <w:rPr>
          <w:rFonts w:ascii="仿宋_GB2312" w:eastAsia="仿宋_GB2312" w:hAnsi="楷体"/>
          <w:sz w:val="32"/>
          <w:szCs w:val="32"/>
        </w:rPr>
        <w:t>55</w:t>
      </w:r>
      <w:r>
        <w:rPr>
          <w:rFonts w:ascii="仿宋_GB2312" w:eastAsia="仿宋_GB2312" w:hAnsi="楷体" w:hint="eastAsia"/>
          <w:sz w:val="32"/>
          <w:szCs w:val="32"/>
        </w:rPr>
        <w:t>万元用于开展江海区地质灾害项目。</w:t>
      </w:r>
    </w:p>
    <w:p>
      <w:pPr>
        <w:pStyle w:val="Heading2"/>
        <w:spacing w:before="0" w:after="0" w:line="360" w:lineRule="auto"/>
        <w:ind w:firstLine="420" w:firstLineChars="200"/>
        <w:rPr>
          <w:rFonts w:ascii="楷体_GB2312" w:eastAsia="楷体_GB2312" w:hAnsi="仿宋"/>
        </w:rPr>
      </w:pPr>
      <w:bookmarkStart w:id="41" w:name="_Toc112692606"/>
      <w:r>
        <w:rPr>
          <w:rFonts w:ascii="楷体_GB2312" w:eastAsia="楷体_GB2312" w:hAnsi="仿宋" w:hint="eastAsia"/>
        </w:rPr>
        <w:t>（二）资金安排及使用情况</w:t>
      </w:r>
      <w:bookmarkEnd w:id="41"/>
    </w:p>
    <w:p>
      <w:pPr>
        <w:spacing w:line="360" w:lineRule="auto"/>
        <w:ind w:firstLine="420" w:firstLineChars="200"/>
        <w:rPr>
          <w:rFonts w:ascii="仿宋_GB2312" w:eastAsia="仿宋_GB2312" w:hAnsi="楷体"/>
          <w:b/>
          <w:bCs/>
          <w:sz w:val="32"/>
          <w:szCs w:val="32"/>
        </w:rPr>
      </w:pPr>
      <w:r>
        <w:rPr>
          <w:rFonts w:ascii="仿宋_GB2312" w:eastAsia="仿宋_GB2312" w:hAnsi="楷体" w:hint="eastAsia"/>
          <w:b/>
          <w:bCs/>
          <w:sz w:val="32"/>
          <w:szCs w:val="32"/>
        </w:rPr>
        <w:t>1</w:t>
      </w:r>
      <w:r>
        <w:rPr>
          <w:rFonts w:ascii="仿宋_GB2312" w:eastAsia="仿宋_GB2312" w:hAnsi="楷体"/>
          <w:b/>
          <w:bCs/>
          <w:sz w:val="32"/>
          <w:szCs w:val="32"/>
        </w:rPr>
        <w:t>.</w:t>
      </w:r>
      <w:r>
        <w:rPr>
          <w:rFonts w:ascii="仿宋_GB2312" w:eastAsia="仿宋_GB2312" w:hAnsi="楷体" w:hint="eastAsia"/>
          <w:b/>
          <w:bCs/>
          <w:sz w:val="32"/>
          <w:szCs w:val="32"/>
        </w:rPr>
        <w:t>资金安排情况</w:t>
      </w:r>
    </w:p>
    <w:p>
      <w:pPr>
        <w:pStyle w:val="ListParagraph"/>
        <w:spacing w:line="360" w:lineRule="auto"/>
        <w:ind w:firstLine="640"/>
        <w:rPr>
          <w:rFonts w:ascii="仿宋_GB2312" w:eastAsia="仿宋_GB2312" w:hAnsi="楷体"/>
          <w:sz w:val="32"/>
          <w:szCs w:val="32"/>
        </w:rPr>
      </w:pPr>
      <w:r>
        <w:rPr>
          <w:rFonts w:ascii="仿宋_GB2312" w:eastAsia="仿宋_GB2312" w:hAnsi="楷体" w:hint="eastAsia"/>
          <w:sz w:val="32"/>
          <w:szCs w:val="32"/>
        </w:rPr>
        <w:t>2021年度江海区地质灾害项目年初预算安排资金2</w:t>
      </w:r>
      <w:r>
        <w:rPr>
          <w:rFonts w:ascii="仿宋_GB2312" w:eastAsia="仿宋_GB2312" w:hAnsi="楷体"/>
          <w:sz w:val="32"/>
          <w:szCs w:val="32"/>
        </w:rPr>
        <w:t>55</w:t>
      </w:r>
      <w:r>
        <w:rPr>
          <w:rFonts w:ascii="仿宋_GB2312" w:eastAsia="仿宋_GB2312" w:hAnsi="楷体" w:hint="eastAsia"/>
          <w:sz w:val="32"/>
          <w:szCs w:val="32"/>
        </w:rPr>
        <w:t>万元，上年无结转资金，年中因新增地质灾害点需治理追加4</w:t>
      </w:r>
      <w:r>
        <w:rPr>
          <w:rFonts w:ascii="仿宋_GB2312" w:eastAsia="仿宋_GB2312" w:hAnsi="楷体"/>
          <w:sz w:val="32"/>
          <w:szCs w:val="32"/>
        </w:rPr>
        <w:t>00</w:t>
      </w:r>
      <w:r>
        <w:rPr>
          <w:rFonts w:ascii="仿宋_GB2312" w:eastAsia="仿宋_GB2312" w:hAnsi="楷体" w:hint="eastAsia"/>
          <w:sz w:val="32"/>
          <w:szCs w:val="32"/>
        </w:rPr>
        <w:t>万元，全年预算安排总资金6</w:t>
      </w:r>
      <w:r>
        <w:rPr>
          <w:rFonts w:ascii="仿宋_GB2312" w:eastAsia="仿宋_GB2312" w:hAnsi="楷体"/>
          <w:sz w:val="32"/>
          <w:szCs w:val="32"/>
        </w:rPr>
        <w:t>55</w:t>
      </w:r>
      <w:r>
        <w:rPr>
          <w:rFonts w:ascii="仿宋_GB2312" w:eastAsia="仿宋_GB2312" w:hAnsi="楷体" w:hint="eastAsia"/>
          <w:sz w:val="32"/>
          <w:szCs w:val="32"/>
        </w:rPr>
        <w:t>万元。资金安排用于4个具体子项目，资金安排情况详见表</w:t>
      </w:r>
      <w:r>
        <w:rPr>
          <w:rFonts w:ascii="仿宋_GB2312" w:eastAsia="仿宋_GB2312" w:hAnsi="楷体"/>
          <w:sz w:val="32"/>
          <w:szCs w:val="32"/>
        </w:rPr>
        <w:t>2-1</w:t>
      </w:r>
      <w:r>
        <w:rPr>
          <w:rFonts w:ascii="仿宋_GB2312" w:eastAsia="仿宋_GB2312" w:hAnsi="楷体" w:hint="eastAsia"/>
          <w:sz w:val="32"/>
          <w:szCs w:val="32"/>
        </w:rPr>
        <w:t>、图2</w:t>
      </w:r>
      <w:r>
        <w:rPr>
          <w:rFonts w:ascii="仿宋_GB2312" w:eastAsia="仿宋_GB2312" w:hAnsi="楷体"/>
          <w:sz w:val="32"/>
          <w:szCs w:val="32"/>
        </w:rPr>
        <w:t>-1</w:t>
      </w:r>
      <w:r>
        <w:rPr>
          <w:rFonts w:ascii="仿宋_GB2312" w:eastAsia="仿宋_GB2312" w:hAnsi="楷体" w:hint="eastAsia"/>
          <w:sz w:val="32"/>
          <w:szCs w:val="32"/>
        </w:rPr>
        <w:t>。</w:t>
      </w:r>
    </w:p>
    <w:p>
      <w:pPr>
        <w:pStyle w:val="ListParagraph"/>
        <w:spacing w:line="360" w:lineRule="auto"/>
        <w:ind w:firstLine="640"/>
        <w:rPr>
          <w:rFonts w:ascii="仿宋_GB2312" w:eastAsia="仿宋_GB2312" w:hAnsi="楷体"/>
          <w:sz w:val="32"/>
          <w:szCs w:val="32"/>
        </w:rPr>
      </w:pPr>
    </w:p>
    <w:p>
      <w:pPr>
        <w:pStyle w:val="ListParagraph"/>
        <w:spacing w:line="360" w:lineRule="auto"/>
        <w:ind w:firstLine="640"/>
        <w:rPr>
          <w:rFonts w:ascii="仿宋_GB2312" w:eastAsia="仿宋_GB2312" w:hAnsi="楷体"/>
          <w:sz w:val="32"/>
          <w:szCs w:val="32"/>
        </w:rPr>
      </w:pPr>
    </w:p>
    <w:p>
      <w:pPr>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2</w:t>
      </w:r>
      <w:r>
        <w:rPr>
          <w:rFonts w:ascii="黑体" w:eastAsia="黑体" w:hAnsi="黑体" w:hint="eastAsia"/>
          <w:sz w:val="28"/>
          <w:szCs w:val="28"/>
        </w:rPr>
        <w:t>-</w:t>
      </w:r>
      <w:r>
        <w:rPr>
          <w:rFonts w:ascii="黑体" w:eastAsia="黑体" w:hAnsi="黑体"/>
          <w:sz w:val="28"/>
          <w:szCs w:val="28"/>
        </w:rPr>
        <w:t>1</w:t>
      </w:r>
      <w:r>
        <w:rPr>
          <w:rFonts w:ascii="黑体" w:eastAsia="黑体" w:hAnsi="黑体" w:hint="eastAsia"/>
          <w:sz w:val="28"/>
          <w:szCs w:val="28"/>
        </w:rPr>
        <w:t xml:space="preserve"> </w:t>
      </w:r>
      <w:r>
        <w:rPr>
          <w:rFonts w:ascii="黑体" w:eastAsia="黑体" w:hAnsi="黑体"/>
          <w:sz w:val="28"/>
          <w:szCs w:val="28"/>
        </w:rPr>
        <w:t>2021年</w:t>
      </w:r>
      <w:r>
        <w:rPr>
          <w:rFonts w:ascii="黑体" w:eastAsia="黑体" w:hAnsi="黑体" w:hint="eastAsia"/>
          <w:sz w:val="28"/>
          <w:szCs w:val="28"/>
        </w:rPr>
        <w:t>江海区地质灾害项目资金安排情况明细表</w:t>
      </w:r>
    </w:p>
    <w:tbl>
      <w:tblPr>
        <w:tblStyle w:val="TableNormal"/>
        <w:tblW w:w="8335" w:type="dxa"/>
        <w:jc w:val="center"/>
        <w:tblCellMar>
          <w:top w:w="0" w:type="dxa"/>
          <w:left w:w="108" w:type="dxa"/>
          <w:bottom w:w="0" w:type="dxa"/>
          <w:right w:w="108" w:type="dxa"/>
        </w:tblCellMar>
      </w:tblPr>
      <w:tblGrid>
        <w:gridCol w:w="784"/>
        <w:gridCol w:w="3406"/>
        <w:gridCol w:w="1510"/>
        <w:gridCol w:w="1401"/>
        <w:gridCol w:w="1234"/>
      </w:tblGrid>
      <w:tr>
        <w:tblPrEx>
          <w:tblW w:w="8335" w:type="dxa"/>
          <w:jc w:val="center"/>
          <w:tblCellMar>
            <w:top w:w="0" w:type="dxa"/>
            <w:left w:w="108" w:type="dxa"/>
            <w:bottom w:w="0" w:type="dxa"/>
            <w:right w:w="108" w:type="dxa"/>
          </w:tblCellMar>
        </w:tblPrEx>
        <w:trPr>
          <w:trHeight w:val="589"/>
          <w:jc w:val="center"/>
        </w:trPr>
        <w:tc>
          <w:tcPr>
            <w:tcW w:w="803" w:type="dxa"/>
            <w:tcBorders>
              <w:top w:val="single" w:sz="4" w:space="0" w:color="auto"/>
              <w:left w:val="single" w:sz="4" w:space="0" w:color="auto"/>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序号</w:t>
            </w:r>
          </w:p>
        </w:tc>
        <w:tc>
          <w:tcPr>
            <w:tcW w:w="3566" w:type="dxa"/>
            <w:tcBorders>
              <w:top w:val="single" w:sz="4" w:space="0" w:color="auto"/>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具体子项目</w:t>
            </w:r>
          </w:p>
        </w:tc>
        <w:tc>
          <w:tcPr>
            <w:tcW w:w="1558" w:type="dxa"/>
            <w:tcBorders>
              <w:top w:val="single" w:sz="4" w:space="0" w:color="auto"/>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对应经济支出科目</w:t>
            </w:r>
          </w:p>
        </w:tc>
        <w:tc>
          <w:tcPr>
            <w:tcW w:w="1443" w:type="dxa"/>
            <w:tcBorders>
              <w:top w:val="single" w:sz="4" w:space="0" w:color="auto"/>
              <w:left w:val="single" w:sz="4" w:space="0" w:color="auto"/>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预算安排资金（万元）</w:t>
            </w:r>
          </w:p>
        </w:tc>
        <w:tc>
          <w:tcPr>
            <w:tcW w:w="1251" w:type="dxa"/>
            <w:tcBorders>
              <w:top w:val="single" w:sz="4" w:space="0" w:color="auto"/>
              <w:left w:val="single" w:sz="4" w:space="0" w:color="auto"/>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资金占比</w:t>
            </w:r>
          </w:p>
        </w:tc>
      </w:tr>
      <w:tr>
        <w:tblPrEx>
          <w:tblW w:w="8335" w:type="dxa"/>
          <w:jc w:val="center"/>
          <w:tblCellMar>
            <w:top w:w="0" w:type="dxa"/>
            <w:left w:w="108" w:type="dxa"/>
            <w:bottom w:w="0" w:type="dxa"/>
            <w:right w:w="108" w:type="dxa"/>
          </w:tblCellMar>
        </w:tblPrEx>
        <w:trPr>
          <w:trHeight w:val="589"/>
          <w:jc w:val="center"/>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合计</w:t>
            </w:r>
          </w:p>
        </w:tc>
        <w:tc>
          <w:tcPr>
            <w:tcW w:w="3566"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c>
          <w:tcPr>
            <w:tcW w:w="1558" w:type="dxa"/>
            <w:tcBorders>
              <w:top w:val="single" w:sz="4" w:space="0" w:color="auto"/>
              <w:left w:val="nil"/>
              <w:bottom w:val="single" w:sz="4" w:space="0" w:color="auto"/>
              <w:right w:val="single" w:sz="4" w:space="0" w:color="auto"/>
            </w:tcBorders>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6</w:t>
            </w:r>
            <w:r>
              <w:rPr>
                <w:rFonts w:ascii="仿宋_GB2312" w:eastAsia="仿宋_GB2312" w:hAnsi="等线" w:cs="宋体"/>
                <w:b/>
                <w:bCs/>
                <w:kern w:val="0"/>
                <w:sz w:val="24"/>
              </w:rPr>
              <w:t>55</w:t>
            </w:r>
          </w:p>
        </w:tc>
        <w:tc>
          <w:tcPr>
            <w:tcW w:w="1251" w:type="dxa"/>
            <w:tcBorders>
              <w:top w:val="single" w:sz="4" w:space="0" w:color="auto"/>
              <w:left w:val="single" w:sz="4" w:space="0" w:color="auto"/>
              <w:bottom w:val="single" w:sz="4" w:space="0" w:color="auto"/>
              <w:right w:val="single" w:sz="4" w:space="0" w:color="auto"/>
            </w:tcBorders>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r>
      <w:tr>
        <w:tblPrEx>
          <w:tblW w:w="8335" w:type="dxa"/>
          <w:jc w:val="center"/>
          <w:tblCellMar>
            <w:top w:w="0" w:type="dxa"/>
            <w:left w:w="108" w:type="dxa"/>
            <w:bottom w:w="0" w:type="dxa"/>
            <w:right w:w="108" w:type="dxa"/>
          </w:tblCellMar>
        </w:tblPrEx>
        <w:trPr>
          <w:trHeight w:val="454"/>
          <w:jc w:val="center"/>
        </w:trPr>
        <w:tc>
          <w:tcPr>
            <w:tcW w:w="803"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1</w:t>
            </w:r>
          </w:p>
        </w:tc>
        <w:tc>
          <w:tcPr>
            <w:tcW w:w="3566" w:type="dxa"/>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江南街道2019年5个地质灾害治理工程未付工程款及2021年3个新增地质灾害点治理工程工程进度款</w:t>
            </w:r>
          </w:p>
        </w:tc>
        <w:tc>
          <w:tcPr>
            <w:tcW w:w="1558" w:type="dxa"/>
            <w:tcBorders>
              <w:top w:val="single" w:sz="4" w:space="0" w:color="auto"/>
              <w:left w:val="nil"/>
              <w:bottom w:val="single" w:sz="4" w:space="0" w:color="auto"/>
              <w:right w:val="single" w:sz="4" w:space="0" w:color="auto"/>
            </w:tcBorders>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220</w:t>
            </w:r>
          </w:p>
        </w:tc>
        <w:tc>
          <w:tcPr>
            <w:tcW w:w="1251" w:type="dxa"/>
            <w:tcBorders>
              <w:top w:val="single" w:sz="4" w:space="0" w:color="auto"/>
              <w:left w:val="single" w:sz="4" w:space="0" w:color="auto"/>
              <w:bottom w:val="single" w:sz="4" w:space="0" w:color="auto"/>
              <w:right w:val="single" w:sz="4" w:space="0" w:color="auto"/>
            </w:tcBorders>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3</w:t>
            </w:r>
            <w:r>
              <w:rPr>
                <w:rFonts w:ascii="仿宋_GB2312" w:eastAsia="仿宋_GB2312" w:hAnsi="等线" w:cs="宋体"/>
                <w:kern w:val="0"/>
                <w:sz w:val="24"/>
              </w:rPr>
              <w:t>3.59</w:t>
            </w:r>
            <w:r>
              <w:rPr>
                <w:rFonts w:ascii="仿宋_GB2312" w:eastAsia="仿宋_GB2312" w:hAnsi="等线" w:cs="宋体" w:hint="eastAsia"/>
                <w:kern w:val="0"/>
                <w:sz w:val="24"/>
              </w:rPr>
              <w:t>%</w:t>
            </w:r>
          </w:p>
        </w:tc>
      </w:tr>
      <w:tr>
        <w:tblPrEx>
          <w:tblW w:w="8335" w:type="dxa"/>
          <w:jc w:val="center"/>
          <w:tblCellMar>
            <w:top w:w="0" w:type="dxa"/>
            <w:left w:w="108" w:type="dxa"/>
            <w:bottom w:w="0" w:type="dxa"/>
            <w:right w:w="108" w:type="dxa"/>
          </w:tblCellMar>
        </w:tblPrEx>
        <w:trPr>
          <w:trHeight w:val="454"/>
          <w:jc w:val="center"/>
        </w:trPr>
        <w:tc>
          <w:tcPr>
            <w:tcW w:w="803"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2</w:t>
            </w:r>
          </w:p>
        </w:tc>
        <w:tc>
          <w:tcPr>
            <w:tcW w:w="3566" w:type="dxa"/>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外海街道东南村松仔山地质灾害治理工程工程进度款（年中追加）</w:t>
            </w:r>
          </w:p>
        </w:tc>
        <w:tc>
          <w:tcPr>
            <w:tcW w:w="1558" w:type="dxa"/>
            <w:tcBorders>
              <w:top w:val="single" w:sz="4" w:space="0" w:color="auto"/>
              <w:left w:val="nil"/>
              <w:bottom w:val="single" w:sz="4" w:space="0" w:color="auto"/>
              <w:right w:val="single" w:sz="4" w:space="0" w:color="auto"/>
            </w:tcBorders>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400</w:t>
            </w:r>
          </w:p>
        </w:tc>
        <w:tc>
          <w:tcPr>
            <w:tcW w:w="1251" w:type="dxa"/>
            <w:tcBorders>
              <w:top w:val="single" w:sz="4" w:space="0" w:color="auto"/>
              <w:left w:val="single" w:sz="4" w:space="0" w:color="auto"/>
              <w:bottom w:val="single" w:sz="4" w:space="0" w:color="auto"/>
              <w:right w:val="single" w:sz="4" w:space="0" w:color="auto"/>
            </w:tcBorders>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61.07</w:t>
            </w:r>
            <w:r>
              <w:rPr>
                <w:rFonts w:ascii="仿宋_GB2312" w:eastAsia="仿宋_GB2312" w:hAnsi="等线" w:cs="宋体" w:hint="eastAsia"/>
                <w:kern w:val="0"/>
                <w:sz w:val="24"/>
              </w:rPr>
              <w:t>%</w:t>
            </w:r>
          </w:p>
        </w:tc>
      </w:tr>
      <w:tr>
        <w:tblPrEx>
          <w:tblW w:w="8335" w:type="dxa"/>
          <w:jc w:val="center"/>
          <w:tblCellMar>
            <w:top w:w="0" w:type="dxa"/>
            <w:left w:w="108" w:type="dxa"/>
            <w:bottom w:w="0" w:type="dxa"/>
            <w:right w:w="108" w:type="dxa"/>
          </w:tblCellMar>
        </w:tblPrEx>
        <w:trPr>
          <w:trHeight w:val="454"/>
          <w:jc w:val="center"/>
        </w:trPr>
        <w:tc>
          <w:tcPr>
            <w:tcW w:w="803" w:type="dxa"/>
            <w:tcBorders>
              <w:top w:val="nil"/>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3</w:t>
            </w:r>
          </w:p>
        </w:tc>
        <w:tc>
          <w:tcPr>
            <w:tcW w:w="3566" w:type="dxa"/>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地质灾害点监测设备</w:t>
            </w:r>
          </w:p>
        </w:tc>
        <w:tc>
          <w:tcPr>
            <w:tcW w:w="1558" w:type="dxa"/>
            <w:tcBorders>
              <w:top w:val="single" w:sz="4" w:space="0" w:color="auto"/>
              <w:left w:val="nil"/>
              <w:bottom w:val="single" w:sz="4" w:space="0" w:color="auto"/>
              <w:right w:val="single" w:sz="4" w:space="0" w:color="auto"/>
            </w:tcBorders>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30</w:t>
            </w:r>
          </w:p>
        </w:tc>
        <w:tc>
          <w:tcPr>
            <w:tcW w:w="1251" w:type="dxa"/>
            <w:tcBorders>
              <w:top w:val="single" w:sz="4" w:space="0" w:color="auto"/>
              <w:left w:val="single" w:sz="4" w:space="0" w:color="auto"/>
              <w:bottom w:val="single" w:sz="4" w:space="0" w:color="auto"/>
              <w:right w:val="single" w:sz="4" w:space="0" w:color="auto"/>
            </w:tcBorders>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4.58</w:t>
            </w:r>
            <w:r>
              <w:rPr>
                <w:rFonts w:ascii="仿宋_GB2312" w:eastAsia="仿宋_GB2312" w:hAnsi="等线" w:cs="宋体" w:hint="eastAsia"/>
                <w:kern w:val="0"/>
                <w:sz w:val="24"/>
              </w:rPr>
              <w:t>%</w:t>
            </w:r>
          </w:p>
        </w:tc>
      </w:tr>
      <w:tr>
        <w:tblPrEx>
          <w:tblW w:w="8335" w:type="dxa"/>
          <w:jc w:val="center"/>
          <w:tblCellMar>
            <w:top w:w="0" w:type="dxa"/>
            <w:left w:w="108" w:type="dxa"/>
            <w:bottom w:w="0" w:type="dxa"/>
            <w:right w:w="108" w:type="dxa"/>
          </w:tblCellMar>
        </w:tblPrEx>
        <w:trPr>
          <w:trHeight w:val="454"/>
          <w:jc w:val="center"/>
        </w:trPr>
        <w:tc>
          <w:tcPr>
            <w:tcW w:w="80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4</w:t>
            </w:r>
          </w:p>
        </w:tc>
        <w:tc>
          <w:tcPr>
            <w:tcW w:w="3566" w:type="dxa"/>
            <w:tcBorders>
              <w:top w:val="single" w:sz="4" w:space="0" w:color="auto"/>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地质灾害监测与技术支撑</w:t>
            </w:r>
          </w:p>
        </w:tc>
        <w:tc>
          <w:tcPr>
            <w:tcW w:w="1558" w:type="dxa"/>
            <w:tcBorders>
              <w:top w:val="single" w:sz="4" w:space="0" w:color="auto"/>
              <w:left w:val="nil"/>
              <w:bottom w:val="single" w:sz="4" w:space="0" w:color="auto"/>
              <w:right w:val="single" w:sz="4" w:space="0" w:color="auto"/>
            </w:tcBorders>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1443" w:type="dxa"/>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5</w:t>
            </w:r>
            <w:r>
              <w:rPr>
                <w:rFonts w:ascii="仿宋_GB2312" w:eastAsia="仿宋_GB2312" w:hAnsi="等线" w:cs="宋体" w:hint="eastAsia"/>
                <w:kern w:val="0"/>
                <w:sz w:val="24"/>
              </w:rPr>
              <w:t xml:space="preserve"> </w:t>
            </w:r>
          </w:p>
        </w:tc>
        <w:tc>
          <w:tcPr>
            <w:tcW w:w="1251" w:type="dxa"/>
            <w:tcBorders>
              <w:top w:val="single" w:sz="4" w:space="0" w:color="auto"/>
              <w:left w:val="single" w:sz="4" w:space="0" w:color="auto"/>
              <w:bottom w:val="single" w:sz="4" w:space="0" w:color="auto"/>
              <w:right w:val="single" w:sz="4" w:space="0" w:color="auto"/>
            </w:tcBorders>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0.76</w:t>
            </w:r>
            <w:r>
              <w:rPr>
                <w:rFonts w:ascii="仿宋_GB2312" w:eastAsia="仿宋_GB2312" w:hAnsi="等线" w:cs="宋体" w:hint="eastAsia"/>
                <w:kern w:val="0"/>
                <w:sz w:val="24"/>
              </w:rPr>
              <w:t>%</w:t>
            </w:r>
          </w:p>
        </w:tc>
      </w:tr>
    </w:tbl>
    <w:p>
      <w:pPr>
        <w:spacing w:line="360" w:lineRule="auto"/>
        <w:ind w:firstLine="420" w:firstLineChars="200"/>
        <w:rPr>
          <w:rFonts w:ascii="仿宋_GB2312" w:eastAsia="仿宋_GB2312" w:hAnsi="楷体"/>
          <w:sz w:val="32"/>
          <w:szCs w:val="32"/>
        </w:rPr>
      </w:pPr>
    </w:p>
    <w:p>
      <w:pPr>
        <w:jc w:val="center"/>
        <w:rPr>
          <w:rFonts w:ascii="仿宋_GB2312" w:eastAsia="仿宋_GB2312" w:hAnsi="楷体"/>
          <w:sz w:val="32"/>
          <w:szCs w:val="32"/>
        </w:rPr>
      </w:pPr>
      <w:r>
        <w:rPr>
          <w:rFonts w:ascii="仿宋_GB2312" w:eastAsia="仿宋_GB2312" w:hAnsi="楷体" w:hint="eastAsia"/>
          <w:sz w:val="32"/>
          <w:szCs w:val="32"/>
        </w:rPr>
        <w:drawing>
          <wp:inline distT="0" distB="0" distL="0" distR="0">
            <wp:extent cx="5274310" cy="4133850"/>
            <wp:effectExtent l="0" t="0" r="2540" b="0"/>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spacing w:line="360" w:lineRule="auto"/>
        <w:ind w:firstLine="660"/>
        <w:rPr>
          <w:rFonts w:ascii="仿宋_GB2312" w:eastAsia="仿宋_GB2312" w:hAnsi="楷体"/>
          <w:sz w:val="32"/>
          <w:szCs w:val="32"/>
        </w:rPr>
      </w:pPr>
      <w:r>
        <w:rPr>
          <w:rFonts w:ascii="仿宋_GB2312" w:eastAsia="仿宋_GB2312" w:hAnsi="楷体" w:hint="eastAsia"/>
          <w:sz w:val="32"/>
          <w:szCs w:val="32"/>
        </w:rPr>
        <w:t>如图</w:t>
      </w:r>
      <w:r>
        <w:rPr>
          <w:rFonts w:ascii="仿宋_GB2312" w:eastAsia="仿宋_GB2312" w:hAnsi="楷体"/>
          <w:sz w:val="32"/>
          <w:szCs w:val="32"/>
        </w:rPr>
        <w:t>2-1</w:t>
      </w:r>
      <w:r>
        <w:rPr>
          <w:rFonts w:ascii="仿宋_GB2312" w:eastAsia="仿宋_GB2312" w:hAnsi="楷体" w:hint="eastAsia"/>
          <w:sz w:val="32"/>
          <w:szCs w:val="32"/>
        </w:rPr>
        <w:t>所示，2021年江海区地质灾害项目资金安排主要集中在“外海街道东南村松仔山地质灾害治理工程工程进度款”和“江南街道2019年5个地质灾害治理工程未付工程款及2021年3个新增地质灾害点治理工程工程进度款”两个子项目，主要用于支付地质灾害治理工程款。</w:t>
      </w:r>
    </w:p>
    <w:p>
      <w:pPr>
        <w:spacing w:line="360" w:lineRule="auto"/>
        <w:ind w:firstLine="420" w:firstLineChars="200"/>
        <w:rPr>
          <w:rFonts w:ascii="仿宋_GB2312" w:eastAsia="仿宋_GB2312" w:hAnsi="楷体"/>
          <w:b/>
          <w:bCs/>
          <w:sz w:val="32"/>
          <w:szCs w:val="32"/>
        </w:rPr>
      </w:pPr>
      <w:r>
        <w:rPr>
          <w:rFonts w:ascii="仿宋_GB2312" w:eastAsia="仿宋_GB2312" w:hAnsi="楷体"/>
          <w:b/>
          <w:bCs/>
          <w:sz w:val="32"/>
          <w:szCs w:val="32"/>
        </w:rPr>
        <w:t>2.</w:t>
      </w:r>
      <w:r>
        <w:rPr>
          <w:rFonts w:ascii="仿宋_GB2312" w:eastAsia="仿宋_GB2312" w:hAnsi="楷体" w:hint="eastAsia"/>
          <w:b/>
          <w:bCs/>
          <w:sz w:val="32"/>
          <w:szCs w:val="32"/>
        </w:rPr>
        <w:t>资金使用情况</w:t>
      </w:r>
    </w:p>
    <w:p>
      <w:pPr>
        <w:spacing w:line="360" w:lineRule="auto"/>
        <w:ind w:firstLine="420" w:firstLineChars="200"/>
        <w:rPr>
          <w:rFonts w:ascii="仿宋_GB2312" w:eastAsia="仿宋_GB2312" w:hAnsi="楷体"/>
          <w:sz w:val="32"/>
          <w:szCs w:val="32"/>
        </w:rPr>
      </w:pPr>
      <w:r>
        <w:rPr>
          <w:rFonts w:ascii="仿宋_GB2312" w:eastAsia="仿宋_GB2312" w:hAnsi="楷体" w:hint="eastAsia"/>
          <w:sz w:val="32"/>
          <w:szCs w:val="32"/>
        </w:rPr>
        <w:t>（1）资金整体使用情况</w:t>
      </w:r>
    </w:p>
    <w:p>
      <w:pPr>
        <w:spacing w:line="360" w:lineRule="auto"/>
        <w:ind w:firstLine="420" w:firstLineChars="200"/>
        <w:rPr>
          <w:rFonts w:ascii="仿宋_GB2312" w:eastAsia="仿宋_GB2312" w:hAnsi="楷体"/>
          <w:sz w:val="32"/>
          <w:szCs w:val="32"/>
        </w:rPr>
      </w:pPr>
      <w:r>
        <w:rPr>
          <w:rFonts w:ascii="仿宋_GB2312" w:eastAsia="仿宋_GB2312" w:hAnsi="楷体" w:hint="eastAsia"/>
          <w:sz w:val="32"/>
          <w:szCs w:val="32"/>
        </w:rPr>
        <w:t>项目2021年实际支出</w:t>
      </w:r>
      <w:r>
        <w:rPr>
          <w:rFonts w:ascii="仿宋_GB2312" w:eastAsia="仿宋_GB2312" w:hAnsi="楷体"/>
          <w:sz w:val="32"/>
          <w:szCs w:val="32"/>
        </w:rPr>
        <w:t>653.4</w:t>
      </w:r>
      <w:r>
        <w:rPr>
          <w:rFonts w:ascii="仿宋_GB2312" w:eastAsia="仿宋_GB2312" w:hAnsi="楷体" w:hint="eastAsia"/>
          <w:sz w:val="32"/>
          <w:szCs w:val="32"/>
        </w:rPr>
        <w:t>万元，整体资金使用率为</w:t>
      </w:r>
      <w:r>
        <w:rPr>
          <w:rFonts w:ascii="仿宋_GB2312" w:eastAsia="仿宋_GB2312" w:hAnsi="楷体"/>
          <w:sz w:val="32"/>
          <w:szCs w:val="32"/>
        </w:rPr>
        <w:t>99.76</w:t>
      </w:r>
      <w:r>
        <w:rPr>
          <w:rFonts w:ascii="仿宋_GB2312" w:eastAsia="仿宋_GB2312" w:hAnsi="楷体" w:hint="eastAsia"/>
          <w:sz w:val="32"/>
          <w:szCs w:val="32"/>
        </w:rPr>
        <w:t>%，资金使用率高。项目年末结余</w:t>
      </w:r>
      <w:r>
        <w:rPr>
          <w:rFonts w:ascii="仿宋_GB2312" w:eastAsia="仿宋_GB2312" w:hAnsi="楷体"/>
          <w:sz w:val="32"/>
          <w:szCs w:val="32"/>
        </w:rPr>
        <w:t>1.6</w:t>
      </w:r>
      <w:r>
        <w:rPr>
          <w:rFonts w:ascii="仿宋_GB2312" w:eastAsia="仿宋_GB2312" w:hAnsi="楷体" w:hint="eastAsia"/>
          <w:sz w:val="32"/>
          <w:szCs w:val="32"/>
        </w:rPr>
        <w:t>万元，资金结余率</w:t>
      </w:r>
      <w:r>
        <w:rPr>
          <w:rFonts w:ascii="仿宋_GB2312" w:eastAsia="仿宋_GB2312" w:hAnsi="楷体"/>
          <w:sz w:val="32"/>
          <w:szCs w:val="32"/>
        </w:rPr>
        <w:t>0.24</w:t>
      </w:r>
      <w:r>
        <w:rPr>
          <w:rFonts w:ascii="仿宋_GB2312" w:eastAsia="仿宋_GB2312" w:hAnsi="楷体" w:hint="eastAsia"/>
          <w:sz w:val="32"/>
          <w:szCs w:val="32"/>
        </w:rPr>
        <w:t>%。项目预算及实际支出情况见表2</w:t>
      </w:r>
      <w:r>
        <w:rPr>
          <w:rFonts w:ascii="仿宋_GB2312" w:eastAsia="仿宋_GB2312" w:hAnsi="楷体"/>
          <w:sz w:val="32"/>
          <w:szCs w:val="32"/>
        </w:rPr>
        <w:t>-2</w:t>
      </w:r>
      <w:r>
        <w:rPr>
          <w:rFonts w:ascii="仿宋_GB2312" w:eastAsia="仿宋_GB2312" w:hAnsi="楷体" w:hint="eastAsia"/>
          <w:sz w:val="32"/>
          <w:szCs w:val="32"/>
        </w:rPr>
        <w:t>。</w:t>
      </w:r>
    </w:p>
    <w:p>
      <w:pPr>
        <w:spacing w:line="160" w:lineRule="atLeast"/>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2</w:t>
      </w:r>
      <w:r>
        <w:rPr>
          <w:rFonts w:ascii="黑体" w:eastAsia="黑体" w:hAnsi="黑体" w:hint="eastAsia"/>
          <w:sz w:val="28"/>
          <w:szCs w:val="28"/>
        </w:rPr>
        <w:t>-</w:t>
      </w:r>
      <w:r>
        <w:rPr>
          <w:rFonts w:ascii="黑体" w:eastAsia="黑体" w:hAnsi="黑体"/>
          <w:sz w:val="28"/>
          <w:szCs w:val="28"/>
        </w:rPr>
        <w:t>2</w:t>
      </w:r>
      <w:r>
        <w:rPr>
          <w:rFonts w:ascii="黑体" w:eastAsia="黑体" w:hAnsi="黑体" w:hint="eastAsia"/>
          <w:sz w:val="28"/>
          <w:szCs w:val="28"/>
        </w:rPr>
        <w:t xml:space="preserve"> </w:t>
      </w:r>
      <w:r>
        <w:rPr>
          <w:rFonts w:ascii="黑体" w:eastAsia="黑体" w:hAnsi="黑体"/>
          <w:sz w:val="28"/>
          <w:szCs w:val="28"/>
        </w:rPr>
        <w:t>2021年</w:t>
      </w:r>
      <w:r>
        <w:rPr>
          <w:rFonts w:ascii="黑体" w:eastAsia="黑体" w:hAnsi="黑体" w:hint="eastAsia"/>
          <w:sz w:val="28"/>
          <w:szCs w:val="28"/>
        </w:rPr>
        <w:t>江海区地质灾害项目预算及实际支出明细表</w:t>
      </w:r>
    </w:p>
    <w:p>
      <w:pPr>
        <w:spacing w:line="160" w:lineRule="atLeast"/>
        <w:ind w:right="80"/>
        <w:jc w:val="right"/>
        <w:rPr>
          <w:rFonts w:ascii="仿宋_GB2312" w:eastAsia="仿宋_GB2312" w:hAnsi="等线" w:cs="宋体"/>
          <w:b/>
          <w:bCs/>
          <w:kern w:val="0"/>
          <w:sz w:val="24"/>
        </w:rPr>
      </w:pPr>
      <w:r>
        <w:rPr>
          <w:rFonts w:ascii="仿宋_GB2312" w:eastAsia="仿宋_GB2312" w:hAnsi="等线" w:cs="宋体" w:hint="eastAsia"/>
          <w:b/>
          <w:bCs/>
          <w:kern w:val="0"/>
          <w:sz w:val="24"/>
        </w:rPr>
        <w:t>单位：万元</w:t>
      </w:r>
    </w:p>
    <w:tbl>
      <w:tblPr>
        <w:tblStyle w:val="TableNormal"/>
        <w:tblW w:w="0" w:type="auto"/>
        <w:jc w:val="center"/>
        <w:tblCellMar>
          <w:top w:w="0" w:type="dxa"/>
          <w:left w:w="108" w:type="dxa"/>
          <w:bottom w:w="0" w:type="dxa"/>
          <w:right w:w="108" w:type="dxa"/>
        </w:tblCellMar>
      </w:tblPr>
      <w:tblGrid>
        <w:gridCol w:w="1828"/>
        <w:gridCol w:w="632"/>
        <w:gridCol w:w="790"/>
        <w:gridCol w:w="854"/>
        <w:gridCol w:w="854"/>
        <w:gridCol w:w="790"/>
        <w:gridCol w:w="983"/>
        <w:gridCol w:w="1159"/>
        <w:gridCol w:w="632"/>
      </w:tblGrid>
      <w:tr>
        <w:tblPrEx>
          <w:tblW w:w="0" w:type="auto"/>
          <w:jc w:val="center"/>
          <w:tblCellMar>
            <w:top w:w="0" w:type="dxa"/>
            <w:left w:w="108" w:type="dxa"/>
            <w:bottom w:w="0" w:type="dxa"/>
            <w:right w:w="108" w:type="dxa"/>
          </w:tblCellMar>
        </w:tblPrEx>
        <w:trPr>
          <w:trHeight w:val="561"/>
          <w:jc w:val="center"/>
        </w:trPr>
        <w:tc>
          <w:tcPr>
            <w:tcW w:w="0" w:type="auto"/>
            <w:vMerge w:val="restart"/>
            <w:tcBorders>
              <w:top w:val="single" w:sz="4" w:space="0" w:color="auto"/>
              <w:left w:val="single" w:sz="4" w:space="0" w:color="auto"/>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项目名称</w:t>
            </w:r>
          </w:p>
        </w:tc>
        <w:tc>
          <w:tcPr>
            <w:tcW w:w="0" w:type="auto"/>
            <w:gridSpan w:val="5"/>
            <w:tcBorders>
              <w:top w:val="single" w:sz="4" w:space="0" w:color="auto"/>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预算安排</w:t>
            </w:r>
          </w:p>
        </w:tc>
        <w:tc>
          <w:tcPr>
            <w:tcW w:w="0" w:type="auto"/>
            <w:gridSpan w:val="2"/>
            <w:tcBorders>
              <w:top w:val="single" w:sz="4" w:space="0" w:color="auto"/>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实际支出</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结余</w:t>
            </w:r>
          </w:p>
        </w:tc>
      </w:tr>
      <w:tr>
        <w:tblPrEx>
          <w:tblW w:w="0" w:type="auto"/>
          <w:jc w:val="center"/>
          <w:tblCellMar>
            <w:top w:w="0" w:type="dxa"/>
            <w:left w:w="108" w:type="dxa"/>
            <w:bottom w:w="0" w:type="dxa"/>
            <w:right w:w="108" w:type="dxa"/>
          </w:tblCellMar>
        </w:tblPrEx>
        <w:trPr>
          <w:trHeight w:val="712"/>
          <w:jc w:val="center"/>
        </w:trPr>
        <w:tc>
          <w:tcPr>
            <w:tcW w:w="0" w:type="auto"/>
            <w:vMerge/>
            <w:tcBorders>
              <w:top w:val="single" w:sz="4" w:space="0" w:color="auto"/>
              <w:left w:val="single" w:sz="4" w:space="0" w:color="auto"/>
              <w:bottom w:val="single" w:sz="4" w:space="0" w:color="auto"/>
              <w:right w:val="single" w:sz="4" w:space="0" w:color="auto"/>
            </w:tcBorders>
            <w:shd w:val="clear" w:color="auto" w:fill="D8D8D8" w:themeFill="background1" w:themeFillShade="D9"/>
            <w:vAlign w:val="center"/>
          </w:tcPr>
          <w:p>
            <w:pPr>
              <w:widowControl/>
              <w:jc w:val="left"/>
              <w:rPr>
                <w:rFonts w:ascii="仿宋_GB2312" w:eastAsia="仿宋_GB2312" w:hAnsi="等线" w:cs="宋体"/>
                <w:b/>
                <w:bCs/>
                <w:kern w:val="0"/>
                <w:sz w:val="24"/>
              </w:rPr>
            </w:pPr>
          </w:p>
        </w:tc>
        <w:tc>
          <w:tcPr>
            <w:tcW w:w="0" w:type="auto"/>
            <w:tcBorders>
              <w:top w:val="nil"/>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合计</w:t>
            </w:r>
          </w:p>
        </w:tc>
        <w:tc>
          <w:tcPr>
            <w:tcW w:w="0" w:type="auto"/>
            <w:tcBorders>
              <w:top w:val="nil"/>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上年结转</w:t>
            </w:r>
          </w:p>
        </w:tc>
        <w:tc>
          <w:tcPr>
            <w:tcW w:w="0" w:type="auto"/>
            <w:tcBorders>
              <w:top w:val="nil"/>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年初预算</w:t>
            </w:r>
          </w:p>
        </w:tc>
        <w:tc>
          <w:tcPr>
            <w:tcW w:w="0" w:type="auto"/>
            <w:tcBorders>
              <w:top w:val="nil"/>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年中追加</w:t>
            </w:r>
          </w:p>
        </w:tc>
        <w:tc>
          <w:tcPr>
            <w:tcW w:w="0" w:type="auto"/>
            <w:tcBorders>
              <w:top w:val="nil"/>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年中追减</w:t>
            </w:r>
          </w:p>
        </w:tc>
        <w:tc>
          <w:tcPr>
            <w:tcW w:w="0" w:type="auto"/>
            <w:tcBorders>
              <w:top w:val="nil"/>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支出金额</w:t>
            </w:r>
          </w:p>
        </w:tc>
        <w:tc>
          <w:tcPr>
            <w:tcW w:w="0" w:type="auto"/>
            <w:tcBorders>
              <w:top w:val="nil"/>
              <w:left w:val="nil"/>
              <w:bottom w:val="single" w:sz="4" w:space="0" w:color="auto"/>
              <w:right w:val="single" w:sz="4" w:space="0" w:color="auto"/>
            </w:tcBorders>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支出使用率</w:t>
            </w:r>
          </w:p>
        </w:tc>
        <w:tc>
          <w:tcPr>
            <w:tcW w:w="0" w:type="auto"/>
            <w:vMerge/>
            <w:tcBorders>
              <w:top w:val="single" w:sz="4" w:space="0" w:color="auto"/>
              <w:left w:val="single" w:sz="4" w:space="0" w:color="auto"/>
              <w:bottom w:val="single" w:sz="4" w:space="0" w:color="auto"/>
              <w:right w:val="single" w:sz="4" w:space="0" w:color="auto"/>
            </w:tcBorders>
            <w:vAlign w:val="center"/>
          </w:tcPr>
          <w:p>
            <w:pPr>
              <w:widowControl/>
              <w:jc w:val="left"/>
              <w:rPr>
                <w:rFonts w:ascii="仿宋_GB2312" w:eastAsia="仿宋_GB2312" w:hAnsi="等线" w:cs="宋体"/>
                <w:b/>
                <w:bCs/>
                <w:kern w:val="0"/>
                <w:sz w:val="24"/>
              </w:rPr>
            </w:pPr>
          </w:p>
        </w:tc>
      </w:tr>
      <w:tr>
        <w:tblPrEx>
          <w:tblW w:w="0" w:type="auto"/>
          <w:jc w:val="center"/>
          <w:tblCellMar>
            <w:top w:w="0" w:type="dxa"/>
            <w:left w:w="108" w:type="dxa"/>
            <w:bottom w:w="0" w:type="dxa"/>
            <w:right w:w="108" w:type="dxa"/>
          </w:tblCellMar>
        </w:tblPrEx>
        <w:trPr>
          <w:trHeight w:val="858"/>
          <w:jc w:val="center"/>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2</w:t>
            </w:r>
            <w:r>
              <w:rPr>
                <w:rFonts w:ascii="仿宋_GB2312" w:eastAsia="仿宋_GB2312" w:hAnsi="等线" w:cs="宋体"/>
                <w:kern w:val="0"/>
                <w:sz w:val="24"/>
              </w:rPr>
              <w:t>021</w:t>
            </w:r>
            <w:r>
              <w:rPr>
                <w:rFonts w:ascii="仿宋_GB2312" w:eastAsia="仿宋_GB2312" w:hAnsi="等线" w:cs="宋体" w:hint="eastAsia"/>
                <w:kern w:val="0"/>
                <w:sz w:val="24"/>
              </w:rPr>
              <w:t>年江海区地质灾害项目</w:t>
            </w:r>
          </w:p>
        </w:tc>
        <w:tc>
          <w:tcPr>
            <w:tcW w:w="0" w:type="auto"/>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655</w:t>
            </w:r>
            <w:r>
              <w:rPr>
                <w:rFonts w:ascii="仿宋_GB2312" w:eastAsia="仿宋_GB2312" w:hAnsi="等线"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0</w:t>
            </w:r>
            <w:r>
              <w:rPr>
                <w:rFonts w:ascii="仿宋_GB2312" w:eastAsia="仿宋_GB2312" w:hAnsi="等线" w:cs="宋体" w:hint="eastAsia"/>
                <w:kern w:val="0"/>
                <w:sz w:val="24"/>
              </w:rPr>
              <w:t xml:space="preserve"> </w:t>
            </w:r>
          </w:p>
        </w:tc>
        <w:tc>
          <w:tcPr>
            <w:tcW w:w="0" w:type="auto"/>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255</w:t>
            </w:r>
          </w:p>
        </w:tc>
        <w:tc>
          <w:tcPr>
            <w:tcW w:w="0" w:type="auto"/>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400</w:t>
            </w:r>
          </w:p>
        </w:tc>
        <w:tc>
          <w:tcPr>
            <w:tcW w:w="0" w:type="auto"/>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0</w:t>
            </w:r>
          </w:p>
        </w:tc>
        <w:tc>
          <w:tcPr>
            <w:tcW w:w="0" w:type="auto"/>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653.4</w:t>
            </w:r>
          </w:p>
        </w:tc>
        <w:tc>
          <w:tcPr>
            <w:tcW w:w="0" w:type="auto"/>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99.7</w:t>
            </w:r>
            <w:r>
              <w:rPr>
                <w:rFonts w:ascii="仿宋_GB2312" w:eastAsia="仿宋_GB2312" w:hAnsi="等线" w:cs="宋体"/>
                <w:kern w:val="0"/>
                <w:sz w:val="24"/>
              </w:rPr>
              <w:t>6</w:t>
            </w:r>
            <w:r>
              <w:rPr>
                <w:rFonts w:ascii="仿宋_GB2312" w:eastAsia="仿宋_GB2312" w:hAnsi="等线" w:cs="宋体" w:hint="eastAsia"/>
                <w:kern w:val="0"/>
                <w:sz w:val="24"/>
              </w:rPr>
              <w:t>%</w:t>
            </w:r>
          </w:p>
        </w:tc>
        <w:tc>
          <w:tcPr>
            <w:tcW w:w="0" w:type="auto"/>
            <w:tcBorders>
              <w:top w:val="nil"/>
              <w:left w:val="nil"/>
              <w:bottom w:val="single" w:sz="4" w:space="0" w:color="auto"/>
              <w:right w:val="single" w:sz="4" w:space="0" w:color="auto"/>
            </w:tcBorders>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1.6</w:t>
            </w:r>
          </w:p>
        </w:tc>
      </w:tr>
    </w:tbl>
    <w:p>
      <w:pPr>
        <w:spacing w:line="360" w:lineRule="auto"/>
        <w:ind w:firstLine="420" w:firstLineChars="200"/>
        <w:rPr>
          <w:rFonts w:ascii="仿宋_GB2312" w:eastAsia="仿宋_GB2312" w:hAnsi="楷体"/>
          <w:sz w:val="32"/>
          <w:szCs w:val="32"/>
        </w:rPr>
      </w:pPr>
      <w:r>
        <w:rPr>
          <w:rFonts w:ascii="仿宋_GB2312" w:eastAsia="仿宋_GB2312" w:hAnsi="楷体" w:hint="eastAsia"/>
          <w:sz w:val="32"/>
          <w:szCs w:val="32"/>
        </w:rPr>
        <w:t>（2）各项目资金使用情况</w:t>
      </w:r>
    </w:p>
    <w:p>
      <w:pPr>
        <w:spacing w:line="360" w:lineRule="auto"/>
        <w:ind w:firstLine="420" w:firstLineChars="200"/>
        <w:rPr>
          <w:rFonts w:ascii="仿宋_GB2312" w:eastAsia="仿宋_GB2312" w:hAnsi="楷体"/>
          <w:sz w:val="32"/>
          <w:szCs w:val="32"/>
        </w:rPr>
      </w:pPr>
      <w:r>
        <w:rPr>
          <w:rFonts w:ascii="仿宋_GB2312" w:eastAsia="仿宋_GB2312" w:hAnsi="楷体" w:hint="eastAsia"/>
          <w:sz w:val="32"/>
          <w:szCs w:val="32"/>
        </w:rPr>
        <w:t>项目2021年实际支出</w:t>
      </w:r>
      <w:r>
        <w:rPr>
          <w:rFonts w:ascii="仿宋_GB2312" w:eastAsia="仿宋_GB2312" w:hAnsi="楷体"/>
          <w:sz w:val="32"/>
          <w:szCs w:val="32"/>
        </w:rPr>
        <w:t>653.4</w:t>
      </w:r>
      <w:r>
        <w:rPr>
          <w:rFonts w:ascii="仿宋_GB2312" w:eastAsia="仿宋_GB2312" w:hAnsi="楷体" w:hint="eastAsia"/>
          <w:sz w:val="32"/>
          <w:szCs w:val="32"/>
        </w:rPr>
        <w:t>万元，资金用于4个具体子项目，与预算安排项目一致，项目年末结余</w:t>
      </w:r>
      <w:r>
        <w:rPr>
          <w:rFonts w:ascii="仿宋_GB2312" w:eastAsia="仿宋_GB2312" w:hAnsi="楷体"/>
          <w:sz w:val="32"/>
          <w:szCs w:val="32"/>
        </w:rPr>
        <w:t>1.6</w:t>
      </w:r>
      <w:r>
        <w:rPr>
          <w:rFonts w:ascii="仿宋_GB2312" w:eastAsia="仿宋_GB2312" w:hAnsi="楷体" w:hint="eastAsia"/>
          <w:sz w:val="32"/>
          <w:szCs w:val="32"/>
        </w:rPr>
        <w:t>万元，结余资金情况为：</w:t>
      </w:r>
      <w:r>
        <w:rPr>
          <w:rFonts w:ascii="仿宋_GB2312" w:eastAsia="仿宋_GB2312" w:hAnsi="楷体"/>
          <w:sz w:val="32"/>
          <w:szCs w:val="32"/>
        </w:rPr>
        <w:fldChar w:fldCharType="begin"/>
      </w:r>
      <w:r>
        <w:rPr>
          <w:rFonts w:ascii="仿宋_GB2312" w:eastAsia="仿宋_GB2312" w:hAnsi="楷体"/>
          <w:sz w:val="32"/>
          <w:szCs w:val="32"/>
        </w:rPr>
        <w:instrText xml:space="preserve"> </w:instrText>
      </w:r>
      <w:r>
        <w:rPr>
          <w:rFonts w:ascii="仿宋_GB2312" w:eastAsia="仿宋_GB2312" w:hAnsi="楷体" w:hint="eastAsia"/>
          <w:sz w:val="32"/>
          <w:szCs w:val="32"/>
        </w:rPr>
        <w:instrText>= 1 \* GB3</w:instrText>
      </w:r>
      <w:r>
        <w:rPr>
          <w:rFonts w:ascii="仿宋_GB2312" w:eastAsia="仿宋_GB2312" w:hAnsi="楷体"/>
          <w:sz w:val="32"/>
          <w:szCs w:val="32"/>
        </w:rPr>
        <w:instrText xml:space="preserve"> </w:instrText>
      </w:r>
      <w:r>
        <w:rPr>
          <w:rFonts w:ascii="仿宋_GB2312" w:eastAsia="仿宋_GB2312" w:hAnsi="楷体"/>
          <w:sz w:val="32"/>
          <w:szCs w:val="32"/>
        </w:rPr>
        <w:fldChar w:fldCharType="separate"/>
      </w:r>
      <w:r>
        <w:rPr>
          <w:rFonts w:ascii="仿宋_GB2312" w:eastAsia="仿宋_GB2312" w:hAnsi="楷体" w:hint="eastAsia"/>
          <w:sz w:val="32"/>
          <w:szCs w:val="32"/>
        </w:rPr>
        <w:t>①</w:t>
      </w:r>
      <w:r>
        <w:rPr>
          <w:rFonts w:ascii="仿宋_GB2312" w:eastAsia="仿宋_GB2312" w:hAnsi="楷体"/>
          <w:sz w:val="32"/>
          <w:szCs w:val="32"/>
        </w:rPr>
        <w:fldChar w:fldCharType="end"/>
      </w:r>
      <w:r>
        <w:rPr>
          <w:rFonts w:ascii="仿宋_GB2312" w:eastAsia="仿宋_GB2312" w:hAnsi="楷体" w:hint="eastAsia"/>
          <w:sz w:val="32"/>
          <w:szCs w:val="32"/>
        </w:rPr>
        <w:t>支出项目“江南街道2019年5个地质灾害治理工程未付工程款及2021年3个新增地质灾害点治理工程工程进度款”因实际工程进度未达到预期工程进度而结余0</w:t>
      </w:r>
      <w:r>
        <w:rPr>
          <w:rFonts w:ascii="仿宋_GB2312" w:eastAsia="仿宋_GB2312" w:hAnsi="楷体"/>
          <w:sz w:val="32"/>
          <w:szCs w:val="32"/>
        </w:rPr>
        <w:t>.92</w:t>
      </w:r>
      <w:r>
        <w:rPr>
          <w:rFonts w:ascii="仿宋_GB2312" w:eastAsia="仿宋_GB2312" w:hAnsi="楷体" w:hint="eastAsia"/>
          <w:sz w:val="32"/>
          <w:szCs w:val="32"/>
        </w:rPr>
        <w:t>万元；</w:t>
      </w:r>
      <w:r>
        <w:rPr>
          <w:rFonts w:ascii="仿宋_GB2312" w:eastAsia="仿宋_GB2312" w:hAnsi="楷体"/>
          <w:sz w:val="32"/>
          <w:szCs w:val="32"/>
        </w:rPr>
        <w:t xml:space="preserve"> </w:t>
      </w:r>
      <w:r>
        <w:rPr>
          <w:rFonts w:ascii="仿宋_GB2312" w:eastAsia="仿宋_GB2312" w:hAnsi="楷体"/>
          <w:sz w:val="32"/>
          <w:szCs w:val="32"/>
        </w:rPr>
        <w:fldChar w:fldCharType="begin"/>
      </w:r>
      <w:r>
        <w:rPr>
          <w:rFonts w:ascii="仿宋_GB2312" w:eastAsia="仿宋_GB2312" w:hAnsi="楷体"/>
          <w:sz w:val="32"/>
          <w:szCs w:val="32"/>
        </w:rPr>
        <w:instrText xml:space="preserve"> </w:instrText>
      </w:r>
      <w:r>
        <w:rPr>
          <w:rFonts w:ascii="仿宋_GB2312" w:eastAsia="仿宋_GB2312" w:hAnsi="楷体" w:hint="eastAsia"/>
          <w:sz w:val="32"/>
          <w:szCs w:val="32"/>
        </w:rPr>
        <w:instrText>= 2 \* GB3</w:instrText>
      </w:r>
      <w:r>
        <w:rPr>
          <w:rFonts w:ascii="仿宋_GB2312" w:eastAsia="仿宋_GB2312" w:hAnsi="楷体"/>
          <w:sz w:val="32"/>
          <w:szCs w:val="32"/>
        </w:rPr>
        <w:instrText xml:space="preserve"> </w:instrText>
      </w:r>
      <w:r>
        <w:rPr>
          <w:rFonts w:ascii="仿宋_GB2312" w:eastAsia="仿宋_GB2312" w:hAnsi="楷体"/>
          <w:sz w:val="32"/>
          <w:szCs w:val="32"/>
        </w:rPr>
        <w:fldChar w:fldCharType="separate"/>
      </w:r>
      <w:r>
        <w:rPr>
          <w:rFonts w:ascii="仿宋_GB2312" w:eastAsia="仿宋_GB2312" w:hAnsi="楷体" w:hint="eastAsia"/>
          <w:sz w:val="32"/>
          <w:szCs w:val="32"/>
        </w:rPr>
        <w:t>②</w:t>
      </w:r>
      <w:r>
        <w:rPr>
          <w:rFonts w:ascii="仿宋_GB2312" w:eastAsia="仿宋_GB2312" w:hAnsi="楷体"/>
          <w:sz w:val="32"/>
          <w:szCs w:val="32"/>
        </w:rPr>
        <w:fldChar w:fldCharType="end"/>
      </w:r>
      <w:r>
        <w:rPr>
          <w:rFonts w:ascii="仿宋_GB2312" w:eastAsia="仿宋_GB2312" w:hAnsi="楷体" w:hint="eastAsia"/>
          <w:sz w:val="32"/>
          <w:szCs w:val="32"/>
        </w:rPr>
        <w:t>支出项目“地质灾害点监测设备”因投标方报价下浮，成本节约而结余0</w:t>
      </w:r>
      <w:r>
        <w:rPr>
          <w:rFonts w:ascii="仿宋_GB2312" w:eastAsia="仿宋_GB2312" w:hAnsi="楷体"/>
          <w:sz w:val="32"/>
          <w:szCs w:val="32"/>
        </w:rPr>
        <w:t>.68</w:t>
      </w:r>
      <w:r>
        <w:rPr>
          <w:rFonts w:ascii="仿宋_GB2312" w:eastAsia="仿宋_GB2312" w:hAnsi="楷体" w:hint="eastAsia"/>
          <w:sz w:val="32"/>
          <w:szCs w:val="32"/>
        </w:rPr>
        <w:t>万元。项目具体支出明细见表</w:t>
      </w:r>
      <w:r>
        <w:rPr>
          <w:rFonts w:ascii="仿宋_GB2312" w:eastAsia="仿宋_GB2312" w:hAnsi="楷体"/>
          <w:sz w:val="32"/>
          <w:szCs w:val="32"/>
        </w:rPr>
        <w:t>2-3</w:t>
      </w:r>
      <w:r>
        <w:rPr>
          <w:rFonts w:ascii="仿宋_GB2312" w:eastAsia="仿宋_GB2312" w:hAnsi="楷体" w:hint="eastAsia"/>
          <w:sz w:val="32"/>
          <w:szCs w:val="32"/>
        </w:rPr>
        <w:t>、图2</w:t>
      </w:r>
      <w:r>
        <w:rPr>
          <w:rFonts w:ascii="仿宋_GB2312" w:eastAsia="仿宋_GB2312" w:hAnsi="楷体"/>
          <w:sz w:val="32"/>
          <w:szCs w:val="32"/>
        </w:rPr>
        <w:t>-2</w:t>
      </w:r>
      <w:r>
        <w:rPr>
          <w:rFonts w:ascii="仿宋_GB2312" w:eastAsia="仿宋_GB2312" w:hAnsi="楷体" w:hint="eastAsia"/>
          <w:sz w:val="32"/>
          <w:szCs w:val="32"/>
        </w:rPr>
        <w:t>。</w:t>
      </w:r>
    </w:p>
    <w:p>
      <w:pPr>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2</w:t>
      </w:r>
      <w:r>
        <w:rPr>
          <w:rFonts w:ascii="黑体" w:eastAsia="黑体" w:hAnsi="黑体" w:hint="eastAsia"/>
          <w:sz w:val="28"/>
          <w:szCs w:val="28"/>
        </w:rPr>
        <w:t>-</w:t>
      </w:r>
      <w:r>
        <w:rPr>
          <w:rFonts w:ascii="黑体" w:eastAsia="黑体" w:hAnsi="黑体"/>
          <w:sz w:val="28"/>
          <w:szCs w:val="28"/>
        </w:rPr>
        <w:t>3</w:t>
      </w:r>
      <w:r>
        <w:rPr>
          <w:rFonts w:ascii="黑体" w:eastAsia="黑体" w:hAnsi="黑体" w:hint="eastAsia"/>
          <w:sz w:val="28"/>
          <w:szCs w:val="28"/>
        </w:rPr>
        <w:t xml:space="preserve"> </w:t>
      </w:r>
      <w:r>
        <w:rPr>
          <w:rFonts w:ascii="黑体" w:eastAsia="黑体" w:hAnsi="黑体"/>
          <w:sz w:val="28"/>
          <w:szCs w:val="28"/>
        </w:rPr>
        <w:t>2021年</w:t>
      </w:r>
      <w:r>
        <w:rPr>
          <w:rFonts w:ascii="黑体" w:eastAsia="黑体" w:hAnsi="黑体" w:hint="eastAsia"/>
          <w:sz w:val="28"/>
          <w:szCs w:val="28"/>
        </w:rPr>
        <w:t>江海区地质灾害项目具体支出明细表</w:t>
      </w:r>
    </w:p>
    <w:tbl>
      <w:tblPr>
        <w:tblStyle w:val="TableNormal"/>
        <w:tblW w:w="8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396"/>
        <w:gridCol w:w="3780"/>
        <w:gridCol w:w="1013"/>
        <w:gridCol w:w="1013"/>
        <w:gridCol w:w="1177"/>
        <w:gridCol w:w="956"/>
      </w:tblGrid>
      <w:tr>
        <w:tblPrEx>
          <w:tblW w:w="8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89"/>
          <w:jc w:val="center"/>
        </w:trPr>
        <w:tc>
          <w:tcPr>
            <w:tcW w:w="0" w:type="auto"/>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序号</w:t>
            </w:r>
          </w:p>
        </w:tc>
        <w:tc>
          <w:tcPr>
            <w:tcW w:w="0" w:type="auto"/>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具体支出内容</w:t>
            </w:r>
          </w:p>
        </w:tc>
        <w:tc>
          <w:tcPr>
            <w:tcW w:w="0" w:type="auto"/>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对应经济支出科目</w:t>
            </w:r>
          </w:p>
        </w:tc>
        <w:tc>
          <w:tcPr>
            <w:tcW w:w="0" w:type="auto"/>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安排资金（万元）</w:t>
            </w:r>
          </w:p>
        </w:tc>
        <w:tc>
          <w:tcPr>
            <w:tcW w:w="0" w:type="auto"/>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支出资金（万元）</w:t>
            </w:r>
          </w:p>
        </w:tc>
        <w:tc>
          <w:tcPr>
            <w:tcW w:w="0" w:type="auto"/>
            <w:shd w:val="clear" w:color="auto" w:fill="F1F1F1" w:themeFill="background1" w:themeFillShade="F2"/>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资金支出率</w:t>
            </w:r>
          </w:p>
        </w:tc>
      </w:tr>
      <w:tr>
        <w:tblPrEx>
          <w:tblW w:w="8335" w:type="dxa"/>
          <w:jc w:val="center"/>
          <w:tblCellMar>
            <w:top w:w="0" w:type="dxa"/>
            <w:left w:w="108" w:type="dxa"/>
            <w:bottom w:w="0" w:type="dxa"/>
            <w:right w:w="108" w:type="dxa"/>
          </w:tblCellMar>
        </w:tblPrEx>
        <w:trPr>
          <w:trHeight w:val="592"/>
          <w:jc w:val="center"/>
        </w:trPr>
        <w:tc>
          <w:tcPr>
            <w:tcW w:w="0" w:type="auto"/>
            <w:shd w:val="clear" w:color="auto" w:fill="auto"/>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合计</w:t>
            </w:r>
          </w:p>
        </w:tc>
        <w:tc>
          <w:tcPr>
            <w:tcW w:w="0" w:type="auto"/>
            <w:shd w:val="clear" w:color="auto" w:fill="auto"/>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c>
          <w:tcPr>
            <w:tcW w:w="0" w:type="auto"/>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c>
          <w:tcPr>
            <w:tcW w:w="0" w:type="auto"/>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6</w:t>
            </w:r>
            <w:r>
              <w:rPr>
                <w:rFonts w:ascii="仿宋_GB2312" w:eastAsia="仿宋_GB2312" w:hAnsi="等线" w:cs="宋体"/>
                <w:b/>
                <w:bCs/>
                <w:kern w:val="0"/>
                <w:sz w:val="24"/>
              </w:rPr>
              <w:t>55</w:t>
            </w:r>
          </w:p>
        </w:tc>
        <w:tc>
          <w:tcPr>
            <w:tcW w:w="0" w:type="auto"/>
            <w:shd w:val="clear" w:color="auto" w:fill="auto"/>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6</w:t>
            </w:r>
            <w:r>
              <w:rPr>
                <w:rFonts w:ascii="仿宋_GB2312" w:eastAsia="仿宋_GB2312" w:hAnsi="等线" w:cs="宋体"/>
                <w:b/>
                <w:bCs/>
                <w:kern w:val="0"/>
                <w:sz w:val="24"/>
              </w:rPr>
              <w:t>53.4</w:t>
            </w:r>
          </w:p>
        </w:tc>
        <w:tc>
          <w:tcPr>
            <w:tcW w:w="0" w:type="auto"/>
            <w:tcMar>
              <w:left w:w="40" w:type="dxa"/>
              <w:right w:w="40" w:type="dxa"/>
            </w:tcMar>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9</w:t>
            </w:r>
            <w:r>
              <w:rPr>
                <w:rFonts w:ascii="仿宋_GB2312" w:eastAsia="仿宋_GB2312" w:hAnsi="等线" w:cs="宋体"/>
                <w:b/>
                <w:bCs/>
                <w:kern w:val="0"/>
                <w:sz w:val="24"/>
              </w:rPr>
              <w:t>9.76%</w:t>
            </w:r>
          </w:p>
        </w:tc>
      </w:tr>
      <w:tr>
        <w:tblPrEx>
          <w:tblW w:w="8335" w:type="dxa"/>
          <w:jc w:val="center"/>
          <w:tblCellMar>
            <w:top w:w="0" w:type="dxa"/>
            <w:left w:w="108" w:type="dxa"/>
            <w:bottom w:w="0" w:type="dxa"/>
            <w:right w:w="108" w:type="dxa"/>
          </w:tblCellMar>
        </w:tblPrEx>
        <w:trPr>
          <w:trHeight w:val="454"/>
          <w:jc w:val="center"/>
        </w:trPr>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1</w:t>
            </w:r>
          </w:p>
        </w:tc>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江南街道2019年5个地质灾害治理工程未付工程款及2021年3个新增地质灾害点治理工程工程进度款</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2</w:t>
            </w:r>
            <w:r>
              <w:rPr>
                <w:rFonts w:ascii="仿宋_GB2312" w:eastAsia="仿宋_GB2312" w:hAnsi="等线" w:cs="宋体"/>
                <w:kern w:val="0"/>
                <w:sz w:val="24"/>
              </w:rPr>
              <w:t>20</w:t>
            </w:r>
          </w:p>
        </w:tc>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219.08</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9</w:t>
            </w:r>
            <w:r>
              <w:rPr>
                <w:rFonts w:ascii="仿宋_GB2312" w:eastAsia="仿宋_GB2312" w:hAnsi="等线" w:cs="宋体"/>
                <w:kern w:val="0"/>
                <w:sz w:val="24"/>
              </w:rPr>
              <w:t>9.58%</w:t>
            </w:r>
          </w:p>
        </w:tc>
      </w:tr>
      <w:tr>
        <w:tblPrEx>
          <w:tblW w:w="8335" w:type="dxa"/>
          <w:jc w:val="center"/>
          <w:tblCellMar>
            <w:top w:w="0" w:type="dxa"/>
            <w:left w:w="108" w:type="dxa"/>
            <w:bottom w:w="0" w:type="dxa"/>
            <w:right w:w="108" w:type="dxa"/>
          </w:tblCellMar>
        </w:tblPrEx>
        <w:trPr>
          <w:trHeight w:val="454"/>
          <w:jc w:val="center"/>
        </w:trPr>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2</w:t>
            </w:r>
          </w:p>
        </w:tc>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外海街道东南村松仔山地质灾害治理工程工程进度款（年中追加）</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4</w:t>
            </w:r>
            <w:r>
              <w:rPr>
                <w:rFonts w:ascii="仿宋_GB2312" w:eastAsia="仿宋_GB2312" w:hAnsi="等线" w:cs="宋体"/>
                <w:kern w:val="0"/>
                <w:sz w:val="24"/>
              </w:rPr>
              <w:t>00</w:t>
            </w:r>
          </w:p>
        </w:tc>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400</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1</w:t>
            </w:r>
            <w:r>
              <w:rPr>
                <w:rFonts w:ascii="仿宋_GB2312" w:eastAsia="仿宋_GB2312" w:hAnsi="等线" w:cs="宋体"/>
                <w:kern w:val="0"/>
                <w:sz w:val="24"/>
              </w:rPr>
              <w:t>00%</w:t>
            </w:r>
          </w:p>
        </w:tc>
      </w:tr>
      <w:tr>
        <w:tblPrEx>
          <w:tblW w:w="8335" w:type="dxa"/>
          <w:jc w:val="center"/>
          <w:tblCellMar>
            <w:top w:w="0" w:type="dxa"/>
            <w:left w:w="108" w:type="dxa"/>
            <w:bottom w:w="0" w:type="dxa"/>
            <w:right w:w="108" w:type="dxa"/>
          </w:tblCellMar>
        </w:tblPrEx>
        <w:trPr>
          <w:trHeight w:val="454"/>
          <w:jc w:val="center"/>
        </w:trPr>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3</w:t>
            </w:r>
          </w:p>
        </w:tc>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地质灾害点监测设备</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3</w:t>
            </w:r>
            <w:r>
              <w:rPr>
                <w:rFonts w:ascii="仿宋_GB2312" w:eastAsia="仿宋_GB2312" w:hAnsi="等线" w:cs="宋体"/>
                <w:kern w:val="0"/>
                <w:sz w:val="24"/>
              </w:rPr>
              <w:t>0</w:t>
            </w:r>
          </w:p>
        </w:tc>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29.32</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9</w:t>
            </w:r>
            <w:r>
              <w:rPr>
                <w:rFonts w:ascii="仿宋_GB2312" w:eastAsia="仿宋_GB2312" w:hAnsi="等线" w:cs="宋体"/>
                <w:kern w:val="0"/>
                <w:sz w:val="24"/>
              </w:rPr>
              <w:t>7.73%</w:t>
            </w:r>
          </w:p>
        </w:tc>
      </w:tr>
      <w:tr>
        <w:tblPrEx>
          <w:tblW w:w="8335" w:type="dxa"/>
          <w:jc w:val="center"/>
          <w:tblCellMar>
            <w:top w:w="0" w:type="dxa"/>
            <w:left w:w="108" w:type="dxa"/>
            <w:bottom w:w="0" w:type="dxa"/>
            <w:right w:w="108" w:type="dxa"/>
          </w:tblCellMar>
        </w:tblPrEx>
        <w:trPr>
          <w:trHeight w:val="454"/>
          <w:jc w:val="center"/>
        </w:trPr>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4</w:t>
            </w:r>
          </w:p>
        </w:tc>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地质灾害监测与技术支撑</w:t>
            </w:r>
          </w:p>
          <w:p>
            <w:pPr>
              <w:rPr>
                <w:rFonts w:ascii="仿宋_GB2312" w:eastAsia="仿宋_GB2312" w:hAnsi="等线" w:cs="宋体"/>
                <w:sz w:val="24"/>
              </w:rPr>
            </w:pP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5</w:t>
            </w:r>
          </w:p>
        </w:tc>
        <w:tc>
          <w:tcPr>
            <w:tcW w:w="0" w:type="auto"/>
            <w:shd w:val="clear" w:color="auto" w:fill="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5</w:t>
            </w:r>
            <w:r>
              <w:rPr>
                <w:rFonts w:ascii="仿宋_GB2312" w:eastAsia="仿宋_GB2312" w:hAnsi="等线" w:cs="宋体" w:hint="eastAsia"/>
                <w:kern w:val="0"/>
                <w:sz w:val="24"/>
              </w:rPr>
              <w:t xml:space="preserve"> </w:t>
            </w:r>
          </w:p>
        </w:tc>
        <w:tc>
          <w:tcPr>
            <w:tcW w:w="0" w:type="auto"/>
            <w:tcMar>
              <w:left w:w="40" w:type="dxa"/>
              <w:right w:w="40" w:type="dxa"/>
            </w:tcMar>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1</w:t>
            </w:r>
            <w:r>
              <w:rPr>
                <w:rFonts w:ascii="仿宋_GB2312" w:eastAsia="仿宋_GB2312" w:hAnsi="等线" w:cs="宋体"/>
                <w:kern w:val="0"/>
                <w:sz w:val="24"/>
              </w:rPr>
              <w:t>00%</w:t>
            </w:r>
          </w:p>
        </w:tc>
      </w:tr>
    </w:tbl>
    <w:p>
      <w:pPr>
        <w:spacing w:line="360" w:lineRule="auto"/>
        <w:ind w:firstLine="420" w:firstLineChars="200"/>
        <w:rPr>
          <w:rFonts w:ascii="仿宋_GB2312" w:eastAsia="仿宋_GB2312" w:hAnsi="楷体"/>
          <w:sz w:val="32"/>
          <w:szCs w:val="32"/>
        </w:rPr>
      </w:pPr>
    </w:p>
    <w:p>
      <w:pPr>
        <w:spacing w:line="360" w:lineRule="auto"/>
        <w:rPr>
          <w:rFonts w:ascii="仿宋_GB2312" w:eastAsia="仿宋_GB2312" w:hAnsi="楷体"/>
          <w:sz w:val="32"/>
          <w:szCs w:val="32"/>
        </w:rPr>
      </w:pPr>
      <w:r>
        <w:rPr>
          <w:rFonts w:ascii="仿宋_GB2312" w:eastAsia="仿宋_GB2312" w:hAnsi="楷体" w:hint="eastAsia"/>
          <w:sz w:val="32"/>
          <w:szCs w:val="32"/>
        </w:rPr>
        <w:drawing>
          <wp:inline distT="0" distB="0" distL="0" distR="0">
            <wp:extent cx="5274310" cy="4133850"/>
            <wp:effectExtent l="0" t="0" r="2540" b="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pPr>
        <w:spacing w:line="360" w:lineRule="auto"/>
        <w:ind w:firstLine="420" w:firstLineChars="200"/>
        <w:rPr>
          <w:rFonts w:ascii="仿宋_GB2312" w:eastAsia="仿宋_GB2312" w:hAnsi="楷体"/>
          <w:sz w:val="32"/>
          <w:szCs w:val="32"/>
        </w:rPr>
      </w:pPr>
      <w:r>
        <w:rPr>
          <w:rFonts w:ascii="仿宋_GB2312" w:eastAsia="仿宋_GB2312" w:hAnsi="楷体" w:hint="eastAsia"/>
          <w:sz w:val="32"/>
          <w:szCs w:val="32"/>
        </w:rPr>
        <w:t>如图2</w:t>
      </w:r>
      <w:r>
        <w:rPr>
          <w:rFonts w:ascii="仿宋_GB2312" w:eastAsia="仿宋_GB2312" w:hAnsi="楷体"/>
          <w:sz w:val="32"/>
          <w:szCs w:val="32"/>
        </w:rPr>
        <w:t>-2</w:t>
      </w:r>
      <w:r>
        <w:rPr>
          <w:rFonts w:ascii="仿宋_GB2312" w:eastAsia="仿宋_GB2312" w:hAnsi="楷体" w:hint="eastAsia"/>
          <w:sz w:val="32"/>
          <w:szCs w:val="32"/>
        </w:rPr>
        <w:t>所示，2021年江海区地质灾害项目资金主要投放在“外海街道东南村松仔山地质灾害治理工程工程进度款”和“江南街道2019年5个地质灾害治理工程未付工程款及2021年3个新增地质灾害点治理工程工程进度款”两个子项目，主要用于支付地质灾害治理工程款。</w:t>
      </w:r>
    </w:p>
    <w:p>
      <w:pPr>
        <w:pStyle w:val="Heading2"/>
        <w:spacing w:before="0" w:after="0" w:line="360" w:lineRule="auto"/>
        <w:ind w:firstLine="420" w:firstLineChars="200"/>
        <w:rPr>
          <w:rFonts w:ascii="楷体_GB2312" w:eastAsia="楷体_GB2312" w:hAnsi="仿宋"/>
        </w:rPr>
      </w:pPr>
      <w:bookmarkStart w:id="42" w:name="_Toc112692607"/>
      <w:r>
        <w:rPr>
          <w:rFonts w:ascii="楷体_GB2312" w:eastAsia="楷体_GB2312" w:hAnsi="仿宋" w:hint="eastAsia"/>
        </w:rPr>
        <w:t>（三）绩效目标</w:t>
      </w:r>
      <w:bookmarkEnd w:id="42"/>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1</w:t>
      </w:r>
      <w:r>
        <w:rPr>
          <w:rFonts w:ascii="仿宋_GB2312" w:eastAsia="仿宋_GB2312" w:hAnsi="仿宋" w:cstheme="majorBidi"/>
          <w:bCs/>
          <w:sz w:val="32"/>
          <w:szCs w:val="32"/>
        </w:rPr>
        <w:t>.</w:t>
      </w:r>
      <w:r>
        <w:rPr>
          <w:rFonts w:ascii="仿宋_GB2312" w:eastAsia="仿宋_GB2312" w:hAnsi="仿宋" w:cstheme="majorBidi" w:hint="eastAsia"/>
          <w:bCs/>
          <w:sz w:val="32"/>
          <w:szCs w:val="32"/>
        </w:rPr>
        <w:t>项目总体目标</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实施地质灾害防治工程，</w:t>
      </w:r>
      <w:r>
        <w:rPr>
          <w:rFonts w:ascii="仿宋_GB2312" w:eastAsia="仿宋_GB2312" w:hAnsi="楷体" w:hint="eastAsia"/>
          <w:sz w:val="32"/>
          <w:szCs w:val="32"/>
        </w:rPr>
        <w:t>减少或避免地质灾害造成人员伤亡和经济损失，确保人民群众生命财产安全，保障经济社会可持续发展</w:t>
      </w:r>
      <w:r>
        <w:rPr>
          <w:rFonts w:ascii="仿宋_GB2312" w:eastAsia="仿宋_GB2312" w:hAnsi="仿宋" w:cstheme="majorBidi"/>
          <w:bCs/>
          <w:sz w:val="32"/>
          <w:szCs w:val="32"/>
        </w:rPr>
        <w:t>。</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2</w:t>
      </w:r>
      <w:r>
        <w:rPr>
          <w:rFonts w:ascii="仿宋_GB2312" w:eastAsia="仿宋_GB2312" w:hAnsi="仿宋" w:cstheme="majorBidi"/>
          <w:bCs/>
          <w:sz w:val="32"/>
          <w:szCs w:val="32"/>
        </w:rPr>
        <w:t>.</w:t>
      </w:r>
      <w:r>
        <w:rPr>
          <w:rFonts w:ascii="仿宋_GB2312" w:eastAsia="仿宋_GB2312" w:hAnsi="仿宋" w:cstheme="majorBidi" w:hint="eastAsia"/>
          <w:bCs/>
          <w:sz w:val="32"/>
          <w:szCs w:val="32"/>
        </w:rPr>
        <w:t>项目年度目标及完成情况</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hint="eastAsia"/>
          <w:sz w:val="32"/>
          <w:szCs w:val="32"/>
        </w:rPr>
        <w:t>项目年中无调整绩效目标，无未完成的目标，绩效目标完成程度高</w:t>
      </w:r>
      <w:r>
        <w:rPr>
          <w:rFonts w:ascii="仿宋_GB2312" w:eastAsia="仿宋_GB2312" w:hAnsi="仿宋" w:cstheme="majorBidi" w:hint="eastAsia"/>
          <w:bCs/>
          <w:sz w:val="32"/>
          <w:szCs w:val="32"/>
        </w:rPr>
        <w:t>。项目年度目标和目标完成情况见表</w:t>
      </w:r>
      <w:r>
        <w:rPr>
          <w:rFonts w:ascii="仿宋_GB2312" w:eastAsia="仿宋_GB2312" w:hAnsi="仿宋" w:cstheme="majorBidi"/>
          <w:bCs/>
          <w:sz w:val="32"/>
          <w:szCs w:val="32"/>
        </w:rPr>
        <w:t>2</w:t>
      </w:r>
      <w:r>
        <w:rPr>
          <w:rFonts w:ascii="仿宋_GB2312" w:eastAsia="仿宋_GB2312" w:hAnsi="仿宋" w:cstheme="majorBidi" w:hint="eastAsia"/>
          <w:bCs/>
          <w:sz w:val="32"/>
          <w:szCs w:val="32"/>
        </w:rPr>
        <w:t>-</w:t>
      </w:r>
      <w:r>
        <w:rPr>
          <w:rFonts w:ascii="仿宋_GB2312" w:eastAsia="仿宋_GB2312" w:hAnsi="仿宋" w:cstheme="majorBidi"/>
          <w:bCs/>
          <w:sz w:val="32"/>
          <w:szCs w:val="32"/>
        </w:rPr>
        <w:t>4</w:t>
      </w:r>
      <w:r>
        <w:rPr>
          <w:rFonts w:ascii="仿宋_GB2312" w:eastAsia="仿宋_GB2312" w:hAnsi="仿宋" w:cstheme="majorBidi" w:hint="eastAsia"/>
          <w:bCs/>
          <w:sz w:val="32"/>
          <w:szCs w:val="32"/>
        </w:rPr>
        <w:t>。</w:t>
      </w:r>
    </w:p>
    <w:p>
      <w:pPr>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2</w:t>
      </w:r>
      <w:r>
        <w:rPr>
          <w:rFonts w:ascii="黑体" w:eastAsia="黑体" w:hAnsi="黑体" w:hint="eastAsia"/>
          <w:sz w:val="28"/>
          <w:szCs w:val="28"/>
        </w:rPr>
        <w:t>-</w:t>
      </w:r>
      <w:r>
        <w:rPr>
          <w:rFonts w:ascii="黑体" w:eastAsia="黑体" w:hAnsi="黑体"/>
          <w:sz w:val="28"/>
          <w:szCs w:val="28"/>
        </w:rPr>
        <w:t>4 2021年</w:t>
      </w:r>
      <w:r>
        <w:rPr>
          <w:rFonts w:ascii="黑体" w:eastAsia="黑体" w:hAnsi="黑体" w:hint="eastAsia"/>
          <w:sz w:val="28"/>
          <w:szCs w:val="28"/>
        </w:rPr>
        <w:t>江海区地质灾害项目年度目标及目标完成情况表</w:t>
      </w:r>
    </w:p>
    <w:tbl>
      <w:tblPr>
        <w:tblStyle w:val="TableNormal"/>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743"/>
        <w:gridCol w:w="3251"/>
        <w:gridCol w:w="3236"/>
        <w:gridCol w:w="1104"/>
      </w:tblGrid>
      <w:tr>
        <w:tblPrEx>
          <w:tblW w:w="8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637"/>
          <w:jc w:val="center"/>
        </w:trPr>
        <w:tc>
          <w:tcPr>
            <w:tcW w:w="743" w:type="dxa"/>
            <w:tcBorders>
              <w:tl2br w:val="nil"/>
              <w:tr2bl w:val="nil"/>
            </w:tcBorders>
            <w:shd w:val="clear" w:color="auto" w:fill="F1F1F1" w:themeFill="background1" w:themeFillShade="F2"/>
            <w:noWrap/>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目标</w:t>
            </w:r>
          </w:p>
        </w:tc>
        <w:tc>
          <w:tcPr>
            <w:tcW w:w="3251" w:type="dxa"/>
            <w:tcBorders>
              <w:tl2br w:val="nil"/>
              <w:tr2bl w:val="nil"/>
            </w:tcBorders>
            <w:shd w:val="clear" w:color="auto" w:fill="F1F1F1" w:themeFill="background1" w:themeFillShade="F2"/>
            <w:noWrap/>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年度目标</w:t>
            </w:r>
          </w:p>
        </w:tc>
        <w:tc>
          <w:tcPr>
            <w:tcW w:w="3236" w:type="dxa"/>
            <w:tcBorders>
              <w:tl2br w:val="nil"/>
              <w:tr2bl w:val="nil"/>
            </w:tcBorders>
            <w:shd w:val="clear" w:color="auto" w:fill="F1F1F1" w:themeFill="background1" w:themeFillShade="F2"/>
            <w:noWrap/>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目标完成情况</w:t>
            </w:r>
          </w:p>
        </w:tc>
        <w:tc>
          <w:tcPr>
            <w:tcW w:w="1104" w:type="dxa"/>
            <w:tcBorders>
              <w:tl2br w:val="nil"/>
              <w:tr2bl w:val="nil"/>
            </w:tcBorders>
            <w:shd w:val="clear" w:color="auto" w:fill="F1F1F1" w:themeFill="background1" w:themeFillShade="F2"/>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完成情况说明</w:t>
            </w:r>
          </w:p>
        </w:tc>
      </w:tr>
      <w:tr>
        <w:tblPrEx>
          <w:tblW w:w="8334" w:type="dxa"/>
          <w:jc w:val="center"/>
          <w:tblCellMar>
            <w:top w:w="0" w:type="dxa"/>
            <w:left w:w="108" w:type="dxa"/>
            <w:bottom w:w="0" w:type="dxa"/>
            <w:right w:w="108" w:type="dxa"/>
          </w:tblCellMar>
        </w:tblPrEx>
        <w:trPr>
          <w:cantSplit/>
          <w:trHeight w:val="851"/>
          <w:jc w:val="center"/>
        </w:trPr>
        <w:tc>
          <w:tcPr>
            <w:tcW w:w="743"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cs="仿宋_GB2312" w:hint="eastAsia"/>
                <w:kern w:val="0"/>
                <w:sz w:val="24"/>
              </w:rPr>
              <w:t>目标一</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完成江南街道2020年3个新增地质灾害点治理工程验收，消除三处地质灾害隐患</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完成江南街道2020年3个新增地质灾害点治理工程验收，消除三处地质灾害隐患</w:t>
            </w:r>
          </w:p>
        </w:tc>
        <w:tc>
          <w:tcPr>
            <w:tcW w:w="1104"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r>
        <w:tblPrEx>
          <w:tblW w:w="8334" w:type="dxa"/>
          <w:jc w:val="center"/>
          <w:tblCellMar>
            <w:top w:w="0" w:type="dxa"/>
            <w:left w:w="108" w:type="dxa"/>
            <w:bottom w:w="0" w:type="dxa"/>
            <w:right w:w="108" w:type="dxa"/>
          </w:tblCellMar>
        </w:tblPrEx>
        <w:trPr>
          <w:cantSplit/>
          <w:trHeight w:val="851"/>
          <w:jc w:val="center"/>
        </w:trPr>
        <w:tc>
          <w:tcPr>
            <w:tcW w:w="743"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目标二</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完成江海区地质灾害监测系统建设并通过验收</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完成江海区地质灾害监测系统建设并通过验收</w:t>
            </w:r>
          </w:p>
        </w:tc>
        <w:tc>
          <w:tcPr>
            <w:tcW w:w="1104"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r>
        <w:tblPrEx>
          <w:tblW w:w="8334" w:type="dxa"/>
          <w:jc w:val="center"/>
          <w:tblCellMar>
            <w:top w:w="0" w:type="dxa"/>
            <w:left w:w="108" w:type="dxa"/>
            <w:bottom w:w="0" w:type="dxa"/>
            <w:right w:w="108" w:type="dxa"/>
          </w:tblCellMar>
        </w:tblPrEx>
        <w:trPr>
          <w:cantSplit/>
          <w:trHeight w:val="851"/>
          <w:jc w:val="center"/>
        </w:trPr>
        <w:tc>
          <w:tcPr>
            <w:tcW w:w="743"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目标三</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地质灾害技术单位（省地质六队）为我区提供地质灾害应急调查服务，汛期每月开展地质灾害隐患巡查排查</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地质灾害技术单位（省地质六队）为我区提供地质灾害应急调查服务，汛期每月开展地质灾害隐患巡查排查</w:t>
            </w:r>
          </w:p>
        </w:tc>
        <w:tc>
          <w:tcPr>
            <w:tcW w:w="1104"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r>
        <w:tblPrEx>
          <w:tblW w:w="8334" w:type="dxa"/>
          <w:jc w:val="center"/>
          <w:tblCellMar>
            <w:top w:w="0" w:type="dxa"/>
            <w:left w:w="108" w:type="dxa"/>
            <w:bottom w:w="0" w:type="dxa"/>
            <w:right w:w="108" w:type="dxa"/>
          </w:tblCellMar>
        </w:tblPrEx>
        <w:trPr>
          <w:cantSplit/>
          <w:trHeight w:val="851"/>
          <w:jc w:val="center"/>
        </w:trPr>
        <w:tc>
          <w:tcPr>
            <w:tcW w:w="743"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目标四</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完成外海街道东南村松仔山地质灾害治理工程进度款支付</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完成外海街道东南村松仔山地质灾害治理工程进度款支付</w:t>
            </w:r>
          </w:p>
        </w:tc>
        <w:tc>
          <w:tcPr>
            <w:tcW w:w="1104"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bl>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3</w:t>
      </w:r>
      <w:r>
        <w:rPr>
          <w:rFonts w:ascii="仿宋_GB2312" w:eastAsia="仿宋_GB2312" w:hAnsi="仿宋" w:cstheme="majorBidi"/>
          <w:bCs/>
          <w:sz w:val="32"/>
          <w:szCs w:val="32"/>
        </w:rPr>
        <w:t>.</w:t>
      </w:r>
      <w:r>
        <w:rPr>
          <w:rFonts w:ascii="仿宋_GB2312" w:eastAsia="仿宋_GB2312" w:hAnsi="仿宋" w:cstheme="majorBidi" w:hint="eastAsia"/>
          <w:bCs/>
          <w:sz w:val="32"/>
          <w:szCs w:val="32"/>
        </w:rPr>
        <w:t>项目绩效指标</w:t>
      </w:r>
    </w:p>
    <w:p>
      <w:pPr>
        <w:spacing w:line="160" w:lineRule="atLeast"/>
        <w:ind w:firstLine="420" w:firstLineChars="200"/>
        <w:rPr>
          <w:rFonts w:ascii="仿宋_GB2312" w:eastAsia="仿宋_GB2312" w:hAnsi="仿宋" w:cstheme="majorBidi"/>
          <w:bCs/>
          <w:sz w:val="32"/>
          <w:szCs w:val="32"/>
        </w:rPr>
      </w:pPr>
      <w:bookmarkStart w:id="43" w:name="_Hlk112598414"/>
      <w:bookmarkStart w:id="44" w:name="_Hlk112226365"/>
      <w:r>
        <w:rPr>
          <w:rFonts w:ascii="仿宋_GB2312" w:eastAsia="仿宋_GB2312" w:hAnsi="仿宋" w:cstheme="majorBidi" w:hint="eastAsia"/>
          <w:bCs/>
          <w:sz w:val="32"/>
          <w:szCs w:val="32"/>
        </w:rPr>
        <w:t>项目无未完成的绩效指标，部分指标完成程度高于年初设定指标值，绩效指标完成程度高。项目绩效指标完成情况详见表</w:t>
      </w:r>
      <w:r>
        <w:rPr>
          <w:rFonts w:ascii="仿宋_GB2312" w:eastAsia="仿宋_GB2312" w:hAnsi="仿宋" w:cstheme="majorBidi"/>
          <w:bCs/>
          <w:sz w:val="32"/>
          <w:szCs w:val="32"/>
        </w:rPr>
        <w:t>2-5</w:t>
      </w:r>
      <w:r>
        <w:rPr>
          <w:rFonts w:ascii="仿宋_GB2312" w:eastAsia="仿宋_GB2312" w:hAnsi="仿宋" w:cstheme="majorBidi" w:hint="eastAsia"/>
          <w:bCs/>
          <w:sz w:val="32"/>
          <w:szCs w:val="32"/>
        </w:rPr>
        <w:t>。</w:t>
      </w:r>
    </w:p>
    <w:p>
      <w:pPr>
        <w:spacing w:line="160" w:lineRule="atLeast"/>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2</w:t>
      </w:r>
      <w:r>
        <w:rPr>
          <w:rFonts w:ascii="黑体" w:eastAsia="黑体" w:hAnsi="黑体" w:hint="eastAsia"/>
          <w:sz w:val="28"/>
          <w:szCs w:val="28"/>
        </w:rPr>
        <w:t>-</w:t>
      </w:r>
      <w:r>
        <w:rPr>
          <w:rFonts w:ascii="黑体" w:eastAsia="黑体" w:hAnsi="黑体"/>
          <w:sz w:val="28"/>
          <w:szCs w:val="28"/>
        </w:rPr>
        <w:t>5</w:t>
      </w:r>
      <w:r>
        <w:rPr>
          <w:rFonts w:ascii="黑体" w:eastAsia="黑体" w:hAnsi="黑体" w:hint="eastAsia"/>
          <w:sz w:val="28"/>
          <w:szCs w:val="28"/>
        </w:rPr>
        <w:t xml:space="preserve"> </w:t>
      </w:r>
      <w:r>
        <w:rPr>
          <w:rFonts w:ascii="黑体" w:eastAsia="黑体" w:hAnsi="黑体"/>
          <w:sz w:val="28"/>
          <w:szCs w:val="28"/>
        </w:rPr>
        <w:t>2021年</w:t>
      </w:r>
      <w:r>
        <w:rPr>
          <w:rFonts w:ascii="黑体" w:eastAsia="黑体" w:hAnsi="黑体" w:hint="eastAsia"/>
          <w:sz w:val="28"/>
          <w:szCs w:val="28"/>
        </w:rPr>
        <w:t>江海区地质灾害项目绩效指标完成情况</w:t>
      </w:r>
    </w:p>
    <w:tbl>
      <w:tblPr>
        <w:tblStyle w:val="TableNormal"/>
        <w:tblW w:w="8335" w:type="dxa"/>
        <w:jc w:val="center"/>
        <w:tblCellMar>
          <w:top w:w="0" w:type="dxa"/>
          <w:left w:w="108" w:type="dxa"/>
          <w:bottom w:w="0" w:type="dxa"/>
          <w:right w:w="108" w:type="dxa"/>
        </w:tblCellMar>
      </w:tblPr>
      <w:tblGrid>
        <w:gridCol w:w="838"/>
        <w:gridCol w:w="1316"/>
        <w:gridCol w:w="2681"/>
        <w:gridCol w:w="1207"/>
        <w:gridCol w:w="1165"/>
        <w:gridCol w:w="1128"/>
      </w:tblGrid>
      <w:tr>
        <w:tblPrEx>
          <w:tblW w:w="8335" w:type="dxa"/>
          <w:jc w:val="center"/>
          <w:tblCellMar>
            <w:top w:w="0" w:type="dxa"/>
            <w:left w:w="108" w:type="dxa"/>
            <w:bottom w:w="0" w:type="dxa"/>
            <w:right w:w="108" w:type="dxa"/>
          </w:tblCellMar>
        </w:tblPrEx>
        <w:trPr>
          <w:trHeight w:val="727"/>
          <w:jc w:val="center"/>
        </w:trPr>
        <w:tc>
          <w:tcPr>
            <w:tcW w:w="852" w:type="dxa"/>
            <w:tcBorders>
              <w:top w:val="single" w:sz="4" w:space="0" w:color="000000"/>
              <w:left w:val="single" w:sz="4" w:space="0" w:color="000000"/>
              <w:bottom w:val="single" w:sz="4" w:space="0" w:color="auto"/>
              <w:right w:val="single" w:sz="4" w:space="0" w:color="000000"/>
            </w:tcBorders>
            <w:shd w:val="clear" w:color="auto" w:fill="F1F1F1" w:themeFill="background1" w:themeFillShade="F2"/>
            <w:vAlign w:val="center"/>
          </w:tcPr>
          <w:p>
            <w:pPr>
              <w:widowControl/>
              <w:jc w:val="center"/>
              <w:rPr>
                <w:rFonts w:ascii="仿宋_GB2312" w:eastAsia="仿宋_GB2312"/>
                <w:b/>
                <w:bCs/>
                <w:sz w:val="24"/>
              </w:rPr>
            </w:pPr>
            <w:r>
              <w:rPr>
                <w:rFonts w:ascii="仿宋_GB2312" w:eastAsia="仿宋_GB2312" w:hint="eastAsia"/>
                <w:b/>
                <w:bCs/>
                <w:sz w:val="24"/>
              </w:rPr>
              <w:t>一级指标</w:t>
            </w:r>
          </w:p>
        </w:tc>
        <w:tc>
          <w:tcPr>
            <w:tcW w:w="1346"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hint="eastAsia"/>
                <w:b/>
                <w:bCs/>
                <w:sz w:val="24"/>
              </w:rPr>
              <w:t>二级指标</w:t>
            </w:r>
          </w:p>
        </w:tc>
        <w:tc>
          <w:tcPr>
            <w:tcW w:w="2750" w:type="dxa"/>
            <w:tcBorders>
              <w:top w:val="single" w:sz="4" w:space="0" w:color="000000"/>
              <w:left w:val="single" w:sz="4" w:space="0" w:color="000000"/>
              <w:bottom w:val="single" w:sz="4" w:space="0" w:color="auto"/>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cs="仿宋_GB2312" w:hint="eastAsia"/>
                <w:b/>
                <w:bCs/>
                <w:kern w:val="0"/>
                <w:sz w:val="24"/>
              </w:rPr>
              <w:t>指标名称</w:t>
            </w:r>
          </w:p>
        </w:tc>
        <w:tc>
          <w:tcPr>
            <w:tcW w:w="1233"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cs="仿宋_GB2312" w:hint="eastAsia"/>
                <w:b/>
                <w:bCs/>
                <w:kern w:val="0"/>
                <w:sz w:val="24"/>
              </w:rPr>
              <w:t>年度申报指标值</w:t>
            </w:r>
          </w:p>
        </w:tc>
        <w:tc>
          <w:tcPr>
            <w:tcW w:w="1190"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cs="仿宋_GB2312" w:hint="eastAsia"/>
                <w:b/>
                <w:bCs/>
                <w:kern w:val="0"/>
                <w:sz w:val="24"/>
              </w:rPr>
              <w:t>实际完成指标值</w:t>
            </w:r>
          </w:p>
        </w:tc>
        <w:tc>
          <w:tcPr>
            <w:tcW w:w="1151"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cs="仿宋_GB2312"/>
                <w:b/>
                <w:bCs/>
                <w:kern w:val="0"/>
                <w:sz w:val="24"/>
              </w:rPr>
            </w:pPr>
            <w:r>
              <w:rPr>
                <w:rFonts w:ascii="仿宋_GB2312" w:eastAsia="仿宋_GB2312" w:cs="仿宋_GB2312" w:hint="eastAsia"/>
                <w:b/>
                <w:bCs/>
                <w:kern w:val="0"/>
                <w:sz w:val="24"/>
              </w:rPr>
              <w:t>完成情况说明</w:t>
            </w:r>
          </w:p>
        </w:tc>
      </w:tr>
      <w:tr>
        <w:tblPrEx>
          <w:tblW w:w="8335" w:type="dxa"/>
          <w:jc w:val="center"/>
          <w:tblCellMar>
            <w:top w:w="0" w:type="dxa"/>
            <w:left w:w="108" w:type="dxa"/>
            <w:bottom w:w="0" w:type="dxa"/>
            <w:right w:w="108" w:type="dxa"/>
          </w:tblCellMar>
        </w:tblPrEx>
        <w:trPr>
          <w:trHeight w:val="550"/>
          <w:jc w:val="center"/>
        </w:trPr>
        <w:tc>
          <w:tcPr>
            <w:tcW w:w="852" w:type="dxa"/>
            <w:vMerge w:val="restart"/>
            <w:tcBorders>
              <w:top w:val="single" w:sz="4" w:space="0" w:color="000000"/>
              <w:left w:val="single" w:sz="4" w:space="0" w:color="000000"/>
              <w:right w:val="single" w:sz="4" w:space="0" w:color="000000"/>
            </w:tcBorders>
            <w:vAlign w:val="center"/>
          </w:tcPr>
          <w:p>
            <w:pPr>
              <w:widowControl/>
              <w:wordWrap w:val="0"/>
              <w:jc w:val="center"/>
              <w:rPr>
                <w:rFonts w:ascii="仿宋_GB2312" w:eastAsia="仿宋_GB2312"/>
                <w:sz w:val="24"/>
              </w:rPr>
            </w:pPr>
            <w:r>
              <w:rPr>
                <w:rFonts w:ascii="仿宋_GB2312" w:eastAsia="仿宋_GB2312" w:hint="eastAsia"/>
                <w:kern w:val="0"/>
                <w:sz w:val="24"/>
              </w:rPr>
              <w:t>产出指标</w:t>
            </w:r>
          </w:p>
        </w:tc>
        <w:tc>
          <w:tcPr>
            <w:tcW w:w="1346" w:type="dxa"/>
            <w:vMerge w:val="restart"/>
            <w:tcBorders>
              <w:top w:val="single" w:sz="4" w:space="0" w:color="000000"/>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数量指标</w:t>
            </w: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地质灾害隐患排查率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right w:val="single" w:sz="4" w:space="0" w:color="000000"/>
            </w:tcBorders>
            <w:vAlign w:val="center"/>
          </w:tcPr>
          <w:p>
            <w:pPr>
              <w:widowControl/>
              <w:wordWrap w:val="0"/>
              <w:jc w:val="center"/>
              <w:rPr>
                <w:rFonts w:ascii="仿宋_GB2312" w:eastAsia="仿宋_GB2312"/>
                <w:sz w:val="24"/>
              </w:rPr>
            </w:pPr>
          </w:p>
        </w:tc>
        <w:tc>
          <w:tcPr>
            <w:tcW w:w="1346" w:type="dxa"/>
            <w:vMerge/>
            <w:tcBorders>
              <w:top w:val="single" w:sz="4" w:space="0" w:color="000000"/>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jc w:val="center"/>
              <w:rPr>
                <w:rFonts w:ascii="仿宋_GB2312" w:eastAsia="仿宋_GB2312"/>
                <w:kern w:val="0"/>
                <w:sz w:val="24"/>
              </w:rPr>
            </w:pPr>
            <w:r>
              <w:rPr>
                <w:rFonts w:ascii="仿宋_GB2312" w:eastAsia="仿宋_GB2312" w:hint="eastAsia"/>
                <w:kern w:val="0"/>
                <w:sz w:val="24"/>
              </w:rPr>
              <w:t>消除地质灾害隐患点</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3</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3</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right w:val="single" w:sz="4" w:space="0" w:color="000000"/>
            </w:tcBorders>
            <w:vAlign w:val="center"/>
          </w:tcPr>
          <w:p>
            <w:pPr>
              <w:widowControl/>
              <w:wordWrap w:val="0"/>
              <w:jc w:val="center"/>
              <w:rPr>
                <w:rFonts w:ascii="仿宋_GB2312" w:eastAsia="仿宋_GB2312"/>
                <w:sz w:val="24"/>
              </w:rPr>
            </w:pPr>
          </w:p>
        </w:tc>
        <w:tc>
          <w:tcPr>
            <w:tcW w:w="1346" w:type="dxa"/>
            <w:vMerge w:val="restart"/>
            <w:tcBorders>
              <w:top w:val="single" w:sz="4" w:space="0" w:color="000000"/>
              <w:left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质量指标</w:t>
            </w: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监测数据有效利用率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95%</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95%</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bottom w:val="single" w:sz="4" w:space="0" w:color="auto"/>
              <w:right w:val="single" w:sz="4" w:space="0" w:color="000000"/>
            </w:tcBorders>
            <w:vAlign w:val="center"/>
          </w:tcPr>
          <w:p>
            <w:pPr>
              <w:widowControl/>
              <w:wordWrap w:val="0"/>
              <w:jc w:val="center"/>
              <w:rPr>
                <w:rFonts w:ascii="仿宋_GB2312" w:eastAsia="仿宋_GB2312"/>
                <w:sz w:val="24"/>
              </w:rPr>
            </w:pPr>
          </w:p>
        </w:tc>
        <w:tc>
          <w:tcPr>
            <w:tcW w:w="1346" w:type="dxa"/>
            <w:vMerge/>
            <w:tcBorders>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工程事故发生率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0%</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效益</w:t>
            </w:r>
          </w:p>
          <w:p>
            <w:pPr>
              <w:widowControl/>
              <w:wordWrap w:val="0"/>
              <w:jc w:val="center"/>
              <w:rPr>
                <w:rFonts w:ascii="仿宋_GB2312" w:eastAsia="仿宋_GB2312"/>
                <w:kern w:val="0"/>
                <w:sz w:val="24"/>
              </w:rPr>
            </w:pPr>
            <w:r>
              <w:rPr>
                <w:rFonts w:ascii="仿宋_GB2312" w:eastAsia="仿宋_GB2312" w:hint="eastAsia"/>
                <w:kern w:val="0"/>
                <w:sz w:val="24"/>
              </w:rPr>
              <w:t>指标</w:t>
            </w:r>
          </w:p>
        </w:tc>
        <w:tc>
          <w:tcPr>
            <w:tcW w:w="1346" w:type="dxa"/>
            <w:tcBorders>
              <w:top w:val="single" w:sz="4" w:space="0" w:color="auto"/>
              <w:left w:val="single" w:sz="4" w:space="0" w:color="000000"/>
              <w:bottom w:val="single" w:sz="4" w:space="0" w:color="000000"/>
              <w:right w:val="single" w:sz="4" w:space="0" w:color="000000"/>
            </w:tcBorders>
            <w:vAlign w:val="center"/>
          </w:tcPr>
          <w:p>
            <w:pPr>
              <w:widowControl/>
              <w:jc w:val="center"/>
              <w:rPr>
                <w:rFonts w:ascii="仿宋_GB2312" w:eastAsia="仿宋_GB2312"/>
                <w:kern w:val="0"/>
                <w:sz w:val="24"/>
              </w:rPr>
            </w:pPr>
            <w:r>
              <w:rPr>
                <w:rFonts w:ascii="仿宋_GB2312" w:eastAsia="仿宋_GB2312" w:hint="eastAsia"/>
                <w:kern w:val="0"/>
                <w:sz w:val="24"/>
              </w:rPr>
              <w:t>社会效益</w:t>
            </w:r>
          </w:p>
          <w:p>
            <w:pPr>
              <w:widowControl/>
              <w:jc w:val="center"/>
              <w:rPr>
                <w:rFonts w:ascii="仿宋_GB2312" w:eastAsia="仿宋_GB2312"/>
                <w:kern w:val="0"/>
                <w:sz w:val="24"/>
              </w:rPr>
            </w:pPr>
            <w:r>
              <w:rPr>
                <w:rFonts w:ascii="仿宋_GB2312" w:eastAsia="仿宋_GB2312" w:hint="eastAsia"/>
                <w:kern w:val="0"/>
                <w:sz w:val="24"/>
              </w:rPr>
              <w:t>指标</w:t>
            </w: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灾害事件下降率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80%</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val="restart"/>
            <w:tcBorders>
              <w:top w:val="single" w:sz="4" w:space="0" w:color="auto"/>
              <w:left w:val="single" w:sz="4" w:space="0" w:color="000000"/>
              <w:right w:val="single" w:sz="4" w:space="0" w:color="000000"/>
            </w:tcBorders>
            <w:vAlign w:val="center"/>
          </w:tcPr>
          <w:p>
            <w:pPr>
              <w:widowControl/>
              <w:wordWrap w:val="0"/>
              <w:jc w:val="center"/>
              <w:rPr>
                <w:rFonts w:ascii="仿宋_GB2312" w:eastAsia="仿宋_GB2312"/>
                <w:sz w:val="24"/>
              </w:rPr>
            </w:pPr>
            <w:r>
              <w:rPr>
                <w:rFonts w:ascii="仿宋_GB2312" w:eastAsia="仿宋_GB2312" w:hint="eastAsia"/>
                <w:sz w:val="24"/>
              </w:rPr>
              <w:t>满意度指标</w:t>
            </w:r>
          </w:p>
        </w:tc>
        <w:tc>
          <w:tcPr>
            <w:tcW w:w="1346" w:type="dxa"/>
            <w:vMerge w:val="restart"/>
            <w:tcBorders>
              <w:top w:val="single" w:sz="4" w:space="0" w:color="auto"/>
              <w:left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服务对象</w:t>
            </w:r>
          </w:p>
          <w:p>
            <w:pPr>
              <w:widowControl/>
              <w:wordWrap w:val="0"/>
              <w:jc w:val="center"/>
              <w:rPr>
                <w:rFonts w:ascii="仿宋_GB2312" w:eastAsia="仿宋_GB2312"/>
                <w:kern w:val="0"/>
                <w:sz w:val="24"/>
              </w:rPr>
            </w:pPr>
            <w:r>
              <w:rPr>
                <w:rFonts w:ascii="仿宋_GB2312" w:eastAsia="仿宋_GB2312" w:hint="eastAsia"/>
                <w:kern w:val="0"/>
                <w:sz w:val="24"/>
              </w:rPr>
              <w:t>满意度指标</w:t>
            </w:r>
          </w:p>
        </w:tc>
        <w:tc>
          <w:tcPr>
            <w:tcW w:w="2750"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群众满意度</w:t>
            </w:r>
          </w:p>
        </w:tc>
        <w:tc>
          <w:tcPr>
            <w:tcW w:w="1233"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98%</w:t>
            </w:r>
          </w:p>
        </w:tc>
        <w:tc>
          <w:tcPr>
            <w:tcW w:w="1190"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bottom w:val="single" w:sz="4" w:space="0" w:color="000000"/>
              <w:right w:val="single" w:sz="4" w:space="0" w:color="000000"/>
            </w:tcBorders>
            <w:vAlign w:val="center"/>
          </w:tcPr>
          <w:p>
            <w:pPr>
              <w:widowControl/>
              <w:wordWrap w:val="0"/>
              <w:jc w:val="center"/>
              <w:rPr>
                <w:rFonts w:ascii="仿宋_GB2312" w:eastAsia="仿宋_GB2312"/>
                <w:sz w:val="24"/>
              </w:rPr>
            </w:pPr>
          </w:p>
        </w:tc>
        <w:tc>
          <w:tcPr>
            <w:tcW w:w="1346" w:type="dxa"/>
            <w:vMerge/>
            <w:tcBorders>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投诉下降率（灾害隐患点）</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95%</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bl>
    <w:p>
      <w:pPr>
        <w:pStyle w:val="Heading1"/>
        <w:ind w:firstLine="281"/>
        <w:rPr>
          <w:sz w:val="28"/>
          <w:szCs w:val="28"/>
        </w:rPr>
      </w:pPr>
      <w:bookmarkEnd w:id="43"/>
    </w:p>
    <w:p>
      <w:pPr>
        <w:pStyle w:val="Heading1"/>
      </w:pPr>
      <w:bookmarkStart w:id="45" w:name="_Toc112692608"/>
      <w:r>
        <w:rPr>
          <w:rFonts w:hint="eastAsia"/>
        </w:rPr>
        <w:t>二、绩效指标分析</w:t>
      </w:r>
      <w:bookmarkEnd w:id="45"/>
    </w:p>
    <w:p>
      <w:pPr>
        <w:pStyle w:val="Heading2"/>
        <w:spacing w:before="120" w:after="0" w:line="360" w:lineRule="auto"/>
        <w:ind w:firstLine="420" w:firstLineChars="200"/>
        <w:rPr>
          <w:rFonts w:ascii="楷体_GB2312" w:eastAsia="楷体_GB2312" w:hAnsi="仿宋"/>
        </w:rPr>
      </w:pPr>
      <w:bookmarkEnd w:id="44"/>
      <w:bookmarkStart w:id="46" w:name="_Toc486952625"/>
      <w:bookmarkStart w:id="47" w:name="_Toc75018703"/>
      <w:bookmarkStart w:id="48" w:name="_Toc112692609"/>
      <w:r>
        <w:rPr>
          <w:rFonts w:ascii="楷体_GB2312" w:eastAsia="楷体_GB2312" w:hAnsi="仿宋" w:hint="eastAsia"/>
        </w:rPr>
        <w:t>（一）</w:t>
      </w:r>
      <w:bookmarkEnd w:id="46"/>
      <w:bookmarkEnd w:id="47"/>
      <w:r>
        <w:rPr>
          <w:rFonts w:ascii="楷体_GB2312" w:eastAsia="楷体_GB2312" w:hAnsi="仿宋" w:hint="eastAsia"/>
        </w:rPr>
        <w:t>资金管理水平</w:t>
      </w:r>
      <w:bookmarkEnd w:id="48"/>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资金管理水平指标主要考核项目资金管理的规范性和资金使用的合理性，包括财务管理制度、资金管理及制度落实情况、资金使用的合理性三个二级指标。指标满分</w:t>
      </w:r>
      <w:r>
        <w:rPr>
          <w:rFonts w:ascii="仿宋_GB2312" w:eastAsia="仿宋_GB2312" w:hAnsi="仿宋" w:cstheme="majorBidi"/>
          <w:bCs/>
          <w:sz w:val="32"/>
          <w:szCs w:val="32"/>
        </w:rPr>
        <w:t>20</w:t>
      </w:r>
      <w:r>
        <w:rPr>
          <w:rFonts w:ascii="仿宋_GB2312" w:eastAsia="仿宋_GB2312" w:hAnsi="仿宋" w:cstheme="majorBidi" w:hint="eastAsia"/>
          <w:bCs/>
          <w:sz w:val="32"/>
          <w:szCs w:val="32"/>
        </w:rPr>
        <w:t>分，综合评价得分1</w:t>
      </w:r>
      <w:r>
        <w:rPr>
          <w:rFonts w:ascii="仿宋_GB2312" w:eastAsia="仿宋_GB2312" w:hAnsi="仿宋" w:cstheme="majorBidi"/>
          <w:bCs/>
          <w:sz w:val="32"/>
          <w:szCs w:val="32"/>
        </w:rPr>
        <w:t>7</w:t>
      </w:r>
      <w:r>
        <w:rPr>
          <w:rFonts w:ascii="仿宋_GB2312" w:eastAsia="仿宋_GB2312" w:hAnsi="仿宋" w:cstheme="majorBidi" w:hint="eastAsia"/>
          <w:bCs/>
          <w:sz w:val="32"/>
          <w:szCs w:val="32"/>
        </w:rPr>
        <w:t>分，得分率</w:t>
      </w:r>
      <w:r>
        <w:rPr>
          <w:rFonts w:ascii="仿宋_GB2312" w:eastAsia="仿宋_GB2312" w:hAnsi="仿宋" w:cstheme="majorBidi"/>
          <w:bCs/>
          <w:sz w:val="32"/>
          <w:szCs w:val="32"/>
        </w:rPr>
        <w:t>85</w:t>
      </w:r>
      <w:r>
        <w:rPr>
          <w:rFonts w:ascii="仿宋_GB2312" w:eastAsia="仿宋_GB2312" w:hAnsi="仿宋" w:cstheme="majorBidi" w:hint="eastAsia"/>
          <w:bCs/>
          <w:sz w:val="32"/>
          <w:szCs w:val="32"/>
        </w:rPr>
        <w:t>%。</w:t>
      </w:r>
    </w:p>
    <w:p>
      <w:pPr>
        <w:spacing w:line="360" w:lineRule="auto"/>
        <w:ind w:firstLine="420" w:firstLineChars="200"/>
        <w:rPr>
          <w:rFonts w:ascii="仿宋_GB2312" w:eastAsia="仿宋_GB2312" w:hAnsi="仿宋" w:cstheme="majorBidi"/>
          <w:b/>
          <w:bCs/>
          <w:sz w:val="32"/>
          <w:szCs w:val="32"/>
        </w:rPr>
      </w:pPr>
      <w:r>
        <w:rPr>
          <w:rFonts w:ascii="仿宋_GB2312" w:eastAsia="仿宋_GB2312" w:hAnsi="仿宋" w:cstheme="majorBidi" w:hint="eastAsia"/>
          <w:b/>
          <w:bCs/>
          <w:sz w:val="32"/>
          <w:szCs w:val="32"/>
        </w:rPr>
        <w:t>1</w:t>
      </w:r>
      <w:r>
        <w:rPr>
          <w:rFonts w:ascii="仿宋_GB2312" w:eastAsia="仿宋_GB2312" w:hAnsi="仿宋" w:cstheme="majorBidi"/>
          <w:b/>
          <w:bCs/>
          <w:sz w:val="32"/>
          <w:szCs w:val="32"/>
        </w:rPr>
        <w:t>.</w:t>
      </w:r>
      <w:r>
        <w:rPr>
          <w:rFonts w:ascii="仿宋_GB2312" w:eastAsia="仿宋_GB2312" w:hAnsi="仿宋" w:cstheme="majorBidi" w:hint="eastAsia"/>
          <w:b/>
          <w:bCs/>
          <w:sz w:val="32"/>
          <w:szCs w:val="32"/>
        </w:rPr>
        <w:t>财务管理制度</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江门市江海区自然资源局已建立《江门市江海区自然资源局财务管理制度》，内部财务管理制度健全，但缺乏针对地质灾害专项的资金管理办法。</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根据评分标准，该指标满分5分，因未制定专项资金管理办法扣</w:t>
      </w:r>
      <w:r>
        <w:rPr>
          <w:rFonts w:ascii="仿宋_GB2312" w:eastAsia="仿宋_GB2312" w:hAnsi="仿宋" w:cstheme="majorBidi"/>
          <w:bCs/>
          <w:sz w:val="32"/>
          <w:szCs w:val="32"/>
        </w:rPr>
        <w:t>2</w:t>
      </w:r>
      <w:r>
        <w:rPr>
          <w:rFonts w:ascii="仿宋_GB2312" w:eastAsia="仿宋_GB2312" w:hAnsi="仿宋" w:cstheme="majorBidi" w:hint="eastAsia"/>
          <w:bCs/>
          <w:sz w:val="32"/>
          <w:szCs w:val="32"/>
        </w:rPr>
        <w:t>分，得分3分。</w:t>
      </w:r>
    </w:p>
    <w:p>
      <w:pPr>
        <w:spacing w:line="360" w:lineRule="auto"/>
        <w:ind w:firstLine="420" w:firstLineChars="200"/>
        <w:rPr>
          <w:rFonts w:ascii="仿宋_GB2312" w:eastAsia="仿宋_GB2312" w:hAnsi="仿宋" w:cstheme="majorBidi"/>
          <w:b/>
          <w:bCs/>
          <w:sz w:val="32"/>
          <w:szCs w:val="32"/>
        </w:rPr>
      </w:pPr>
      <w:r>
        <w:rPr>
          <w:rFonts w:ascii="仿宋_GB2312" w:eastAsia="仿宋_GB2312" w:hAnsi="仿宋" w:cstheme="majorBidi" w:hint="eastAsia"/>
          <w:b/>
          <w:bCs/>
          <w:sz w:val="32"/>
          <w:szCs w:val="32"/>
        </w:rPr>
        <w:t>2.资金管理及制度落实情况</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项目单位</w:t>
      </w:r>
      <w:r>
        <w:rPr>
          <w:rFonts w:ascii="仿宋_GB2312" w:eastAsia="仿宋_GB2312" w:hAnsi="仿宋" w:cs="Arial" w:hint="eastAsia"/>
          <w:kern w:val="0"/>
          <w:sz w:val="32"/>
          <w:szCs w:val="32"/>
        </w:rPr>
        <w:t>根据相关文件要求并结合本区地质灾害调查结果</w:t>
      </w:r>
      <w:r>
        <w:rPr>
          <w:rFonts w:ascii="仿宋_GB2312" w:eastAsia="仿宋_GB2312" w:hAnsi="仿宋" w:cstheme="majorBidi" w:hint="eastAsia"/>
          <w:bCs/>
          <w:sz w:val="32"/>
          <w:szCs w:val="32"/>
        </w:rPr>
        <w:t>编制了《江门市江海区2</w:t>
      </w:r>
      <w:r>
        <w:rPr>
          <w:rFonts w:ascii="仿宋_GB2312" w:eastAsia="仿宋_GB2312" w:hAnsi="仿宋" w:cstheme="majorBidi"/>
          <w:bCs/>
          <w:sz w:val="32"/>
          <w:szCs w:val="32"/>
        </w:rPr>
        <w:t>021</w:t>
      </w:r>
      <w:r>
        <w:rPr>
          <w:rFonts w:ascii="仿宋_GB2312" w:eastAsia="仿宋_GB2312" w:hAnsi="仿宋" w:cstheme="majorBidi" w:hint="eastAsia"/>
          <w:bCs/>
          <w:sz w:val="32"/>
          <w:szCs w:val="32"/>
        </w:rPr>
        <w:t>年度地质灾害防治方案》，但未制定项目实施的具体方案。</w:t>
      </w:r>
    </w:p>
    <w:p>
      <w:pPr>
        <w:spacing w:line="360" w:lineRule="auto"/>
        <w:ind w:firstLine="420" w:firstLineChars="200"/>
        <w:rPr>
          <w:rFonts w:ascii="仿宋_GB2312" w:eastAsia="仿宋_GB2312" w:hAnsi="楷体"/>
          <w:sz w:val="32"/>
          <w:szCs w:val="32"/>
        </w:rPr>
      </w:pPr>
      <w:r>
        <w:rPr>
          <w:rFonts w:ascii="仿宋_GB2312" w:eastAsia="仿宋_GB2312" w:hAnsi="仿宋" w:cstheme="majorBidi" w:hint="eastAsia"/>
          <w:bCs/>
          <w:sz w:val="32"/>
          <w:szCs w:val="32"/>
        </w:rPr>
        <w:t>项目资金支出进度与预算批复相符程度高。</w:t>
      </w:r>
      <w:r>
        <w:rPr>
          <w:rFonts w:ascii="仿宋_GB2312" w:eastAsia="仿宋_GB2312" w:hAnsi="楷体" w:hint="eastAsia"/>
          <w:sz w:val="32"/>
          <w:szCs w:val="32"/>
        </w:rPr>
        <w:t>项目2</w:t>
      </w:r>
      <w:r>
        <w:rPr>
          <w:rFonts w:ascii="仿宋_GB2312" w:eastAsia="仿宋_GB2312" w:hAnsi="楷体"/>
          <w:sz w:val="32"/>
          <w:szCs w:val="32"/>
        </w:rPr>
        <w:t>021</w:t>
      </w:r>
      <w:r>
        <w:rPr>
          <w:rFonts w:ascii="仿宋_GB2312" w:eastAsia="仿宋_GB2312" w:hAnsi="楷体" w:hint="eastAsia"/>
          <w:sz w:val="32"/>
          <w:szCs w:val="32"/>
        </w:rPr>
        <w:t>年年初预算安排2</w:t>
      </w:r>
      <w:r>
        <w:rPr>
          <w:rFonts w:ascii="仿宋_GB2312" w:eastAsia="仿宋_GB2312" w:hAnsi="楷体"/>
          <w:sz w:val="32"/>
          <w:szCs w:val="32"/>
        </w:rPr>
        <w:t>55</w:t>
      </w:r>
      <w:r>
        <w:rPr>
          <w:rFonts w:ascii="仿宋_GB2312" w:eastAsia="仿宋_GB2312" w:hAnsi="楷体" w:hint="eastAsia"/>
          <w:sz w:val="32"/>
          <w:szCs w:val="32"/>
        </w:rPr>
        <w:t>万元，年中追加4</w:t>
      </w:r>
      <w:r>
        <w:rPr>
          <w:rFonts w:ascii="仿宋_GB2312" w:eastAsia="仿宋_GB2312" w:hAnsi="楷体"/>
          <w:sz w:val="32"/>
          <w:szCs w:val="32"/>
        </w:rPr>
        <w:t>00</w:t>
      </w:r>
      <w:r>
        <w:rPr>
          <w:rFonts w:ascii="仿宋_GB2312" w:eastAsia="仿宋_GB2312" w:hAnsi="楷体" w:hint="eastAsia"/>
          <w:sz w:val="32"/>
          <w:szCs w:val="32"/>
        </w:rPr>
        <w:t>万元，全年预算总安排</w:t>
      </w:r>
      <w:r>
        <w:rPr>
          <w:rFonts w:ascii="仿宋_GB2312" w:eastAsia="仿宋_GB2312" w:hAnsi="楷体"/>
          <w:sz w:val="32"/>
          <w:szCs w:val="32"/>
        </w:rPr>
        <w:t>655</w:t>
      </w:r>
      <w:r>
        <w:rPr>
          <w:rFonts w:ascii="仿宋_GB2312" w:eastAsia="仿宋_GB2312" w:hAnsi="楷体" w:hint="eastAsia"/>
          <w:sz w:val="32"/>
          <w:szCs w:val="32"/>
        </w:rPr>
        <w:t>万元，实际支出</w:t>
      </w:r>
      <w:r>
        <w:rPr>
          <w:rFonts w:ascii="仿宋_GB2312" w:eastAsia="仿宋_GB2312" w:hAnsi="楷体"/>
          <w:sz w:val="32"/>
          <w:szCs w:val="32"/>
        </w:rPr>
        <w:t>653.4</w:t>
      </w:r>
      <w:r>
        <w:rPr>
          <w:rFonts w:ascii="仿宋_GB2312" w:eastAsia="仿宋_GB2312" w:hAnsi="楷体" w:hint="eastAsia"/>
          <w:sz w:val="32"/>
          <w:szCs w:val="32"/>
        </w:rPr>
        <w:t>万元，项目整体资金支出率为</w:t>
      </w:r>
      <w:r>
        <w:rPr>
          <w:rFonts w:ascii="仿宋_GB2312" w:eastAsia="仿宋_GB2312" w:hAnsi="楷体"/>
          <w:sz w:val="32"/>
          <w:szCs w:val="32"/>
        </w:rPr>
        <w:t>99.76</w:t>
      </w:r>
      <w:r>
        <w:rPr>
          <w:rFonts w:ascii="仿宋_GB2312" w:eastAsia="仿宋_GB2312" w:hAnsi="楷体" w:hint="eastAsia"/>
          <w:sz w:val="32"/>
          <w:szCs w:val="32"/>
        </w:rPr>
        <w:t>%，项目年末结余</w:t>
      </w:r>
      <w:r>
        <w:rPr>
          <w:rFonts w:ascii="仿宋_GB2312" w:eastAsia="仿宋_GB2312" w:hAnsi="楷体"/>
          <w:sz w:val="32"/>
          <w:szCs w:val="32"/>
        </w:rPr>
        <w:t>1.6</w:t>
      </w:r>
      <w:r>
        <w:rPr>
          <w:rFonts w:ascii="仿宋_GB2312" w:eastAsia="仿宋_GB2312" w:hAnsi="楷体" w:hint="eastAsia"/>
          <w:sz w:val="32"/>
          <w:szCs w:val="32"/>
        </w:rPr>
        <w:t>万元，资金结余率</w:t>
      </w:r>
      <w:r>
        <w:rPr>
          <w:rFonts w:ascii="仿宋_GB2312" w:eastAsia="仿宋_GB2312" w:hAnsi="楷体"/>
          <w:sz w:val="32"/>
          <w:szCs w:val="32"/>
        </w:rPr>
        <w:t>0.24</w:t>
      </w:r>
      <w:r>
        <w:rPr>
          <w:rFonts w:ascii="仿宋_GB2312" w:eastAsia="仿宋_GB2312" w:hAnsi="楷体" w:hint="eastAsia"/>
          <w:sz w:val="32"/>
          <w:szCs w:val="32"/>
        </w:rPr>
        <w:t>%。结余资金情况为：</w:t>
      </w:r>
      <w:r>
        <w:rPr>
          <w:rFonts w:ascii="仿宋_GB2312" w:eastAsia="仿宋_GB2312" w:hAnsi="楷体"/>
          <w:sz w:val="32"/>
          <w:szCs w:val="32"/>
        </w:rPr>
        <w:fldChar w:fldCharType="begin"/>
      </w:r>
      <w:r>
        <w:rPr>
          <w:rFonts w:ascii="仿宋_GB2312" w:eastAsia="仿宋_GB2312" w:hAnsi="楷体"/>
          <w:sz w:val="32"/>
          <w:szCs w:val="32"/>
        </w:rPr>
        <w:instrText xml:space="preserve"> </w:instrText>
      </w:r>
      <w:r>
        <w:rPr>
          <w:rFonts w:ascii="仿宋_GB2312" w:eastAsia="仿宋_GB2312" w:hAnsi="楷体" w:hint="eastAsia"/>
          <w:sz w:val="32"/>
          <w:szCs w:val="32"/>
        </w:rPr>
        <w:instrText>= 1 \* GB3</w:instrText>
      </w:r>
      <w:r>
        <w:rPr>
          <w:rFonts w:ascii="仿宋_GB2312" w:eastAsia="仿宋_GB2312" w:hAnsi="楷体"/>
          <w:sz w:val="32"/>
          <w:szCs w:val="32"/>
        </w:rPr>
        <w:instrText xml:space="preserve"> </w:instrText>
      </w:r>
      <w:r>
        <w:rPr>
          <w:rFonts w:ascii="仿宋_GB2312" w:eastAsia="仿宋_GB2312" w:hAnsi="楷体"/>
          <w:sz w:val="32"/>
          <w:szCs w:val="32"/>
        </w:rPr>
        <w:fldChar w:fldCharType="separate"/>
      </w:r>
      <w:r>
        <w:rPr>
          <w:rFonts w:ascii="仿宋_GB2312" w:eastAsia="仿宋_GB2312" w:hAnsi="楷体" w:hint="eastAsia"/>
          <w:sz w:val="32"/>
          <w:szCs w:val="32"/>
        </w:rPr>
        <w:t>①</w:t>
      </w:r>
      <w:r>
        <w:rPr>
          <w:rFonts w:ascii="仿宋_GB2312" w:eastAsia="仿宋_GB2312" w:hAnsi="楷体"/>
          <w:sz w:val="32"/>
          <w:szCs w:val="32"/>
        </w:rPr>
        <w:fldChar w:fldCharType="end"/>
      </w:r>
      <w:r>
        <w:rPr>
          <w:rFonts w:ascii="仿宋_GB2312" w:eastAsia="仿宋_GB2312" w:hAnsi="楷体" w:hint="eastAsia"/>
          <w:sz w:val="32"/>
          <w:szCs w:val="32"/>
        </w:rPr>
        <w:t>支出项目“江南街道2019年5个地质灾害治理工程未付工程款及2021年3个新增地质灾害点治理工程工程进度款”因实际工程进度未达到预期工程进度而结余0</w:t>
      </w:r>
      <w:r>
        <w:rPr>
          <w:rFonts w:ascii="仿宋_GB2312" w:eastAsia="仿宋_GB2312" w:hAnsi="楷体"/>
          <w:sz w:val="32"/>
          <w:szCs w:val="32"/>
        </w:rPr>
        <w:t>.92</w:t>
      </w:r>
      <w:r>
        <w:rPr>
          <w:rFonts w:ascii="仿宋_GB2312" w:eastAsia="仿宋_GB2312" w:hAnsi="楷体" w:hint="eastAsia"/>
          <w:sz w:val="32"/>
          <w:szCs w:val="32"/>
        </w:rPr>
        <w:t>万元；</w:t>
      </w:r>
      <w:r>
        <w:rPr>
          <w:rFonts w:ascii="仿宋_GB2312" w:eastAsia="仿宋_GB2312" w:hAnsi="楷体"/>
          <w:sz w:val="32"/>
          <w:szCs w:val="32"/>
        </w:rPr>
        <w:t xml:space="preserve"> </w:t>
      </w:r>
      <w:r>
        <w:rPr>
          <w:rFonts w:ascii="仿宋_GB2312" w:eastAsia="仿宋_GB2312" w:hAnsi="楷体"/>
          <w:sz w:val="32"/>
          <w:szCs w:val="32"/>
        </w:rPr>
        <w:fldChar w:fldCharType="begin"/>
      </w:r>
      <w:r>
        <w:rPr>
          <w:rFonts w:ascii="仿宋_GB2312" w:eastAsia="仿宋_GB2312" w:hAnsi="楷体"/>
          <w:sz w:val="32"/>
          <w:szCs w:val="32"/>
        </w:rPr>
        <w:instrText xml:space="preserve"> </w:instrText>
      </w:r>
      <w:r>
        <w:rPr>
          <w:rFonts w:ascii="仿宋_GB2312" w:eastAsia="仿宋_GB2312" w:hAnsi="楷体" w:hint="eastAsia"/>
          <w:sz w:val="32"/>
          <w:szCs w:val="32"/>
        </w:rPr>
        <w:instrText>= 2 \* GB3</w:instrText>
      </w:r>
      <w:r>
        <w:rPr>
          <w:rFonts w:ascii="仿宋_GB2312" w:eastAsia="仿宋_GB2312" w:hAnsi="楷体"/>
          <w:sz w:val="32"/>
          <w:szCs w:val="32"/>
        </w:rPr>
        <w:instrText xml:space="preserve"> </w:instrText>
      </w:r>
      <w:r>
        <w:rPr>
          <w:rFonts w:ascii="仿宋_GB2312" w:eastAsia="仿宋_GB2312" w:hAnsi="楷体"/>
          <w:sz w:val="32"/>
          <w:szCs w:val="32"/>
        </w:rPr>
        <w:fldChar w:fldCharType="separate"/>
      </w:r>
      <w:r>
        <w:rPr>
          <w:rFonts w:ascii="仿宋_GB2312" w:eastAsia="仿宋_GB2312" w:hAnsi="楷体" w:hint="eastAsia"/>
          <w:sz w:val="32"/>
          <w:szCs w:val="32"/>
        </w:rPr>
        <w:t>②</w:t>
      </w:r>
      <w:r>
        <w:rPr>
          <w:rFonts w:ascii="仿宋_GB2312" w:eastAsia="仿宋_GB2312" w:hAnsi="楷体"/>
          <w:sz w:val="32"/>
          <w:szCs w:val="32"/>
        </w:rPr>
        <w:fldChar w:fldCharType="end"/>
      </w:r>
      <w:r>
        <w:rPr>
          <w:rFonts w:ascii="仿宋_GB2312" w:eastAsia="仿宋_GB2312" w:hAnsi="楷体" w:hint="eastAsia"/>
          <w:sz w:val="32"/>
          <w:szCs w:val="32"/>
        </w:rPr>
        <w:t>支出项目“地质灾害点监测设备”因投标方报价下浮，成本节约而结余0</w:t>
      </w:r>
      <w:r>
        <w:rPr>
          <w:rFonts w:ascii="仿宋_GB2312" w:eastAsia="仿宋_GB2312" w:hAnsi="楷体"/>
          <w:sz w:val="32"/>
          <w:szCs w:val="32"/>
        </w:rPr>
        <w:t>.68</w:t>
      </w:r>
      <w:r>
        <w:rPr>
          <w:rFonts w:ascii="仿宋_GB2312" w:eastAsia="仿宋_GB2312" w:hAnsi="楷体" w:hint="eastAsia"/>
          <w:sz w:val="32"/>
          <w:szCs w:val="32"/>
        </w:rPr>
        <w:t>万元。</w:t>
      </w:r>
    </w:p>
    <w:p>
      <w:pPr>
        <w:spacing w:line="360" w:lineRule="auto"/>
        <w:ind w:firstLine="420" w:firstLineChars="200"/>
        <w:rPr>
          <w:rFonts w:ascii="仿宋_GB2312" w:eastAsia="仿宋_GB2312" w:hAnsi="仿宋" w:cs="Arial"/>
          <w:kern w:val="0"/>
          <w:sz w:val="32"/>
          <w:szCs w:val="32"/>
        </w:rPr>
      </w:pPr>
      <w:r>
        <w:rPr>
          <w:rFonts w:ascii="仿宋_GB2312" w:eastAsia="仿宋_GB2312" w:hAnsi="仿宋" w:cs="Arial" w:hint="eastAsia"/>
          <w:kern w:val="0"/>
          <w:sz w:val="32"/>
          <w:szCs w:val="32"/>
        </w:rPr>
        <w:t>项目资金使用符合国家财经法规和财务管理制度的规定，资金拨付均有完整的审批程序和手续，符合项目预算批复规定用途，专款专用，且能通过招标采购等方式有效控制成本，资金使用合规。</w:t>
      </w:r>
    </w:p>
    <w:p>
      <w:pPr>
        <w:spacing w:line="360" w:lineRule="auto"/>
        <w:ind w:firstLine="420" w:firstLineChars="200"/>
        <w:rPr>
          <w:rFonts w:ascii="仿宋_GB2312" w:eastAsia="仿宋_GB2312" w:hAnsi="仿宋" w:cs="Arial"/>
          <w:kern w:val="0"/>
          <w:sz w:val="32"/>
          <w:szCs w:val="32"/>
        </w:rPr>
      </w:pPr>
      <w:r>
        <w:rPr>
          <w:rFonts w:ascii="仿宋_GB2312" w:eastAsia="仿宋_GB2312" w:hAnsi="仿宋" w:cs="Arial" w:hint="eastAsia"/>
          <w:kern w:val="0"/>
          <w:sz w:val="32"/>
          <w:szCs w:val="32"/>
        </w:rPr>
        <w:t>根据评分标准，该指标满分1</w:t>
      </w:r>
      <w:r>
        <w:rPr>
          <w:rFonts w:ascii="仿宋_GB2312" w:eastAsia="仿宋_GB2312" w:hAnsi="仿宋" w:cs="Arial"/>
          <w:kern w:val="0"/>
          <w:sz w:val="32"/>
          <w:szCs w:val="32"/>
        </w:rPr>
        <w:t>0</w:t>
      </w:r>
      <w:r>
        <w:rPr>
          <w:rFonts w:ascii="仿宋_GB2312" w:eastAsia="仿宋_GB2312" w:hAnsi="仿宋" w:cs="Arial" w:hint="eastAsia"/>
          <w:kern w:val="0"/>
          <w:sz w:val="32"/>
          <w:szCs w:val="32"/>
        </w:rPr>
        <w:t>分，因未制定项目实施的具体方案扣1分，得分</w:t>
      </w:r>
      <w:r>
        <w:rPr>
          <w:rFonts w:ascii="仿宋_GB2312" w:eastAsia="仿宋_GB2312" w:hAnsi="仿宋" w:cs="Arial"/>
          <w:kern w:val="0"/>
          <w:sz w:val="32"/>
          <w:szCs w:val="32"/>
        </w:rPr>
        <w:t>9</w:t>
      </w:r>
      <w:r>
        <w:rPr>
          <w:rFonts w:ascii="仿宋_GB2312" w:eastAsia="仿宋_GB2312" w:hAnsi="仿宋" w:cs="Arial" w:hint="eastAsia"/>
          <w:kern w:val="0"/>
          <w:sz w:val="32"/>
          <w:szCs w:val="32"/>
        </w:rPr>
        <w:t>分。</w:t>
      </w:r>
    </w:p>
    <w:p>
      <w:pPr>
        <w:spacing w:line="360" w:lineRule="auto"/>
        <w:ind w:firstLine="420" w:firstLineChars="200"/>
        <w:rPr>
          <w:rFonts w:ascii="仿宋_GB2312" w:eastAsia="仿宋_GB2312" w:hAnsi="仿宋" w:cstheme="majorBidi"/>
          <w:b/>
          <w:bCs/>
          <w:sz w:val="32"/>
          <w:szCs w:val="32"/>
        </w:rPr>
      </w:pPr>
      <w:r>
        <w:rPr>
          <w:rFonts w:ascii="仿宋_GB2312" w:eastAsia="仿宋_GB2312" w:hAnsi="仿宋" w:cstheme="majorBidi" w:hint="eastAsia"/>
          <w:b/>
          <w:bCs/>
          <w:sz w:val="32"/>
          <w:szCs w:val="32"/>
        </w:rPr>
        <w:t>3.资金使用的合理性</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项目具体支出内容共4项，均为委托业务费，具体支出内容如下表2</w:t>
      </w:r>
      <w:r>
        <w:rPr>
          <w:rFonts w:ascii="仿宋_GB2312" w:eastAsia="仿宋_GB2312" w:hAnsi="仿宋" w:cstheme="majorBidi"/>
          <w:bCs/>
          <w:sz w:val="32"/>
          <w:szCs w:val="32"/>
        </w:rPr>
        <w:t>-6</w:t>
      </w:r>
      <w:r>
        <w:rPr>
          <w:rFonts w:ascii="仿宋_GB2312" w:eastAsia="仿宋_GB2312" w:hAnsi="仿宋" w:cstheme="majorBidi" w:hint="eastAsia"/>
          <w:bCs/>
          <w:sz w:val="32"/>
          <w:szCs w:val="32"/>
        </w:rPr>
        <w:t>所示，整体支出内容构成合理。</w:t>
      </w:r>
    </w:p>
    <w:p>
      <w:pPr>
        <w:spacing w:line="160" w:lineRule="atLeast"/>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2</w:t>
      </w:r>
      <w:r>
        <w:rPr>
          <w:rFonts w:ascii="黑体" w:eastAsia="黑体" w:hAnsi="黑体" w:hint="eastAsia"/>
          <w:sz w:val="28"/>
          <w:szCs w:val="28"/>
        </w:rPr>
        <w:t>-</w:t>
      </w:r>
      <w:r>
        <w:rPr>
          <w:rFonts w:ascii="黑体" w:eastAsia="黑体" w:hAnsi="黑体"/>
          <w:sz w:val="28"/>
          <w:szCs w:val="28"/>
        </w:rPr>
        <w:t>6</w:t>
      </w:r>
      <w:r>
        <w:rPr>
          <w:rFonts w:ascii="黑体" w:eastAsia="黑体" w:hAnsi="黑体" w:hint="eastAsia"/>
          <w:sz w:val="28"/>
          <w:szCs w:val="28"/>
        </w:rPr>
        <w:t xml:space="preserve"> </w:t>
      </w:r>
      <w:r>
        <w:rPr>
          <w:rFonts w:ascii="黑体" w:eastAsia="黑体" w:hAnsi="黑体"/>
          <w:sz w:val="28"/>
          <w:szCs w:val="28"/>
        </w:rPr>
        <w:t>2021年</w:t>
      </w:r>
      <w:r>
        <w:rPr>
          <w:rFonts w:ascii="黑体" w:eastAsia="黑体" w:hAnsi="黑体" w:hint="eastAsia"/>
          <w:sz w:val="28"/>
          <w:szCs w:val="28"/>
        </w:rPr>
        <w:t>江海区地质灾害项目具体支出明细表</w:t>
      </w:r>
    </w:p>
    <w:tbl>
      <w:tblPr>
        <w:tblStyle w:val="TableNormal"/>
        <w:tblW w:w="8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3"/>
        <w:gridCol w:w="3772"/>
        <w:gridCol w:w="1529"/>
        <w:gridCol w:w="1293"/>
        <w:gridCol w:w="1048"/>
      </w:tblGrid>
      <w:tr>
        <w:tblPrEx>
          <w:tblW w:w="8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89"/>
          <w:jc w:val="center"/>
        </w:trPr>
        <w:tc>
          <w:tcPr>
            <w:tcW w:w="693" w:type="dxa"/>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序号</w:t>
            </w:r>
          </w:p>
        </w:tc>
        <w:tc>
          <w:tcPr>
            <w:tcW w:w="3772" w:type="dxa"/>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具体支出内容</w:t>
            </w:r>
          </w:p>
        </w:tc>
        <w:tc>
          <w:tcPr>
            <w:tcW w:w="1529" w:type="dxa"/>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对应经济支出科目</w:t>
            </w:r>
          </w:p>
        </w:tc>
        <w:tc>
          <w:tcPr>
            <w:tcW w:w="1293" w:type="dxa"/>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支出金额（万元）</w:t>
            </w:r>
          </w:p>
        </w:tc>
        <w:tc>
          <w:tcPr>
            <w:tcW w:w="1048" w:type="dxa"/>
            <w:shd w:val="clear" w:color="auto" w:fill="F1F1F1" w:themeFill="background1" w:themeFillShade="F2"/>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资金占比</w:t>
            </w:r>
          </w:p>
        </w:tc>
      </w:tr>
      <w:tr>
        <w:tblPrEx>
          <w:tblW w:w="8335" w:type="dxa"/>
          <w:jc w:val="center"/>
          <w:tblCellMar>
            <w:top w:w="0" w:type="dxa"/>
            <w:left w:w="108" w:type="dxa"/>
            <w:bottom w:w="0" w:type="dxa"/>
            <w:right w:w="108" w:type="dxa"/>
          </w:tblCellMar>
        </w:tblPrEx>
        <w:trPr>
          <w:trHeight w:val="589"/>
          <w:jc w:val="center"/>
        </w:trPr>
        <w:tc>
          <w:tcPr>
            <w:tcW w:w="693" w:type="dxa"/>
            <w:shd w:val="clear" w:color="auto" w:fill="auto"/>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合计</w:t>
            </w:r>
          </w:p>
        </w:tc>
        <w:tc>
          <w:tcPr>
            <w:tcW w:w="3772" w:type="dxa"/>
            <w:shd w:val="clear" w:color="auto" w:fill="auto"/>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c>
          <w:tcPr>
            <w:tcW w:w="1529" w:type="dxa"/>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c>
          <w:tcPr>
            <w:tcW w:w="1293" w:type="dxa"/>
            <w:shd w:val="clear" w:color="auto" w:fill="auto"/>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6</w:t>
            </w:r>
            <w:r>
              <w:rPr>
                <w:rFonts w:ascii="仿宋_GB2312" w:eastAsia="仿宋_GB2312" w:hAnsi="等线" w:cs="宋体"/>
                <w:b/>
                <w:bCs/>
                <w:kern w:val="0"/>
                <w:sz w:val="24"/>
              </w:rPr>
              <w:t>53.4</w:t>
            </w:r>
          </w:p>
        </w:tc>
        <w:tc>
          <w:tcPr>
            <w:tcW w:w="1048" w:type="dxa"/>
            <w:shd w:val="clear" w:color="auto" w:fill="auto"/>
            <w:vAlign w:val="center"/>
          </w:tcPr>
          <w:p>
            <w:pPr>
              <w:widowControl/>
              <w:jc w:val="center"/>
              <w:rPr>
                <w:rFonts w:ascii="仿宋_GB2312" w:eastAsia="仿宋_GB2312" w:hAnsi="等线" w:cs="宋体"/>
                <w:b/>
                <w:bCs/>
                <w:kern w:val="0"/>
                <w:sz w:val="24"/>
              </w:rPr>
            </w:pPr>
            <w:r>
              <w:rPr>
                <w:rFonts w:ascii="仿宋_GB2312" w:eastAsia="仿宋_GB2312" w:hAnsi="等线" w:cs="宋体" w:hint="eastAsia"/>
                <w:b/>
                <w:bCs/>
                <w:kern w:val="0"/>
                <w:sz w:val="24"/>
              </w:rPr>
              <w:t>——</w:t>
            </w:r>
          </w:p>
        </w:tc>
      </w:tr>
      <w:tr>
        <w:tblPrEx>
          <w:tblW w:w="8335" w:type="dxa"/>
          <w:jc w:val="center"/>
          <w:tblCellMar>
            <w:top w:w="0" w:type="dxa"/>
            <w:left w:w="108" w:type="dxa"/>
            <w:bottom w:w="0" w:type="dxa"/>
            <w:right w:w="108" w:type="dxa"/>
          </w:tblCellMar>
        </w:tblPrEx>
        <w:trPr>
          <w:trHeight w:val="454"/>
          <w:jc w:val="center"/>
        </w:trPr>
        <w:tc>
          <w:tcPr>
            <w:tcW w:w="693"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1</w:t>
            </w:r>
          </w:p>
        </w:tc>
        <w:tc>
          <w:tcPr>
            <w:tcW w:w="3772"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江南街道2019年5个地质灾害治理工程未付工程款及2021年3个新增地质灾害点治理工程工程进度款</w:t>
            </w:r>
          </w:p>
        </w:tc>
        <w:tc>
          <w:tcPr>
            <w:tcW w:w="1529" w:type="dxa"/>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1293"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219.08</w:t>
            </w:r>
          </w:p>
        </w:tc>
        <w:tc>
          <w:tcPr>
            <w:tcW w:w="1048"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33.53%</w:t>
            </w:r>
          </w:p>
        </w:tc>
      </w:tr>
      <w:tr>
        <w:tblPrEx>
          <w:tblW w:w="8335" w:type="dxa"/>
          <w:jc w:val="center"/>
          <w:tblCellMar>
            <w:top w:w="0" w:type="dxa"/>
            <w:left w:w="108" w:type="dxa"/>
            <w:bottom w:w="0" w:type="dxa"/>
            <w:right w:w="108" w:type="dxa"/>
          </w:tblCellMar>
        </w:tblPrEx>
        <w:trPr>
          <w:trHeight w:val="454"/>
          <w:jc w:val="center"/>
        </w:trPr>
        <w:tc>
          <w:tcPr>
            <w:tcW w:w="693"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2</w:t>
            </w:r>
          </w:p>
        </w:tc>
        <w:tc>
          <w:tcPr>
            <w:tcW w:w="3772"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外海街道东南村松仔山地质灾害治理工程工程进度款（年中追加）</w:t>
            </w:r>
          </w:p>
        </w:tc>
        <w:tc>
          <w:tcPr>
            <w:tcW w:w="1529" w:type="dxa"/>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1293"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400</w:t>
            </w:r>
          </w:p>
        </w:tc>
        <w:tc>
          <w:tcPr>
            <w:tcW w:w="1048"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61.22%</w:t>
            </w:r>
          </w:p>
        </w:tc>
      </w:tr>
      <w:tr>
        <w:tblPrEx>
          <w:tblW w:w="8335" w:type="dxa"/>
          <w:jc w:val="center"/>
          <w:tblCellMar>
            <w:top w:w="0" w:type="dxa"/>
            <w:left w:w="108" w:type="dxa"/>
            <w:bottom w:w="0" w:type="dxa"/>
            <w:right w:w="108" w:type="dxa"/>
          </w:tblCellMar>
        </w:tblPrEx>
        <w:trPr>
          <w:trHeight w:val="454"/>
          <w:jc w:val="center"/>
        </w:trPr>
        <w:tc>
          <w:tcPr>
            <w:tcW w:w="693"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3</w:t>
            </w:r>
          </w:p>
        </w:tc>
        <w:tc>
          <w:tcPr>
            <w:tcW w:w="3772"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地质灾害点监测设备</w:t>
            </w:r>
          </w:p>
        </w:tc>
        <w:tc>
          <w:tcPr>
            <w:tcW w:w="1529" w:type="dxa"/>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1293"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29.32</w:t>
            </w:r>
          </w:p>
        </w:tc>
        <w:tc>
          <w:tcPr>
            <w:tcW w:w="1048"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4.49%</w:t>
            </w:r>
          </w:p>
        </w:tc>
      </w:tr>
      <w:tr>
        <w:tblPrEx>
          <w:tblW w:w="8335" w:type="dxa"/>
          <w:jc w:val="center"/>
          <w:tblCellMar>
            <w:top w:w="0" w:type="dxa"/>
            <w:left w:w="108" w:type="dxa"/>
            <w:bottom w:w="0" w:type="dxa"/>
            <w:right w:w="108" w:type="dxa"/>
          </w:tblCellMar>
        </w:tblPrEx>
        <w:trPr>
          <w:trHeight w:val="454"/>
          <w:jc w:val="center"/>
        </w:trPr>
        <w:tc>
          <w:tcPr>
            <w:tcW w:w="693"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4</w:t>
            </w:r>
          </w:p>
        </w:tc>
        <w:tc>
          <w:tcPr>
            <w:tcW w:w="3772"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地质灾害监测与技术支撑</w:t>
            </w:r>
          </w:p>
        </w:tc>
        <w:tc>
          <w:tcPr>
            <w:tcW w:w="1529" w:type="dxa"/>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委托业务费</w:t>
            </w:r>
          </w:p>
        </w:tc>
        <w:tc>
          <w:tcPr>
            <w:tcW w:w="1293"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kern w:val="0"/>
                <w:sz w:val="24"/>
              </w:rPr>
              <w:t>5</w:t>
            </w:r>
            <w:r>
              <w:rPr>
                <w:rFonts w:ascii="仿宋_GB2312" w:eastAsia="仿宋_GB2312" w:hAnsi="等线" w:cs="宋体" w:hint="eastAsia"/>
                <w:kern w:val="0"/>
                <w:sz w:val="24"/>
              </w:rPr>
              <w:t xml:space="preserve"> </w:t>
            </w:r>
          </w:p>
        </w:tc>
        <w:tc>
          <w:tcPr>
            <w:tcW w:w="1048" w:type="dxa"/>
            <w:shd w:val="clear" w:color="auto" w:fill="auto"/>
            <w:vAlign w:val="center"/>
          </w:tcPr>
          <w:p>
            <w:pPr>
              <w:widowControl/>
              <w:jc w:val="center"/>
              <w:rPr>
                <w:rFonts w:ascii="仿宋_GB2312" w:eastAsia="仿宋_GB2312" w:hAnsi="等线" w:cs="宋体"/>
                <w:kern w:val="0"/>
                <w:sz w:val="24"/>
              </w:rPr>
            </w:pPr>
            <w:r>
              <w:rPr>
                <w:rFonts w:ascii="仿宋_GB2312" w:eastAsia="仿宋_GB2312" w:hAnsi="等线" w:cs="宋体" w:hint="eastAsia"/>
                <w:kern w:val="0"/>
                <w:sz w:val="24"/>
              </w:rPr>
              <w:t>0.77%</w:t>
            </w:r>
          </w:p>
        </w:tc>
      </w:tr>
    </w:tbl>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项目单位清楚说明了支出构成的标准、数量及计算依据，并提供了相应的佐证材料，资金使用合理。</w:t>
      </w:r>
    </w:p>
    <w:p>
      <w:pPr>
        <w:spacing w:line="360" w:lineRule="auto"/>
        <w:ind w:firstLine="420" w:firstLineChars="200"/>
        <w:rPr>
          <w:rFonts w:ascii="仿宋_GB2312" w:eastAsia="仿宋_GB2312" w:hAnsi="楷体"/>
          <w:sz w:val="32"/>
          <w:szCs w:val="32"/>
        </w:rPr>
      </w:pPr>
      <w:r>
        <w:rPr>
          <w:rFonts w:ascii="仿宋_GB2312" w:eastAsia="仿宋_GB2312" w:hAnsi="楷体" w:hint="eastAsia"/>
          <w:sz w:val="32"/>
          <w:szCs w:val="32"/>
        </w:rPr>
        <w:t>根据评分标准，该指标满分5分，不扣分，得分5分。</w:t>
      </w:r>
    </w:p>
    <w:p>
      <w:pPr>
        <w:pStyle w:val="Heading2"/>
        <w:spacing w:before="120" w:after="0" w:line="360" w:lineRule="auto"/>
        <w:ind w:firstLine="420" w:firstLineChars="200"/>
        <w:rPr>
          <w:rFonts w:ascii="楷体_GB2312" w:eastAsia="楷体_GB2312" w:hAnsi="仿宋"/>
        </w:rPr>
      </w:pPr>
      <w:bookmarkStart w:id="49" w:name="_Toc486952626"/>
      <w:bookmarkStart w:id="50" w:name="_Toc75018704"/>
      <w:bookmarkStart w:id="51" w:name="_Toc112692610"/>
      <w:r>
        <w:rPr>
          <w:rFonts w:ascii="楷体_GB2312" w:eastAsia="楷体_GB2312" w:hAnsi="仿宋" w:hint="eastAsia"/>
        </w:rPr>
        <w:t>（二）项目管理</w:t>
      </w:r>
      <w:bookmarkEnd w:id="49"/>
      <w:bookmarkEnd w:id="50"/>
      <w:r>
        <w:rPr>
          <w:rFonts w:ascii="楷体_GB2312" w:eastAsia="楷体_GB2312" w:hAnsi="仿宋" w:hint="eastAsia"/>
        </w:rPr>
        <w:t>水平</w:t>
      </w:r>
      <w:bookmarkEnd w:id="51"/>
    </w:p>
    <w:p>
      <w:pPr>
        <w:spacing w:line="360" w:lineRule="auto"/>
        <w:rPr>
          <w:rFonts w:ascii="仿宋_GB2312" w:eastAsia="仿宋_GB2312" w:hAnsi="仿宋"/>
          <w:b/>
          <w:sz w:val="32"/>
          <w:szCs w:val="32"/>
        </w:rPr>
      </w:pPr>
      <w:r>
        <w:rPr>
          <w:rFonts w:ascii="仿宋_GB2312" w:eastAsia="仿宋_GB2312" w:hAnsi="仿宋" w:hint="eastAsia"/>
          <w:b/>
          <w:sz w:val="32"/>
          <w:szCs w:val="32"/>
        </w:rPr>
        <w:t xml:space="preserve">   </w:t>
      </w:r>
      <w:r>
        <w:rPr>
          <w:rFonts w:ascii="仿宋_GB2312" w:eastAsia="仿宋_GB2312" w:hAnsi="仿宋" w:cstheme="majorBidi" w:hint="eastAsia"/>
          <w:bCs/>
          <w:sz w:val="32"/>
          <w:szCs w:val="32"/>
        </w:rPr>
        <w:t xml:space="preserve"> 项目管理水平指标主要考核项目实施过程的管理情况等方面，包括项目管理情况、项目完成情况和项目实施与改进情况三个二级指标。指标满分</w:t>
      </w:r>
      <w:r>
        <w:rPr>
          <w:rFonts w:ascii="仿宋_GB2312" w:eastAsia="仿宋_GB2312" w:hAnsi="仿宋" w:cstheme="majorBidi"/>
          <w:bCs/>
          <w:sz w:val="32"/>
          <w:szCs w:val="32"/>
        </w:rPr>
        <w:t>20</w:t>
      </w:r>
      <w:r>
        <w:rPr>
          <w:rFonts w:ascii="仿宋_GB2312" w:eastAsia="仿宋_GB2312" w:hAnsi="仿宋" w:cstheme="majorBidi" w:hint="eastAsia"/>
          <w:bCs/>
          <w:sz w:val="32"/>
          <w:szCs w:val="32"/>
        </w:rPr>
        <w:t>分，综合评价得分</w:t>
      </w:r>
      <w:r>
        <w:rPr>
          <w:rFonts w:ascii="仿宋_GB2312" w:eastAsia="仿宋_GB2312" w:hAnsi="仿宋" w:cstheme="majorBidi"/>
          <w:bCs/>
          <w:sz w:val="32"/>
          <w:szCs w:val="32"/>
        </w:rPr>
        <w:t>14.5</w:t>
      </w:r>
      <w:r>
        <w:rPr>
          <w:rFonts w:ascii="仿宋_GB2312" w:eastAsia="仿宋_GB2312" w:hAnsi="仿宋" w:cstheme="majorBidi" w:hint="eastAsia"/>
          <w:bCs/>
          <w:sz w:val="32"/>
          <w:szCs w:val="32"/>
        </w:rPr>
        <w:t>分，得分率</w:t>
      </w:r>
      <w:r>
        <w:rPr>
          <w:rFonts w:ascii="仿宋_GB2312" w:eastAsia="仿宋_GB2312" w:hAnsi="仿宋" w:cstheme="majorBidi"/>
          <w:bCs/>
          <w:sz w:val="32"/>
          <w:szCs w:val="32"/>
        </w:rPr>
        <w:t>72.5</w:t>
      </w:r>
      <w:r>
        <w:rPr>
          <w:rFonts w:ascii="仿宋_GB2312" w:eastAsia="仿宋_GB2312" w:hAnsi="仿宋" w:cstheme="majorBidi" w:hint="eastAsia"/>
          <w:bCs/>
          <w:sz w:val="32"/>
          <w:szCs w:val="32"/>
        </w:rPr>
        <w:t>%。</w:t>
      </w:r>
    </w:p>
    <w:p>
      <w:pPr>
        <w:spacing w:line="360" w:lineRule="auto"/>
        <w:ind w:firstLine="420" w:firstLineChars="200"/>
        <w:rPr>
          <w:rFonts w:ascii="仿宋_GB2312" w:eastAsia="仿宋_GB2312" w:hAnsi="仿宋"/>
          <w:b/>
          <w:sz w:val="32"/>
          <w:szCs w:val="32"/>
        </w:rPr>
      </w:pPr>
      <w:r>
        <w:rPr>
          <w:rFonts w:ascii="仿宋_GB2312" w:eastAsia="仿宋_GB2312" w:hAnsi="仿宋" w:hint="eastAsia"/>
          <w:b/>
          <w:sz w:val="32"/>
          <w:szCs w:val="32"/>
        </w:rPr>
        <w:t>1.项目管理情况</w:t>
      </w:r>
    </w:p>
    <w:p>
      <w:pPr>
        <w:spacing w:line="360" w:lineRule="auto"/>
        <w:ind w:firstLine="420" w:firstLineChars="200"/>
        <w:rPr>
          <w:rFonts w:ascii="仿宋_GB2312" w:eastAsia="仿宋_GB2312" w:hAnsi="仿宋"/>
          <w:sz w:val="32"/>
          <w:szCs w:val="32"/>
        </w:rPr>
      </w:pPr>
      <w:bookmarkStart w:id="52" w:name="_Hlk112092442"/>
      <w:r>
        <w:rPr>
          <w:rFonts w:ascii="仿宋_GB2312" w:eastAsia="仿宋_GB2312" w:hAnsi="仿宋" w:hint="eastAsia"/>
          <w:sz w:val="32"/>
          <w:szCs w:val="32"/>
        </w:rPr>
        <w:t>根据区政府的指示批示精神，地质灾害项目由自然资源部门负责组织、协调地质灾害治理的勘测设计和重要设计方案论证等前期工作；财政部门和属地街道具体落实地质灾害治理项目资金；发改部门配合做好地质灾害治理项目立项；属地街道为地质灾害治理工程项目实施主体，具体负责项目工程实施。项目单位在机构改革后设立了林业矿产股，负责组织、协调地质灾害防治日常工作。</w:t>
      </w:r>
    </w:p>
    <w:p>
      <w:pPr>
        <w:spacing w:line="360" w:lineRule="auto"/>
        <w:ind w:firstLine="420" w:firstLineChars="200"/>
        <w:rPr>
          <w:rFonts w:ascii="仿宋_GB2312" w:eastAsia="仿宋_GB2312" w:hAnsi="仿宋" w:cstheme="majorBidi"/>
          <w:bCs/>
          <w:sz w:val="32"/>
          <w:szCs w:val="32"/>
        </w:rPr>
      </w:pPr>
      <w:bookmarkEnd w:id="52"/>
      <w:r>
        <w:rPr>
          <w:rFonts w:ascii="仿宋_GB2312" w:eastAsia="仿宋_GB2312" w:hAnsi="仿宋" w:cstheme="majorBidi" w:hint="eastAsia"/>
          <w:bCs/>
          <w:sz w:val="32"/>
          <w:szCs w:val="32"/>
        </w:rPr>
        <w:t>项目单位</w:t>
      </w:r>
      <w:r>
        <w:rPr>
          <w:rFonts w:ascii="仿宋_GB2312" w:eastAsia="仿宋_GB2312" w:hAnsi="仿宋" w:cs="Arial" w:hint="eastAsia"/>
          <w:kern w:val="0"/>
          <w:sz w:val="32"/>
          <w:szCs w:val="32"/>
        </w:rPr>
        <w:t>根据相关文件要求并结合本区地质灾害调查结果</w:t>
      </w:r>
      <w:r>
        <w:rPr>
          <w:rFonts w:ascii="仿宋_GB2312" w:eastAsia="仿宋_GB2312" w:hAnsi="仿宋" w:cstheme="majorBidi" w:hint="eastAsia"/>
          <w:bCs/>
          <w:sz w:val="32"/>
          <w:szCs w:val="32"/>
        </w:rPr>
        <w:t>编制了《江门市江海区2</w:t>
      </w:r>
      <w:r>
        <w:rPr>
          <w:rFonts w:ascii="仿宋_GB2312" w:eastAsia="仿宋_GB2312" w:hAnsi="仿宋" w:cstheme="majorBidi"/>
          <w:bCs/>
          <w:sz w:val="32"/>
          <w:szCs w:val="32"/>
        </w:rPr>
        <w:t>021</w:t>
      </w:r>
      <w:r>
        <w:rPr>
          <w:rFonts w:ascii="仿宋_GB2312" w:eastAsia="仿宋_GB2312" w:hAnsi="仿宋" w:cstheme="majorBidi" w:hint="eastAsia"/>
          <w:bCs/>
          <w:sz w:val="32"/>
          <w:szCs w:val="32"/>
        </w:rPr>
        <w:t>年度地质灾害防治方案》，防治方案较合理，但</w:t>
      </w:r>
      <w:bookmarkStart w:id="53" w:name="_Hlk113093795"/>
      <w:r>
        <w:rPr>
          <w:rFonts w:ascii="仿宋_GB2312" w:eastAsia="仿宋_GB2312" w:hAnsi="仿宋" w:cstheme="majorBidi" w:hint="eastAsia"/>
          <w:bCs/>
          <w:sz w:val="32"/>
          <w:szCs w:val="32"/>
        </w:rPr>
        <w:t>缺乏项目实施的具体方案</w:t>
      </w:r>
      <w:bookmarkEnd w:id="53"/>
      <w:r>
        <w:rPr>
          <w:rFonts w:ascii="仿宋_GB2312" w:eastAsia="仿宋_GB2312" w:hAnsi="仿宋" w:cstheme="majorBidi" w:hint="eastAsia"/>
          <w:bCs/>
          <w:sz w:val="32"/>
          <w:szCs w:val="32"/>
        </w:rPr>
        <w:t>。</w:t>
      </w:r>
    </w:p>
    <w:p>
      <w:pPr>
        <w:spacing w:line="360" w:lineRule="auto"/>
        <w:ind w:firstLine="420" w:firstLineChars="200"/>
        <w:rPr>
          <w:rFonts w:ascii="仿宋_GB2312" w:eastAsia="仿宋_GB2312" w:hAnsi="仿宋" w:cstheme="majorBidi"/>
          <w:bCs/>
          <w:sz w:val="32"/>
          <w:szCs w:val="32"/>
        </w:rPr>
      </w:pPr>
      <w:bookmarkStart w:id="54" w:name="_Hlk112267356"/>
      <w:bookmarkStart w:id="55" w:name="_Hlk112405213"/>
      <w:r>
        <w:rPr>
          <w:rFonts w:ascii="仿宋_GB2312" w:eastAsia="仿宋_GB2312" w:hAnsi="仿宋" w:cstheme="majorBidi" w:hint="eastAsia"/>
          <w:bCs/>
          <w:sz w:val="32"/>
          <w:szCs w:val="32"/>
        </w:rPr>
        <w:t>项目单位</w:t>
      </w:r>
      <w:bookmarkStart w:id="56" w:name="_Hlk112265932"/>
      <w:r>
        <w:rPr>
          <w:rFonts w:ascii="仿宋_GB2312" w:eastAsia="仿宋_GB2312" w:hAnsi="仿宋" w:cstheme="majorBidi" w:hint="eastAsia"/>
          <w:bCs/>
          <w:sz w:val="32"/>
          <w:szCs w:val="32"/>
        </w:rPr>
        <w:t>未针对该专项制定建立项目实施管理办法或保障措施</w:t>
      </w:r>
      <w:bookmarkEnd w:id="54"/>
      <w:bookmarkEnd w:id="56"/>
      <w:r>
        <w:rPr>
          <w:rFonts w:ascii="仿宋_GB2312" w:eastAsia="仿宋_GB2312" w:hAnsi="仿宋" w:cstheme="majorBidi" w:hint="eastAsia"/>
          <w:bCs/>
          <w:sz w:val="32"/>
          <w:szCs w:val="32"/>
        </w:rPr>
        <w:t>，</w:t>
      </w:r>
      <w:r>
        <w:rPr>
          <w:rFonts w:ascii="仿宋_GB2312" w:eastAsia="仿宋_GB2312" w:hAnsi="仿宋" w:hint="eastAsia"/>
          <w:bCs/>
          <w:sz w:val="32"/>
          <w:szCs w:val="32"/>
        </w:rPr>
        <w:t>层级管理及项目实施主体责权未有充分明确</w:t>
      </w:r>
      <w:r>
        <w:rPr>
          <w:rFonts w:ascii="仿宋_GB2312" w:eastAsia="仿宋_GB2312" w:hAnsi="仿宋" w:cstheme="majorBidi" w:hint="eastAsia"/>
          <w:bCs/>
          <w:sz w:val="32"/>
          <w:szCs w:val="32"/>
        </w:rPr>
        <w:t>。项目主要支出为地质灾害点的治理工程款，</w:t>
      </w:r>
      <w:bookmarkStart w:id="57" w:name="_Hlk112266533"/>
      <w:r>
        <w:rPr>
          <w:rFonts w:ascii="仿宋_GB2312" w:eastAsia="仿宋_GB2312" w:hAnsi="仿宋" w:hint="eastAsia"/>
          <w:sz w:val="32"/>
          <w:szCs w:val="32"/>
        </w:rPr>
        <w:t>部分治理工程进度慢，街道实施监督效果不理想，项目单位督促未到位。</w:t>
      </w:r>
    </w:p>
    <w:p>
      <w:pPr>
        <w:spacing w:line="360" w:lineRule="auto"/>
        <w:ind w:firstLine="420" w:firstLineChars="200"/>
        <w:rPr>
          <w:rFonts w:ascii="仿宋_GB2312" w:eastAsia="仿宋_GB2312" w:hAnsi="仿宋" w:cstheme="majorBidi"/>
          <w:bCs/>
          <w:sz w:val="32"/>
          <w:szCs w:val="32"/>
        </w:rPr>
      </w:pPr>
      <w:bookmarkEnd w:id="55"/>
      <w:bookmarkEnd w:id="57"/>
      <w:r>
        <w:rPr>
          <w:rFonts w:ascii="仿宋_GB2312" w:eastAsia="仿宋_GB2312" w:hAnsi="仿宋" w:cstheme="majorBidi" w:hint="eastAsia"/>
          <w:bCs/>
          <w:sz w:val="32"/>
          <w:szCs w:val="32"/>
        </w:rPr>
        <w:t>因2</w:t>
      </w:r>
      <w:r>
        <w:rPr>
          <w:rFonts w:ascii="仿宋_GB2312" w:eastAsia="仿宋_GB2312" w:hAnsi="仿宋" w:cstheme="majorBidi"/>
          <w:bCs/>
          <w:sz w:val="32"/>
          <w:szCs w:val="32"/>
        </w:rPr>
        <w:t>021</w:t>
      </w:r>
      <w:r>
        <w:rPr>
          <w:rFonts w:ascii="仿宋_GB2312" w:eastAsia="仿宋_GB2312" w:hAnsi="仿宋" w:cstheme="majorBidi" w:hint="eastAsia"/>
          <w:bCs/>
          <w:sz w:val="32"/>
          <w:szCs w:val="32"/>
        </w:rPr>
        <w:t>年中新增“外海街道东南村松仔山”地质灾害点，项目年中追加4</w:t>
      </w:r>
      <w:r>
        <w:rPr>
          <w:rFonts w:ascii="仿宋_GB2312" w:eastAsia="仿宋_GB2312" w:hAnsi="仿宋" w:cstheme="majorBidi"/>
          <w:bCs/>
          <w:sz w:val="32"/>
          <w:szCs w:val="32"/>
        </w:rPr>
        <w:t>00</w:t>
      </w:r>
      <w:r>
        <w:rPr>
          <w:rFonts w:ascii="仿宋_GB2312" w:eastAsia="仿宋_GB2312" w:hAnsi="仿宋" w:cstheme="majorBidi" w:hint="eastAsia"/>
          <w:bCs/>
          <w:sz w:val="32"/>
          <w:szCs w:val="32"/>
        </w:rPr>
        <w:t>万元资金用于支付该灾害点治理工程的工程进度款，项目单位按照规定办理了相关审批手续，项目调整内容合理。</w:t>
      </w:r>
    </w:p>
    <w:p>
      <w:pPr>
        <w:spacing w:line="360" w:lineRule="auto"/>
        <w:ind w:firstLine="420" w:firstLineChars="200"/>
        <w:rPr>
          <w:rFonts w:ascii="仿宋_GB2312" w:eastAsia="仿宋_GB2312" w:hAnsi="仿宋" w:cstheme="majorBidi"/>
          <w:bCs/>
          <w:sz w:val="32"/>
          <w:szCs w:val="32"/>
        </w:rPr>
      </w:pPr>
      <w:r>
        <w:rPr>
          <w:rFonts w:ascii="仿宋_GB2312" w:eastAsia="仿宋_GB2312" w:hAnsi="楷体" w:hint="eastAsia"/>
          <w:sz w:val="32"/>
          <w:szCs w:val="32"/>
        </w:rPr>
        <w:t>根据评分标准，该指标满分</w:t>
      </w:r>
      <w:r>
        <w:rPr>
          <w:rFonts w:ascii="仿宋_GB2312" w:eastAsia="仿宋_GB2312" w:hAnsi="楷体"/>
          <w:sz w:val="32"/>
          <w:szCs w:val="32"/>
        </w:rPr>
        <w:t>6</w:t>
      </w:r>
      <w:r>
        <w:rPr>
          <w:rFonts w:ascii="仿宋_GB2312" w:eastAsia="仿宋_GB2312" w:hAnsi="楷体" w:hint="eastAsia"/>
          <w:sz w:val="32"/>
          <w:szCs w:val="32"/>
        </w:rPr>
        <w:t>分，因</w:t>
      </w:r>
      <w:r>
        <w:rPr>
          <w:rFonts w:ascii="仿宋_GB2312" w:eastAsia="仿宋_GB2312" w:hAnsi="仿宋" w:cstheme="majorBidi" w:hint="eastAsia"/>
          <w:bCs/>
          <w:sz w:val="32"/>
          <w:szCs w:val="32"/>
        </w:rPr>
        <w:t>缺乏项目实施的具体方案以及</w:t>
      </w:r>
      <w:r>
        <w:rPr>
          <w:rFonts w:ascii="仿宋_GB2312" w:eastAsia="仿宋_GB2312" w:hAnsi="楷体" w:hint="eastAsia"/>
          <w:sz w:val="32"/>
          <w:szCs w:val="32"/>
        </w:rPr>
        <w:t>未制定建立项目实施管理办法或保障措施扣2</w:t>
      </w:r>
      <w:r>
        <w:rPr>
          <w:rFonts w:ascii="仿宋_GB2312" w:eastAsia="仿宋_GB2312" w:hAnsi="楷体"/>
          <w:sz w:val="32"/>
          <w:szCs w:val="32"/>
        </w:rPr>
        <w:t>.5</w:t>
      </w:r>
      <w:r>
        <w:rPr>
          <w:rFonts w:ascii="仿宋_GB2312" w:eastAsia="仿宋_GB2312" w:hAnsi="楷体" w:hint="eastAsia"/>
          <w:sz w:val="32"/>
          <w:szCs w:val="32"/>
        </w:rPr>
        <w:t>分，得分</w:t>
      </w:r>
      <w:r>
        <w:rPr>
          <w:rFonts w:ascii="仿宋_GB2312" w:eastAsia="仿宋_GB2312" w:hAnsi="楷体"/>
          <w:sz w:val="32"/>
          <w:szCs w:val="32"/>
        </w:rPr>
        <w:t>3.5</w:t>
      </w:r>
      <w:r>
        <w:rPr>
          <w:rFonts w:ascii="仿宋_GB2312" w:eastAsia="仿宋_GB2312" w:hAnsi="楷体" w:hint="eastAsia"/>
          <w:sz w:val="32"/>
          <w:szCs w:val="32"/>
        </w:rPr>
        <w:t>分。</w:t>
      </w:r>
    </w:p>
    <w:p>
      <w:pPr>
        <w:spacing w:line="360" w:lineRule="auto"/>
        <w:ind w:firstLine="660"/>
        <w:rPr>
          <w:rFonts w:ascii="仿宋_GB2312" w:eastAsia="仿宋_GB2312" w:hAnsi="仿宋"/>
          <w:b/>
          <w:sz w:val="32"/>
          <w:szCs w:val="32"/>
        </w:rPr>
      </w:pPr>
      <w:r>
        <w:rPr>
          <w:rFonts w:ascii="仿宋_GB2312" w:eastAsia="仿宋_GB2312" w:hAnsi="仿宋" w:hint="eastAsia"/>
          <w:b/>
          <w:sz w:val="32"/>
          <w:szCs w:val="32"/>
        </w:rPr>
        <w:t>2.项目完成情况</w:t>
      </w:r>
    </w:p>
    <w:p>
      <w:pPr>
        <w:spacing w:line="360" w:lineRule="auto"/>
        <w:ind w:firstLine="660"/>
        <w:rPr>
          <w:rFonts w:ascii="仿宋_GB2312" w:eastAsia="仿宋_GB2312" w:hAnsi="仿宋"/>
          <w:bCs/>
          <w:sz w:val="32"/>
          <w:szCs w:val="32"/>
        </w:rPr>
      </w:pPr>
      <w:r>
        <w:rPr>
          <w:rFonts w:ascii="仿宋_GB2312" w:eastAsia="仿宋_GB2312" w:hAnsi="仿宋" w:hint="eastAsia"/>
          <w:bCs/>
          <w:sz w:val="32"/>
          <w:szCs w:val="32"/>
        </w:rPr>
        <w:t>项目单位对项目工作的具体实施内容和具体实施过程表述清晰、完整。</w:t>
      </w:r>
    </w:p>
    <w:p>
      <w:pPr>
        <w:spacing w:line="360" w:lineRule="auto"/>
        <w:ind w:firstLine="660"/>
        <w:rPr>
          <w:rFonts w:ascii="仿宋_GB2312" w:eastAsia="仿宋_GB2312" w:hAnsi="仿宋"/>
          <w:bCs/>
          <w:sz w:val="32"/>
          <w:szCs w:val="32"/>
        </w:rPr>
      </w:pPr>
      <w:r>
        <w:rPr>
          <w:rFonts w:ascii="仿宋_GB2312" w:eastAsia="仿宋_GB2312" w:hAnsi="仿宋" w:hint="eastAsia"/>
          <w:bCs/>
          <w:sz w:val="32"/>
          <w:szCs w:val="32"/>
        </w:rPr>
        <w:t>项目在2</w:t>
      </w:r>
      <w:r>
        <w:rPr>
          <w:rFonts w:ascii="仿宋_GB2312" w:eastAsia="仿宋_GB2312" w:hAnsi="仿宋"/>
          <w:bCs/>
          <w:sz w:val="32"/>
          <w:szCs w:val="32"/>
        </w:rPr>
        <w:t>021</w:t>
      </w:r>
      <w:r>
        <w:rPr>
          <w:rFonts w:ascii="仿宋_GB2312" w:eastAsia="仿宋_GB2312" w:hAnsi="仿宋" w:hint="eastAsia"/>
          <w:bCs/>
          <w:sz w:val="32"/>
          <w:szCs w:val="32"/>
        </w:rPr>
        <w:t>年周期内按照计划开展，完成计划量1</w:t>
      </w:r>
      <w:r>
        <w:rPr>
          <w:rFonts w:ascii="仿宋_GB2312" w:eastAsia="仿宋_GB2312" w:hAnsi="仿宋"/>
          <w:bCs/>
          <w:sz w:val="32"/>
          <w:szCs w:val="32"/>
        </w:rPr>
        <w:t>00%</w:t>
      </w:r>
      <w:r>
        <w:rPr>
          <w:rFonts w:ascii="仿宋_GB2312" w:eastAsia="仿宋_GB2312" w:hAnsi="仿宋" w:hint="eastAsia"/>
          <w:bCs/>
          <w:sz w:val="32"/>
          <w:szCs w:val="32"/>
        </w:rPr>
        <w:t>。完成情况：</w:t>
      </w:r>
      <w:r>
        <w:rPr>
          <w:rFonts w:ascii="仿宋_GB2312" w:eastAsia="仿宋_GB2312" w:hAnsi="仿宋"/>
          <w:bCs/>
          <w:sz w:val="32"/>
          <w:szCs w:val="32"/>
        </w:rPr>
        <w:fldChar w:fldCharType="begin"/>
      </w:r>
      <w:r>
        <w:rPr>
          <w:rFonts w:ascii="仿宋_GB2312" w:eastAsia="仿宋_GB2312" w:hAnsi="仿宋"/>
          <w:bCs/>
          <w:sz w:val="32"/>
          <w:szCs w:val="32"/>
        </w:rPr>
        <w:instrText xml:space="preserve"> </w:instrText>
      </w:r>
      <w:r>
        <w:rPr>
          <w:rFonts w:ascii="仿宋_GB2312" w:eastAsia="仿宋_GB2312" w:hAnsi="仿宋" w:hint="eastAsia"/>
          <w:bCs/>
          <w:sz w:val="32"/>
          <w:szCs w:val="32"/>
        </w:rPr>
        <w:instrText>= 1 \* GB3</w:instrText>
      </w:r>
      <w:r>
        <w:rPr>
          <w:rFonts w:ascii="仿宋_GB2312" w:eastAsia="仿宋_GB2312" w:hAnsi="仿宋"/>
          <w:bCs/>
          <w:sz w:val="32"/>
          <w:szCs w:val="32"/>
        </w:rPr>
        <w:instrText xml:space="preserve"> </w:instrText>
      </w:r>
      <w:r>
        <w:rPr>
          <w:rFonts w:ascii="仿宋_GB2312" w:eastAsia="仿宋_GB2312" w:hAnsi="仿宋"/>
          <w:bCs/>
          <w:sz w:val="32"/>
          <w:szCs w:val="32"/>
        </w:rPr>
        <w:fldChar w:fldCharType="separate"/>
      </w:r>
      <w:r>
        <w:rPr>
          <w:rFonts w:ascii="仿宋_GB2312" w:eastAsia="仿宋_GB2312" w:hAnsi="仿宋" w:hint="eastAsia"/>
          <w:bCs/>
          <w:sz w:val="32"/>
          <w:szCs w:val="32"/>
        </w:rPr>
        <w:t>①</w:t>
      </w:r>
      <w:r>
        <w:rPr>
          <w:rFonts w:ascii="仿宋_GB2312" w:eastAsia="仿宋_GB2312" w:hAnsi="仿宋"/>
          <w:bCs/>
          <w:sz w:val="32"/>
          <w:szCs w:val="32"/>
        </w:rPr>
        <w:fldChar w:fldCharType="end"/>
      </w:r>
      <w:bookmarkStart w:id="58" w:name="_Hlk111996215"/>
      <w:r>
        <w:rPr>
          <w:rFonts w:ascii="仿宋_GB2312" w:eastAsia="仿宋_GB2312" w:hAnsi="仿宋" w:hint="eastAsia"/>
          <w:bCs/>
          <w:sz w:val="32"/>
          <w:szCs w:val="32"/>
        </w:rPr>
        <w:t>截止2</w:t>
      </w:r>
      <w:r>
        <w:rPr>
          <w:rFonts w:ascii="仿宋_GB2312" w:eastAsia="仿宋_GB2312" w:hAnsi="仿宋"/>
          <w:bCs/>
          <w:sz w:val="32"/>
          <w:szCs w:val="32"/>
        </w:rPr>
        <w:t>021</w:t>
      </w:r>
      <w:r>
        <w:rPr>
          <w:rFonts w:ascii="仿宋_GB2312" w:eastAsia="仿宋_GB2312" w:hAnsi="仿宋" w:hint="eastAsia"/>
          <w:bCs/>
          <w:sz w:val="32"/>
          <w:szCs w:val="32"/>
        </w:rPr>
        <w:t>年底，江南街道2019年5个地质灾害治理工程及2020年3个新增地质灾害点治理工程已完工验收</w:t>
      </w:r>
      <w:bookmarkEnd w:id="58"/>
      <w:r>
        <w:rPr>
          <w:rFonts w:ascii="仿宋_GB2312" w:eastAsia="仿宋_GB2312" w:hAnsi="仿宋" w:hint="eastAsia"/>
          <w:bCs/>
          <w:sz w:val="32"/>
          <w:szCs w:val="32"/>
        </w:rPr>
        <w:t>；</w:t>
      </w:r>
      <w:r>
        <w:rPr>
          <w:rFonts w:ascii="仿宋_GB2312" w:eastAsia="仿宋_GB2312" w:hAnsi="仿宋"/>
          <w:bCs/>
          <w:sz w:val="32"/>
          <w:szCs w:val="32"/>
        </w:rPr>
        <w:fldChar w:fldCharType="begin"/>
      </w:r>
      <w:r>
        <w:rPr>
          <w:rFonts w:ascii="仿宋_GB2312" w:eastAsia="仿宋_GB2312" w:hAnsi="仿宋"/>
          <w:bCs/>
          <w:sz w:val="32"/>
          <w:szCs w:val="32"/>
        </w:rPr>
        <w:instrText xml:space="preserve"> </w:instrText>
      </w:r>
      <w:r>
        <w:rPr>
          <w:rFonts w:ascii="仿宋_GB2312" w:eastAsia="仿宋_GB2312" w:hAnsi="仿宋" w:hint="eastAsia"/>
          <w:bCs/>
          <w:sz w:val="32"/>
          <w:szCs w:val="32"/>
        </w:rPr>
        <w:instrText>= 2 \* GB3</w:instrText>
      </w:r>
      <w:r>
        <w:rPr>
          <w:rFonts w:ascii="仿宋_GB2312" w:eastAsia="仿宋_GB2312" w:hAnsi="仿宋"/>
          <w:bCs/>
          <w:sz w:val="32"/>
          <w:szCs w:val="32"/>
        </w:rPr>
        <w:instrText xml:space="preserve"> </w:instrText>
      </w:r>
      <w:r>
        <w:rPr>
          <w:rFonts w:ascii="仿宋_GB2312" w:eastAsia="仿宋_GB2312" w:hAnsi="仿宋"/>
          <w:bCs/>
          <w:sz w:val="32"/>
          <w:szCs w:val="32"/>
        </w:rPr>
        <w:fldChar w:fldCharType="separate"/>
      </w:r>
      <w:r>
        <w:rPr>
          <w:rFonts w:ascii="仿宋_GB2312" w:eastAsia="仿宋_GB2312" w:hAnsi="仿宋" w:hint="eastAsia"/>
          <w:bCs/>
          <w:sz w:val="32"/>
          <w:szCs w:val="32"/>
        </w:rPr>
        <w:t>②</w:t>
      </w:r>
      <w:r>
        <w:rPr>
          <w:rFonts w:ascii="仿宋_GB2312" w:eastAsia="仿宋_GB2312" w:hAnsi="仿宋"/>
          <w:bCs/>
          <w:sz w:val="32"/>
          <w:szCs w:val="32"/>
        </w:rPr>
        <w:fldChar w:fldCharType="end"/>
      </w:r>
      <w:r>
        <w:rPr>
          <w:rFonts w:ascii="仿宋_GB2312" w:eastAsia="仿宋_GB2312" w:hAnsi="仿宋" w:hint="eastAsia"/>
          <w:bCs/>
          <w:sz w:val="32"/>
          <w:szCs w:val="32"/>
        </w:rPr>
        <w:t>外海街道东南村松仔山地质灾害治理工程于2</w:t>
      </w:r>
      <w:r>
        <w:rPr>
          <w:rFonts w:ascii="仿宋_GB2312" w:eastAsia="仿宋_GB2312" w:hAnsi="仿宋"/>
          <w:bCs/>
          <w:sz w:val="32"/>
          <w:szCs w:val="32"/>
        </w:rPr>
        <w:t>021</w:t>
      </w:r>
      <w:r>
        <w:rPr>
          <w:rFonts w:ascii="仿宋_GB2312" w:eastAsia="仿宋_GB2312" w:hAnsi="仿宋" w:hint="eastAsia"/>
          <w:bCs/>
          <w:sz w:val="32"/>
          <w:szCs w:val="32"/>
        </w:rPr>
        <w:t>年1</w:t>
      </w:r>
      <w:r>
        <w:rPr>
          <w:rFonts w:ascii="仿宋_GB2312" w:eastAsia="仿宋_GB2312" w:hAnsi="仿宋"/>
          <w:bCs/>
          <w:sz w:val="32"/>
          <w:szCs w:val="32"/>
        </w:rPr>
        <w:t>1</w:t>
      </w:r>
      <w:r>
        <w:rPr>
          <w:rFonts w:ascii="仿宋_GB2312" w:eastAsia="仿宋_GB2312" w:hAnsi="仿宋" w:hint="eastAsia"/>
          <w:bCs/>
          <w:sz w:val="32"/>
          <w:szCs w:val="32"/>
        </w:rPr>
        <w:t>月开工，至2</w:t>
      </w:r>
      <w:r>
        <w:rPr>
          <w:rFonts w:ascii="仿宋_GB2312" w:eastAsia="仿宋_GB2312" w:hAnsi="仿宋"/>
          <w:bCs/>
          <w:sz w:val="32"/>
          <w:szCs w:val="32"/>
        </w:rPr>
        <w:t>021</w:t>
      </w:r>
      <w:r>
        <w:rPr>
          <w:rFonts w:ascii="仿宋_GB2312" w:eastAsia="仿宋_GB2312" w:hAnsi="仿宋" w:hint="eastAsia"/>
          <w:bCs/>
          <w:sz w:val="32"/>
          <w:szCs w:val="32"/>
        </w:rPr>
        <w:t>年底工程进度为3</w:t>
      </w:r>
      <w:r>
        <w:rPr>
          <w:rFonts w:ascii="仿宋_GB2312" w:eastAsia="仿宋_GB2312" w:hAnsi="仿宋"/>
          <w:bCs/>
          <w:sz w:val="32"/>
          <w:szCs w:val="32"/>
        </w:rPr>
        <w:t>0%</w:t>
      </w:r>
      <w:r>
        <w:rPr>
          <w:rFonts w:ascii="仿宋_GB2312" w:eastAsia="仿宋_GB2312" w:hAnsi="仿宋" w:hint="eastAsia"/>
          <w:bCs/>
          <w:sz w:val="32"/>
          <w:szCs w:val="32"/>
        </w:rPr>
        <w:t>；</w:t>
      </w:r>
      <w:r>
        <w:rPr>
          <w:rFonts w:ascii="仿宋_GB2312" w:eastAsia="仿宋_GB2312" w:hAnsi="仿宋"/>
          <w:bCs/>
          <w:sz w:val="32"/>
          <w:szCs w:val="32"/>
        </w:rPr>
        <w:fldChar w:fldCharType="begin"/>
      </w:r>
      <w:r>
        <w:rPr>
          <w:rFonts w:ascii="仿宋_GB2312" w:eastAsia="仿宋_GB2312" w:hAnsi="仿宋"/>
          <w:bCs/>
          <w:sz w:val="32"/>
          <w:szCs w:val="32"/>
        </w:rPr>
        <w:instrText xml:space="preserve"> </w:instrText>
      </w:r>
      <w:r>
        <w:rPr>
          <w:rFonts w:ascii="仿宋_GB2312" w:eastAsia="仿宋_GB2312" w:hAnsi="仿宋" w:hint="eastAsia"/>
          <w:bCs/>
          <w:sz w:val="32"/>
          <w:szCs w:val="32"/>
        </w:rPr>
        <w:instrText>= 3 \* GB3</w:instrText>
      </w:r>
      <w:r>
        <w:rPr>
          <w:rFonts w:ascii="仿宋_GB2312" w:eastAsia="仿宋_GB2312" w:hAnsi="仿宋"/>
          <w:bCs/>
          <w:sz w:val="32"/>
          <w:szCs w:val="32"/>
        </w:rPr>
        <w:instrText xml:space="preserve"> </w:instrText>
      </w:r>
      <w:r>
        <w:rPr>
          <w:rFonts w:ascii="仿宋_GB2312" w:eastAsia="仿宋_GB2312" w:hAnsi="仿宋"/>
          <w:bCs/>
          <w:sz w:val="32"/>
          <w:szCs w:val="32"/>
        </w:rPr>
        <w:fldChar w:fldCharType="separate"/>
      </w:r>
      <w:r>
        <w:rPr>
          <w:rFonts w:ascii="仿宋_GB2312" w:eastAsia="仿宋_GB2312" w:hAnsi="仿宋" w:hint="eastAsia"/>
          <w:bCs/>
          <w:sz w:val="32"/>
          <w:szCs w:val="32"/>
        </w:rPr>
        <w:t>③</w:t>
      </w:r>
      <w:r>
        <w:rPr>
          <w:rFonts w:ascii="仿宋_GB2312" w:eastAsia="仿宋_GB2312" w:hAnsi="仿宋"/>
          <w:bCs/>
          <w:sz w:val="32"/>
          <w:szCs w:val="32"/>
        </w:rPr>
        <w:fldChar w:fldCharType="end"/>
      </w:r>
      <w:r>
        <w:rPr>
          <w:rFonts w:ascii="仿宋_GB2312" w:eastAsia="仿宋_GB2312" w:hAnsi="仿宋" w:hint="eastAsia"/>
          <w:bCs/>
          <w:sz w:val="32"/>
          <w:szCs w:val="32"/>
        </w:rPr>
        <w:t>地质灾害点监测设备于2</w:t>
      </w:r>
      <w:r>
        <w:rPr>
          <w:rFonts w:ascii="仿宋_GB2312" w:eastAsia="仿宋_GB2312" w:hAnsi="仿宋"/>
          <w:bCs/>
          <w:sz w:val="32"/>
          <w:szCs w:val="32"/>
        </w:rPr>
        <w:t>021</w:t>
      </w:r>
      <w:r>
        <w:rPr>
          <w:rFonts w:ascii="仿宋_GB2312" w:eastAsia="仿宋_GB2312" w:hAnsi="仿宋" w:hint="eastAsia"/>
          <w:bCs/>
          <w:sz w:val="32"/>
          <w:szCs w:val="32"/>
        </w:rPr>
        <w:t>年1</w:t>
      </w:r>
      <w:r>
        <w:rPr>
          <w:rFonts w:ascii="仿宋_GB2312" w:eastAsia="仿宋_GB2312" w:hAnsi="仿宋"/>
          <w:bCs/>
          <w:sz w:val="32"/>
          <w:szCs w:val="32"/>
        </w:rPr>
        <w:t>1</w:t>
      </w:r>
      <w:r>
        <w:rPr>
          <w:rFonts w:ascii="仿宋_GB2312" w:eastAsia="仿宋_GB2312" w:hAnsi="仿宋" w:hint="eastAsia"/>
          <w:bCs/>
          <w:sz w:val="32"/>
          <w:szCs w:val="32"/>
        </w:rPr>
        <w:t>月8日完工验收通过；</w:t>
      </w:r>
      <w:r>
        <w:rPr>
          <w:rFonts w:ascii="仿宋_GB2312" w:eastAsia="仿宋_GB2312" w:hAnsi="仿宋"/>
          <w:bCs/>
          <w:sz w:val="32"/>
          <w:szCs w:val="32"/>
        </w:rPr>
        <w:fldChar w:fldCharType="begin"/>
      </w:r>
      <w:r>
        <w:rPr>
          <w:rFonts w:ascii="仿宋_GB2312" w:eastAsia="仿宋_GB2312" w:hAnsi="仿宋"/>
          <w:bCs/>
          <w:sz w:val="32"/>
          <w:szCs w:val="32"/>
        </w:rPr>
        <w:instrText xml:space="preserve"> </w:instrText>
      </w:r>
      <w:r>
        <w:rPr>
          <w:rFonts w:ascii="仿宋_GB2312" w:eastAsia="仿宋_GB2312" w:hAnsi="仿宋" w:hint="eastAsia"/>
          <w:bCs/>
          <w:sz w:val="32"/>
          <w:szCs w:val="32"/>
        </w:rPr>
        <w:instrText>= 4 \* GB3</w:instrText>
      </w:r>
      <w:r>
        <w:rPr>
          <w:rFonts w:ascii="仿宋_GB2312" w:eastAsia="仿宋_GB2312" w:hAnsi="仿宋"/>
          <w:bCs/>
          <w:sz w:val="32"/>
          <w:szCs w:val="32"/>
        </w:rPr>
        <w:instrText xml:space="preserve"> </w:instrText>
      </w:r>
      <w:r>
        <w:rPr>
          <w:rFonts w:ascii="仿宋_GB2312" w:eastAsia="仿宋_GB2312" w:hAnsi="仿宋"/>
          <w:bCs/>
          <w:sz w:val="32"/>
          <w:szCs w:val="32"/>
        </w:rPr>
        <w:fldChar w:fldCharType="separate"/>
      </w:r>
      <w:r>
        <w:rPr>
          <w:rFonts w:ascii="仿宋_GB2312" w:eastAsia="仿宋_GB2312" w:hAnsi="仿宋" w:hint="eastAsia"/>
          <w:bCs/>
          <w:sz w:val="32"/>
          <w:szCs w:val="32"/>
        </w:rPr>
        <w:t>④</w:t>
      </w:r>
      <w:r>
        <w:rPr>
          <w:rFonts w:ascii="仿宋_GB2312" w:eastAsia="仿宋_GB2312" w:hAnsi="仿宋"/>
          <w:bCs/>
          <w:sz w:val="32"/>
          <w:szCs w:val="32"/>
        </w:rPr>
        <w:fldChar w:fldCharType="end"/>
      </w:r>
      <w:r>
        <w:rPr>
          <w:rFonts w:ascii="仿宋_GB2312" w:eastAsia="仿宋_GB2312" w:hAnsi="仿宋" w:hint="eastAsia"/>
          <w:bCs/>
          <w:sz w:val="32"/>
          <w:szCs w:val="32"/>
        </w:rPr>
        <w:t>地质灾害监测与技术支撑项目为委托服务类型，服务方按照合同要求完成地质灾害日常巡查，并提供巡查简报。</w:t>
      </w:r>
    </w:p>
    <w:p>
      <w:pPr>
        <w:spacing w:line="360" w:lineRule="auto"/>
        <w:ind w:firstLine="660"/>
        <w:rPr>
          <w:rFonts w:ascii="仿宋_GB2312" w:eastAsia="仿宋_GB2312" w:hAnsi="仿宋"/>
          <w:bCs/>
          <w:sz w:val="32"/>
          <w:szCs w:val="32"/>
        </w:rPr>
      </w:pPr>
      <w:r>
        <w:rPr>
          <w:rFonts w:ascii="仿宋_GB2312" w:eastAsia="仿宋_GB2312" w:hAnsi="仿宋" w:hint="eastAsia"/>
          <w:bCs/>
          <w:sz w:val="32"/>
          <w:szCs w:val="32"/>
        </w:rPr>
        <w:t>已完工的工程项目和设备建设项目均进行了完工验收，且能提供相关验收报告。</w:t>
      </w:r>
    </w:p>
    <w:p>
      <w:pPr>
        <w:spacing w:line="360" w:lineRule="auto"/>
        <w:ind w:firstLine="420" w:firstLineChars="200"/>
        <w:rPr>
          <w:rFonts w:ascii="仿宋_GB2312" w:eastAsia="仿宋_GB2312" w:hAnsi="仿宋" w:cstheme="majorBidi"/>
          <w:bCs/>
          <w:sz w:val="32"/>
          <w:szCs w:val="32"/>
        </w:rPr>
      </w:pPr>
      <w:r>
        <w:rPr>
          <w:rFonts w:ascii="仿宋_GB2312" w:eastAsia="仿宋_GB2312" w:hAnsi="楷体" w:hint="eastAsia"/>
          <w:sz w:val="32"/>
          <w:szCs w:val="32"/>
        </w:rPr>
        <w:t>根据评分标准，该指标满分</w:t>
      </w:r>
      <w:r>
        <w:rPr>
          <w:rFonts w:ascii="仿宋_GB2312" w:eastAsia="仿宋_GB2312" w:hAnsi="楷体"/>
          <w:sz w:val="32"/>
          <w:szCs w:val="32"/>
        </w:rPr>
        <w:t>9</w:t>
      </w:r>
      <w:r>
        <w:rPr>
          <w:rFonts w:ascii="仿宋_GB2312" w:eastAsia="仿宋_GB2312" w:hAnsi="楷体" w:hint="eastAsia"/>
          <w:sz w:val="32"/>
          <w:szCs w:val="32"/>
        </w:rPr>
        <w:t>分，不扣分，得分</w:t>
      </w:r>
      <w:r>
        <w:rPr>
          <w:rFonts w:ascii="仿宋_GB2312" w:eastAsia="仿宋_GB2312" w:hAnsi="楷体"/>
          <w:sz w:val="32"/>
          <w:szCs w:val="32"/>
        </w:rPr>
        <w:t>9</w:t>
      </w:r>
      <w:r>
        <w:rPr>
          <w:rFonts w:ascii="仿宋_GB2312" w:eastAsia="仿宋_GB2312" w:hAnsi="楷体" w:hint="eastAsia"/>
          <w:sz w:val="32"/>
          <w:szCs w:val="32"/>
        </w:rPr>
        <w:t>分。</w:t>
      </w:r>
    </w:p>
    <w:p>
      <w:pPr>
        <w:spacing w:line="360" w:lineRule="auto"/>
        <w:ind w:firstLine="420" w:firstLineChars="200"/>
        <w:rPr>
          <w:rFonts w:ascii="仿宋_GB2312" w:eastAsia="仿宋_GB2312" w:hAnsi="仿宋"/>
          <w:b/>
          <w:sz w:val="32"/>
          <w:szCs w:val="32"/>
        </w:rPr>
      </w:pPr>
      <w:r>
        <w:rPr>
          <w:rFonts w:ascii="仿宋_GB2312" w:eastAsia="仿宋_GB2312" w:hAnsi="仿宋"/>
          <w:b/>
          <w:sz w:val="32"/>
          <w:szCs w:val="32"/>
        </w:rPr>
        <w:t>3.</w:t>
      </w:r>
      <w:r>
        <w:rPr>
          <w:rFonts w:ascii="仿宋_GB2312" w:eastAsia="仿宋_GB2312" w:hAnsi="仿宋" w:hint="eastAsia"/>
          <w:b/>
          <w:sz w:val="32"/>
          <w:szCs w:val="32"/>
        </w:rPr>
        <w:t>项目实施与改进情况</w:t>
      </w:r>
    </w:p>
    <w:p>
      <w:pPr>
        <w:spacing w:line="360" w:lineRule="auto"/>
        <w:ind w:firstLine="420" w:firstLineChars="200"/>
        <w:rPr>
          <w:rFonts w:ascii="仿宋_GB2312" w:eastAsia="仿宋_GB2312" w:hAnsi="仿宋"/>
          <w:sz w:val="32"/>
          <w:szCs w:val="32"/>
        </w:rPr>
      </w:pPr>
      <w:r>
        <w:rPr>
          <w:rFonts w:ascii="仿宋_GB2312" w:eastAsia="仿宋_GB2312" w:hAnsi="仿宋" w:hint="eastAsia"/>
          <w:sz w:val="32"/>
          <w:szCs w:val="32"/>
        </w:rPr>
        <w:t>项目单位未</w:t>
      </w:r>
      <w:bookmarkStart w:id="59" w:name="_Hlk112057927"/>
      <w:r>
        <w:rPr>
          <w:rFonts w:ascii="仿宋_GB2312" w:eastAsia="仿宋_GB2312" w:hAnsi="仿宋" w:hint="eastAsia"/>
          <w:sz w:val="32"/>
          <w:szCs w:val="32"/>
        </w:rPr>
        <w:t>对项目开展的影响因素及改进情况进行总结。</w:t>
      </w:r>
    </w:p>
    <w:p>
      <w:pPr>
        <w:spacing w:line="360" w:lineRule="auto"/>
        <w:ind w:firstLine="420" w:firstLineChars="200"/>
        <w:rPr>
          <w:rFonts w:ascii="仿宋_GB2312" w:eastAsia="仿宋_GB2312" w:hAnsi="仿宋" w:cstheme="majorBidi"/>
          <w:bCs/>
          <w:sz w:val="32"/>
          <w:szCs w:val="32"/>
        </w:rPr>
      </w:pPr>
      <w:bookmarkEnd w:id="59"/>
      <w:r>
        <w:rPr>
          <w:rFonts w:ascii="仿宋_GB2312" w:eastAsia="仿宋_GB2312" w:hAnsi="楷体" w:hint="eastAsia"/>
          <w:sz w:val="32"/>
          <w:szCs w:val="32"/>
        </w:rPr>
        <w:t>根据评分标准，该指标满分</w:t>
      </w:r>
      <w:r>
        <w:rPr>
          <w:rFonts w:ascii="仿宋_GB2312" w:eastAsia="仿宋_GB2312" w:hAnsi="楷体"/>
          <w:sz w:val="32"/>
          <w:szCs w:val="32"/>
        </w:rPr>
        <w:t>5</w:t>
      </w:r>
      <w:r>
        <w:rPr>
          <w:rFonts w:ascii="仿宋_GB2312" w:eastAsia="仿宋_GB2312" w:hAnsi="楷体" w:hint="eastAsia"/>
          <w:sz w:val="32"/>
          <w:szCs w:val="32"/>
        </w:rPr>
        <w:t>分，因未对项目开发的影响因素及改进情况进行总结扣</w:t>
      </w:r>
      <w:r>
        <w:rPr>
          <w:rFonts w:ascii="仿宋_GB2312" w:eastAsia="仿宋_GB2312" w:hAnsi="楷体"/>
          <w:sz w:val="32"/>
          <w:szCs w:val="32"/>
        </w:rPr>
        <w:t>3</w:t>
      </w:r>
      <w:r>
        <w:rPr>
          <w:rFonts w:ascii="仿宋_GB2312" w:eastAsia="仿宋_GB2312" w:hAnsi="楷体" w:hint="eastAsia"/>
          <w:sz w:val="32"/>
          <w:szCs w:val="32"/>
        </w:rPr>
        <w:t>分，得分</w:t>
      </w:r>
      <w:r>
        <w:rPr>
          <w:rFonts w:ascii="仿宋_GB2312" w:eastAsia="仿宋_GB2312" w:hAnsi="楷体"/>
          <w:sz w:val="32"/>
          <w:szCs w:val="32"/>
        </w:rPr>
        <w:t>2</w:t>
      </w:r>
      <w:r>
        <w:rPr>
          <w:rFonts w:ascii="仿宋_GB2312" w:eastAsia="仿宋_GB2312" w:hAnsi="楷体" w:hint="eastAsia"/>
          <w:sz w:val="32"/>
          <w:szCs w:val="32"/>
        </w:rPr>
        <w:t>分。</w:t>
      </w:r>
    </w:p>
    <w:p>
      <w:pPr>
        <w:pStyle w:val="Heading2"/>
        <w:spacing w:before="120" w:after="0" w:line="360" w:lineRule="auto"/>
        <w:ind w:left="710"/>
        <w:rPr>
          <w:rFonts w:ascii="楷体_GB2312" w:eastAsia="楷体_GB2312" w:hAnsi="仿宋"/>
        </w:rPr>
      </w:pPr>
      <w:bookmarkStart w:id="60" w:name="_Toc112692611"/>
      <w:bookmarkStart w:id="61" w:name="_Toc75018705"/>
      <w:r>
        <w:rPr>
          <w:rFonts w:ascii="楷体_GB2312" w:eastAsia="楷体_GB2312" w:hAnsi="仿宋" w:hint="eastAsia"/>
        </w:rPr>
        <w:t>（三）项目开展绩效</w:t>
      </w:r>
      <w:bookmarkEnd w:id="60"/>
      <w:bookmarkEnd w:id="61"/>
    </w:p>
    <w:p>
      <w:pPr>
        <w:spacing w:line="360" w:lineRule="auto"/>
        <w:ind w:firstLine="420" w:firstLineChars="200"/>
        <w:rPr>
          <w:rFonts w:ascii="仿宋_GB2312" w:eastAsia="仿宋_GB2312" w:hAnsi="仿宋"/>
          <w:b/>
          <w:sz w:val="32"/>
          <w:szCs w:val="32"/>
        </w:rPr>
      </w:pPr>
      <w:r>
        <w:rPr>
          <w:rFonts w:ascii="仿宋_GB2312" w:eastAsia="仿宋_GB2312" w:hAnsi="仿宋" w:cstheme="majorBidi" w:hint="eastAsia"/>
          <w:bCs/>
          <w:sz w:val="32"/>
          <w:szCs w:val="32"/>
        </w:rPr>
        <w:t>项目开展绩效指标主要考核评价指标设置的合理性和项目实施效益情况，包括评价指标体系和评价标准的科学性和合理性以及</w:t>
      </w:r>
      <w:bookmarkStart w:id="62" w:name="_Hlk111999430"/>
      <w:r>
        <w:rPr>
          <w:rFonts w:ascii="仿宋_GB2312" w:eastAsia="仿宋_GB2312" w:hAnsi="仿宋" w:cstheme="majorBidi" w:hint="eastAsia"/>
          <w:bCs/>
          <w:sz w:val="32"/>
          <w:szCs w:val="32"/>
        </w:rPr>
        <w:t>绩效目标的完成程度</w:t>
      </w:r>
      <w:bookmarkEnd w:id="62"/>
      <w:r>
        <w:rPr>
          <w:rFonts w:ascii="仿宋_GB2312" w:eastAsia="仿宋_GB2312" w:hAnsi="仿宋" w:cstheme="majorBidi" w:hint="eastAsia"/>
          <w:bCs/>
          <w:sz w:val="32"/>
          <w:szCs w:val="32"/>
        </w:rPr>
        <w:t>两个二级指标。指标满分</w:t>
      </w:r>
      <w:r>
        <w:rPr>
          <w:rFonts w:ascii="仿宋_GB2312" w:eastAsia="仿宋_GB2312" w:hAnsi="仿宋" w:cstheme="majorBidi"/>
          <w:bCs/>
          <w:sz w:val="32"/>
          <w:szCs w:val="32"/>
        </w:rPr>
        <w:t>50</w:t>
      </w:r>
      <w:r>
        <w:rPr>
          <w:rFonts w:ascii="仿宋_GB2312" w:eastAsia="仿宋_GB2312" w:hAnsi="仿宋" w:cstheme="majorBidi" w:hint="eastAsia"/>
          <w:bCs/>
          <w:sz w:val="32"/>
          <w:szCs w:val="32"/>
        </w:rPr>
        <w:t>分，综合评价得分</w:t>
      </w:r>
      <w:r>
        <w:rPr>
          <w:rFonts w:ascii="仿宋_GB2312" w:eastAsia="仿宋_GB2312" w:hAnsi="仿宋" w:cstheme="majorBidi"/>
          <w:bCs/>
          <w:sz w:val="32"/>
          <w:szCs w:val="32"/>
        </w:rPr>
        <w:t>47</w:t>
      </w:r>
      <w:r>
        <w:rPr>
          <w:rFonts w:ascii="仿宋_GB2312" w:eastAsia="仿宋_GB2312" w:hAnsi="仿宋" w:cstheme="majorBidi" w:hint="eastAsia"/>
          <w:bCs/>
          <w:sz w:val="32"/>
          <w:szCs w:val="32"/>
        </w:rPr>
        <w:t>分，得分率</w:t>
      </w:r>
      <w:r>
        <w:rPr>
          <w:rFonts w:ascii="仿宋_GB2312" w:eastAsia="仿宋_GB2312" w:hAnsi="仿宋" w:cstheme="majorBidi"/>
          <w:bCs/>
          <w:sz w:val="32"/>
          <w:szCs w:val="32"/>
        </w:rPr>
        <w:t>94</w:t>
      </w:r>
      <w:r>
        <w:rPr>
          <w:rFonts w:ascii="仿宋_GB2312" w:eastAsia="仿宋_GB2312" w:hAnsi="仿宋" w:cstheme="majorBidi" w:hint="eastAsia"/>
          <w:bCs/>
          <w:sz w:val="32"/>
          <w:szCs w:val="32"/>
        </w:rPr>
        <w:t>%。</w:t>
      </w:r>
    </w:p>
    <w:p>
      <w:pPr>
        <w:spacing w:line="360" w:lineRule="auto"/>
        <w:ind w:firstLine="420" w:firstLineChars="200"/>
        <w:rPr>
          <w:rFonts w:ascii="仿宋_GB2312" w:eastAsia="仿宋_GB2312" w:hAnsi="仿宋"/>
          <w:b/>
          <w:sz w:val="32"/>
          <w:szCs w:val="32"/>
        </w:rPr>
      </w:pPr>
      <w:r>
        <w:rPr>
          <w:rFonts w:ascii="仿宋_GB2312" w:eastAsia="仿宋_GB2312" w:hAnsi="仿宋" w:hint="eastAsia"/>
          <w:b/>
          <w:sz w:val="32"/>
          <w:szCs w:val="32"/>
        </w:rPr>
        <w:t>1.</w:t>
      </w:r>
      <w:r>
        <w:rPr>
          <w:rFonts w:hint="eastAsia"/>
        </w:rPr>
        <w:t xml:space="preserve"> </w:t>
      </w:r>
      <w:r>
        <w:rPr>
          <w:rFonts w:ascii="仿宋_GB2312" w:eastAsia="仿宋_GB2312" w:hAnsi="仿宋" w:hint="eastAsia"/>
          <w:b/>
          <w:sz w:val="32"/>
          <w:szCs w:val="32"/>
        </w:rPr>
        <w:t>评价指标体系和评价标准的科学性和合理性</w:t>
      </w:r>
    </w:p>
    <w:p>
      <w:pPr>
        <w:spacing w:line="360" w:lineRule="auto"/>
        <w:ind w:firstLine="420" w:firstLineChars="200"/>
        <w:rPr>
          <w:rFonts w:ascii="仿宋_GB2312" w:eastAsia="仿宋_GB2312" w:hAnsi="仿宋" w:cstheme="majorBidi"/>
          <w:bCs/>
          <w:sz w:val="32"/>
          <w:szCs w:val="32"/>
        </w:rPr>
      </w:pPr>
      <w:bookmarkStart w:id="63" w:name="_Hlk112266877"/>
      <w:r>
        <w:rPr>
          <w:rFonts w:ascii="仿宋_GB2312" w:eastAsia="仿宋_GB2312" w:hAnsi="仿宋" w:cstheme="majorBidi" w:hint="eastAsia"/>
          <w:bCs/>
          <w:sz w:val="32"/>
          <w:szCs w:val="32"/>
        </w:rPr>
        <w:t>项目评价指标设置能运用定量指标与定性指标相结合，也结合项目特点设置了个性化的评价指标，但指标设置不够全面，未能全面反映项目实施效果。</w:t>
      </w:r>
      <w:bookmarkEnd w:id="63"/>
      <w:r>
        <w:rPr>
          <w:rFonts w:ascii="仿宋_GB2312" w:eastAsia="仿宋_GB2312" w:hAnsi="仿宋" w:cstheme="majorBidi" w:hint="eastAsia"/>
          <w:bCs/>
          <w:sz w:val="32"/>
          <w:szCs w:val="32"/>
        </w:rPr>
        <w:t>项目主要资金用于支付灾害治理工程款，</w:t>
      </w:r>
      <w:bookmarkStart w:id="64" w:name="_Hlk112397068"/>
      <w:r>
        <w:rPr>
          <w:rFonts w:ascii="仿宋_GB2312" w:eastAsia="仿宋_GB2312" w:hAnsi="仿宋" w:cstheme="majorBidi" w:hint="eastAsia"/>
          <w:bCs/>
          <w:sz w:val="32"/>
          <w:szCs w:val="32"/>
        </w:rPr>
        <w:t>绩效指标的设置缺乏反映工程类项目实施效果的关键指标，</w:t>
      </w:r>
      <w:bookmarkEnd w:id="64"/>
      <w:r>
        <w:rPr>
          <w:rFonts w:ascii="仿宋_GB2312" w:eastAsia="仿宋_GB2312" w:hAnsi="仿宋" w:cstheme="majorBidi" w:hint="eastAsia"/>
          <w:bCs/>
          <w:sz w:val="32"/>
          <w:szCs w:val="32"/>
        </w:rPr>
        <w:t>为更好的反映项目实施效果，</w:t>
      </w:r>
      <w:bookmarkStart w:id="65" w:name="_Hlk112518611"/>
      <w:r>
        <w:rPr>
          <w:rFonts w:ascii="仿宋_GB2312" w:eastAsia="仿宋_GB2312" w:hAnsi="仿宋" w:cstheme="majorBidi" w:hint="eastAsia"/>
          <w:bCs/>
          <w:sz w:val="32"/>
          <w:szCs w:val="32"/>
        </w:rPr>
        <w:t>建议可增设项目验收合格率（质量指标）、工程进度完成率（时效指标）、工程预算成本控制率（成本指标）</w:t>
      </w:r>
      <w:bookmarkEnd w:id="65"/>
      <w:r>
        <w:rPr>
          <w:rFonts w:ascii="仿宋_GB2312" w:eastAsia="仿宋_GB2312" w:hAnsi="仿宋" w:cstheme="majorBidi" w:hint="eastAsia"/>
          <w:bCs/>
          <w:sz w:val="32"/>
          <w:szCs w:val="32"/>
        </w:rPr>
        <w:t>；</w:t>
      </w:r>
      <w:r>
        <w:rPr>
          <w:rFonts w:ascii="仿宋_GB2312" w:eastAsia="仿宋_GB2312" w:hAnsi="仿宋" w:hint="eastAsia"/>
          <w:sz w:val="32"/>
          <w:szCs w:val="32"/>
        </w:rPr>
        <w:t>以项目实施过程中受影响的企业集体或群众为调查对象，制定科学合理的满意度指标。</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已设置指标的评价标准的设置较科学、合理。</w:t>
      </w:r>
    </w:p>
    <w:p>
      <w:pPr>
        <w:spacing w:line="360" w:lineRule="auto"/>
        <w:ind w:firstLine="420" w:firstLineChars="200"/>
        <w:rPr>
          <w:rFonts w:ascii="仿宋_GB2312" w:eastAsia="仿宋_GB2312" w:hAnsi="仿宋" w:cstheme="majorBidi"/>
          <w:bCs/>
          <w:sz w:val="32"/>
          <w:szCs w:val="32"/>
        </w:rPr>
      </w:pPr>
      <w:r>
        <w:rPr>
          <w:rFonts w:ascii="仿宋_GB2312" w:eastAsia="仿宋_GB2312" w:hAnsi="楷体" w:hint="eastAsia"/>
          <w:sz w:val="32"/>
          <w:szCs w:val="32"/>
        </w:rPr>
        <w:t>根据评分标准，该指标满分</w:t>
      </w:r>
      <w:r>
        <w:rPr>
          <w:rFonts w:ascii="仿宋_GB2312" w:eastAsia="仿宋_GB2312" w:hAnsi="楷体"/>
          <w:sz w:val="32"/>
          <w:szCs w:val="32"/>
        </w:rPr>
        <w:t>10</w:t>
      </w:r>
      <w:r>
        <w:rPr>
          <w:rFonts w:ascii="仿宋_GB2312" w:eastAsia="仿宋_GB2312" w:hAnsi="楷体" w:hint="eastAsia"/>
          <w:sz w:val="32"/>
          <w:szCs w:val="32"/>
        </w:rPr>
        <w:t>分，因指标设置不够全面扣</w:t>
      </w:r>
      <w:r>
        <w:rPr>
          <w:rFonts w:ascii="仿宋_GB2312" w:eastAsia="仿宋_GB2312" w:hAnsi="楷体"/>
          <w:sz w:val="32"/>
          <w:szCs w:val="32"/>
        </w:rPr>
        <w:t>2</w:t>
      </w:r>
      <w:r>
        <w:rPr>
          <w:rFonts w:ascii="仿宋_GB2312" w:eastAsia="仿宋_GB2312" w:hAnsi="楷体" w:hint="eastAsia"/>
          <w:sz w:val="32"/>
          <w:szCs w:val="32"/>
        </w:rPr>
        <w:t>分，得分</w:t>
      </w:r>
      <w:r>
        <w:rPr>
          <w:rFonts w:ascii="仿宋_GB2312" w:eastAsia="仿宋_GB2312" w:hAnsi="楷体"/>
          <w:sz w:val="32"/>
          <w:szCs w:val="32"/>
        </w:rPr>
        <w:t>8</w:t>
      </w:r>
      <w:r>
        <w:rPr>
          <w:rFonts w:ascii="仿宋_GB2312" w:eastAsia="仿宋_GB2312" w:hAnsi="楷体" w:hint="eastAsia"/>
          <w:sz w:val="32"/>
          <w:szCs w:val="32"/>
        </w:rPr>
        <w:t>分。</w:t>
      </w:r>
    </w:p>
    <w:p>
      <w:pPr>
        <w:spacing w:line="360" w:lineRule="auto"/>
        <w:ind w:firstLine="420" w:firstLineChars="200"/>
        <w:rPr>
          <w:rFonts w:ascii="仿宋_GB2312" w:eastAsia="仿宋_GB2312" w:hAnsi="仿宋"/>
          <w:b/>
          <w:sz w:val="32"/>
          <w:szCs w:val="32"/>
        </w:rPr>
      </w:pPr>
      <w:r>
        <w:rPr>
          <w:rFonts w:ascii="仿宋_GB2312" w:eastAsia="仿宋_GB2312" w:hAnsi="仿宋" w:hint="eastAsia"/>
          <w:b/>
          <w:sz w:val="32"/>
          <w:szCs w:val="32"/>
        </w:rPr>
        <w:t>2.</w:t>
      </w:r>
      <w:r>
        <w:rPr>
          <w:rFonts w:hint="eastAsia"/>
        </w:rPr>
        <w:t xml:space="preserve"> </w:t>
      </w:r>
      <w:r>
        <w:rPr>
          <w:rFonts w:ascii="仿宋_GB2312" w:eastAsia="仿宋_GB2312" w:hAnsi="仿宋" w:hint="eastAsia"/>
          <w:b/>
          <w:sz w:val="32"/>
          <w:szCs w:val="32"/>
        </w:rPr>
        <w:t>绩效目标的完成程度</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（1）项目年度目标及完成情况</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hint="eastAsia"/>
          <w:sz w:val="32"/>
          <w:szCs w:val="32"/>
        </w:rPr>
        <w:t>项目年中无调整绩效目标，无未完成的目标，绩效目标完成程度高</w:t>
      </w:r>
      <w:r>
        <w:rPr>
          <w:rFonts w:ascii="仿宋_GB2312" w:eastAsia="仿宋_GB2312" w:hAnsi="仿宋" w:cstheme="majorBidi" w:hint="eastAsia"/>
          <w:bCs/>
          <w:sz w:val="32"/>
          <w:szCs w:val="32"/>
        </w:rPr>
        <w:t>。项目年度目标和目标完成情况详见表</w:t>
      </w:r>
      <w:r>
        <w:rPr>
          <w:rFonts w:ascii="仿宋_GB2312" w:eastAsia="仿宋_GB2312" w:hAnsi="仿宋" w:cstheme="majorBidi"/>
          <w:bCs/>
          <w:sz w:val="32"/>
          <w:szCs w:val="32"/>
        </w:rPr>
        <w:t>2</w:t>
      </w:r>
      <w:r>
        <w:rPr>
          <w:rFonts w:ascii="仿宋_GB2312" w:eastAsia="仿宋_GB2312" w:hAnsi="仿宋" w:cstheme="majorBidi" w:hint="eastAsia"/>
          <w:bCs/>
          <w:sz w:val="32"/>
          <w:szCs w:val="32"/>
        </w:rPr>
        <w:t>-</w:t>
      </w:r>
      <w:r>
        <w:rPr>
          <w:rFonts w:ascii="仿宋_GB2312" w:eastAsia="仿宋_GB2312" w:hAnsi="仿宋" w:cstheme="majorBidi"/>
          <w:bCs/>
          <w:sz w:val="32"/>
          <w:szCs w:val="32"/>
        </w:rPr>
        <w:t>7</w:t>
      </w:r>
      <w:r>
        <w:rPr>
          <w:rFonts w:ascii="仿宋_GB2312" w:eastAsia="仿宋_GB2312" w:hAnsi="仿宋" w:cstheme="majorBidi" w:hint="eastAsia"/>
          <w:bCs/>
          <w:sz w:val="32"/>
          <w:szCs w:val="32"/>
        </w:rPr>
        <w:t>。</w:t>
      </w:r>
    </w:p>
    <w:p>
      <w:pPr>
        <w:spacing w:line="360" w:lineRule="auto"/>
        <w:ind w:firstLine="420" w:firstLineChars="200"/>
        <w:rPr>
          <w:rFonts w:ascii="仿宋_GB2312" w:eastAsia="仿宋_GB2312" w:hAnsi="仿宋" w:cstheme="majorBidi"/>
          <w:bCs/>
          <w:sz w:val="32"/>
          <w:szCs w:val="32"/>
        </w:rPr>
      </w:pPr>
    </w:p>
    <w:p>
      <w:pPr>
        <w:spacing w:line="360" w:lineRule="auto"/>
        <w:ind w:firstLine="420" w:firstLineChars="200"/>
        <w:rPr>
          <w:rFonts w:ascii="仿宋_GB2312" w:eastAsia="仿宋_GB2312" w:hAnsi="仿宋" w:cstheme="majorBidi"/>
          <w:bCs/>
          <w:sz w:val="32"/>
          <w:szCs w:val="32"/>
        </w:rPr>
      </w:pPr>
    </w:p>
    <w:p>
      <w:pPr>
        <w:spacing w:line="360" w:lineRule="auto"/>
        <w:ind w:firstLine="420" w:firstLineChars="200"/>
        <w:rPr>
          <w:rFonts w:ascii="仿宋_GB2312" w:eastAsia="仿宋_GB2312" w:hAnsi="仿宋" w:cstheme="majorBidi"/>
          <w:bCs/>
          <w:sz w:val="32"/>
          <w:szCs w:val="32"/>
        </w:rPr>
      </w:pPr>
    </w:p>
    <w:p>
      <w:pPr>
        <w:spacing w:line="360" w:lineRule="auto"/>
        <w:ind w:firstLine="420" w:firstLineChars="200"/>
        <w:rPr>
          <w:rFonts w:ascii="仿宋_GB2312" w:eastAsia="仿宋_GB2312" w:hAnsi="仿宋" w:cstheme="majorBidi"/>
          <w:bCs/>
          <w:sz w:val="32"/>
          <w:szCs w:val="32"/>
        </w:rPr>
      </w:pPr>
    </w:p>
    <w:p>
      <w:pPr>
        <w:spacing w:line="360" w:lineRule="auto"/>
        <w:ind w:firstLine="420" w:firstLineChars="200"/>
        <w:rPr>
          <w:rFonts w:ascii="仿宋_GB2312" w:eastAsia="仿宋_GB2312" w:hAnsi="仿宋" w:cstheme="majorBidi"/>
          <w:bCs/>
          <w:sz w:val="32"/>
          <w:szCs w:val="32"/>
        </w:rPr>
      </w:pPr>
    </w:p>
    <w:p>
      <w:pPr>
        <w:spacing w:line="360" w:lineRule="auto"/>
        <w:ind w:firstLine="420" w:firstLineChars="200"/>
        <w:rPr>
          <w:rFonts w:ascii="仿宋_GB2312" w:eastAsia="仿宋_GB2312" w:hAnsi="仿宋" w:cstheme="majorBidi"/>
          <w:bCs/>
          <w:sz w:val="32"/>
          <w:szCs w:val="32"/>
        </w:rPr>
      </w:pPr>
    </w:p>
    <w:p>
      <w:pPr>
        <w:spacing w:line="360" w:lineRule="auto"/>
        <w:ind w:firstLine="420" w:firstLineChars="200"/>
        <w:rPr>
          <w:rFonts w:ascii="仿宋_GB2312" w:eastAsia="仿宋_GB2312" w:hAnsi="仿宋" w:cstheme="majorBidi"/>
          <w:bCs/>
          <w:sz w:val="32"/>
          <w:szCs w:val="32"/>
        </w:rPr>
      </w:pPr>
    </w:p>
    <w:p>
      <w:pPr>
        <w:spacing w:line="360" w:lineRule="auto"/>
        <w:ind w:firstLine="420" w:firstLineChars="200"/>
        <w:rPr>
          <w:rFonts w:ascii="黑体" w:eastAsia="黑体" w:hAnsi="黑体"/>
          <w:sz w:val="28"/>
          <w:szCs w:val="28"/>
        </w:rPr>
      </w:pPr>
    </w:p>
    <w:p>
      <w:pPr>
        <w:spacing w:line="360" w:lineRule="auto"/>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2</w:t>
      </w:r>
      <w:r>
        <w:rPr>
          <w:rFonts w:ascii="黑体" w:eastAsia="黑体" w:hAnsi="黑体" w:hint="eastAsia"/>
          <w:sz w:val="28"/>
          <w:szCs w:val="28"/>
        </w:rPr>
        <w:t>-</w:t>
      </w:r>
      <w:r>
        <w:rPr>
          <w:rFonts w:ascii="黑体" w:eastAsia="黑体" w:hAnsi="黑体"/>
          <w:sz w:val="28"/>
          <w:szCs w:val="28"/>
        </w:rPr>
        <w:t>7 2021年</w:t>
      </w:r>
      <w:r>
        <w:rPr>
          <w:rFonts w:ascii="黑体" w:eastAsia="黑体" w:hAnsi="黑体" w:hint="eastAsia"/>
          <w:sz w:val="28"/>
          <w:szCs w:val="28"/>
        </w:rPr>
        <w:t>江海区地质灾害项目年度目标及目标完成情况表</w:t>
      </w:r>
    </w:p>
    <w:tbl>
      <w:tblPr>
        <w:tblStyle w:val="TableNormal"/>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811"/>
        <w:gridCol w:w="3251"/>
        <w:gridCol w:w="3236"/>
        <w:gridCol w:w="1002"/>
      </w:tblGrid>
      <w:tr>
        <w:tblPrEx>
          <w:tblW w:w="83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cantSplit/>
          <w:trHeight w:val="637"/>
          <w:jc w:val="center"/>
        </w:trPr>
        <w:tc>
          <w:tcPr>
            <w:tcW w:w="811" w:type="dxa"/>
            <w:tcBorders>
              <w:tl2br w:val="nil"/>
              <w:tr2bl w:val="nil"/>
            </w:tcBorders>
            <w:shd w:val="clear" w:color="auto" w:fill="F1F1F1" w:themeFill="background1" w:themeFillShade="F2"/>
            <w:noWrap/>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目标</w:t>
            </w:r>
          </w:p>
        </w:tc>
        <w:tc>
          <w:tcPr>
            <w:tcW w:w="3251" w:type="dxa"/>
            <w:tcBorders>
              <w:tl2br w:val="nil"/>
              <w:tr2bl w:val="nil"/>
            </w:tcBorders>
            <w:shd w:val="clear" w:color="auto" w:fill="F1F1F1" w:themeFill="background1" w:themeFillShade="F2"/>
            <w:noWrap/>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年度目标</w:t>
            </w:r>
          </w:p>
        </w:tc>
        <w:tc>
          <w:tcPr>
            <w:tcW w:w="3236" w:type="dxa"/>
            <w:tcBorders>
              <w:tl2br w:val="nil"/>
              <w:tr2bl w:val="nil"/>
            </w:tcBorders>
            <w:shd w:val="clear" w:color="auto" w:fill="F1F1F1" w:themeFill="background1" w:themeFillShade="F2"/>
            <w:noWrap/>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目标完成情况</w:t>
            </w:r>
          </w:p>
        </w:tc>
        <w:tc>
          <w:tcPr>
            <w:tcW w:w="1002" w:type="dxa"/>
            <w:tcBorders>
              <w:tl2br w:val="nil"/>
              <w:tr2bl w:val="nil"/>
            </w:tcBorders>
            <w:shd w:val="clear" w:color="auto" w:fill="F1F1F1" w:themeFill="background1" w:themeFillShade="F2"/>
            <w:vAlign w:val="center"/>
          </w:tcPr>
          <w:p>
            <w:pPr>
              <w:widowControl/>
              <w:jc w:val="center"/>
              <w:rPr>
                <w:rFonts w:ascii="仿宋_GB2312" w:eastAsia="仿宋_GB2312" w:cs="仿宋_GB2312"/>
                <w:b/>
                <w:bCs/>
                <w:kern w:val="0"/>
                <w:sz w:val="24"/>
              </w:rPr>
            </w:pPr>
            <w:r>
              <w:rPr>
                <w:rFonts w:ascii="仿宋_GB2312" w:eastAsia="仿宋_GB2312" w:cs="仿宋_GB2312" w:hint="eastAsia"/>
                <w:b/>
                <w:bCs/>
                <w:kern w:val="0"/>
                <w:sz w:val="24"/>
              </w:rPr>
              <w:t>完成情况说明</w:t>
            </w:r>
          </w:p>
        </w:tc>
      </w:tr>
      <w:tr>
        <w:tblPrEx>
          <w:tblW w:w="8300" w:type="dxa"/>
          <w:jc w:val="center"/>
          <w:tblCellMar>
            <w:top w:w="0" w:type="dxa"/>
            <w:left w:w="108" w:type="dxa"/>
            <w:bottom w:w="0" w:type="dxa"/>
            <w:right w:w="108" w:type="dxa"/>
          </w:tblCellMar>
        </w:tblPrEx>
        <w:trPr>
          <w:cantSplit/>
          <w:trHeight w:val="851"/>
          <w:jc w:val="center"/>
        </w:trPr>
        <w:tc>
          <w:tcPr>
            <w:tcW w:w="811"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cs="仿宋_GB2312" w:hint="eastAsia"/>
                <w:kern w:val="0"/>
                <w:sz w:val="24"/>
              </w:rPr>
              <w:t>目标一</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完成江南街道2020年3个新增地质灾害点治理工程验收，消除三处地质灾害隐患</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完成江南街道2020年3个新增地质灾害点治理工程验收，消除三处地质灾害隐患</w:t>
            </w:r>
          </w:p>
        </w:tc>
        <w:tc>
          <w:tcPr>
            <w:tcW w:w="1002"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r>
        <w:tblPrEx>
          <w:tblW w:w="8300" w:type="dxa"/>
          <w:jc w:val="center"/>
          <w:tblCellMar>
            <w:top w:w="0" w:type="dxa"/>
            <w:left w:w="108" w:type="dxa"/>
            <w:bottom w:w="0" w:type="dxa"/>
            <w:right w:w="108" w:type="dxa"/>
          </w:tblCellMar>
        </w:tblPrEx>
        <w:trPr>
          <w:cantSplit/>
          <w:trHeight w:val="851"/>
          <w:jc w:val="center"/>
        </w:trPr>
        <w:tc>
          <w:tcPr>
            <w:tcW w:w="811"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目标二</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完成江海区地质灾害监测系统建设并通过验收</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完成江海区地质灾害监测系统建设并通过验收</w:t>
            </w:r>
          </w:p>
        </w:tc>
        <w:tc>
          <w:tcPr>
            <w:tcW w:w="1002"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r>
        <w:tblPrEx>
          <w:tblW w:w="8300" w:type="dxa"/>
          <w:jc w:val="center"/>
          <w:tblCellMar>
            <w:top w:w="0" w:type="dxa"/>
            <w:left w:w="108" w:type="dxa"/>
            <w:bottom w:w="0" w:type="dxa"/>
            <w:right w:w="108" w:type="dxa"/>
          </w:tblCellMar>
        </w:tblPrEx>
        <w:trPr>
          <w:cantSplit/>
          <w:trHeight w:val="851"/>
          <w:jc w:val="center"/>
        </w:trPr>
        <w:tc>
          <w:tcPr>
            <w:tcW w:w="811"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目标三</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地质灾害技术单位（省地质六队）为我区提供地质灾害应急调查服务，汛期每月开展地质灾害隐患巡查排查</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地质灾害技术单位（省地质六队）为我区提供地质灾害应急调查服务，汛期每月开展地质灾害隐患巡查排查</w:t>
            </w:r>
          </w:p>
        </w:tc>
        <w:tc>
          <w:tcPr>
            <w:tcW w:w="1002"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r>
        <w:tblPrEx>
          <w:tblW w:w="8300" w:type="dxa"/>
          <w:jc w:val="center"/>
          <w:tblCellMar>
            <w:top w:w="0" w:type="dxa"/>
            <w:left w:w="108" w:type="dxa"/>
            <w:bottom w:w="0" w:type="dxa"/>
            <w:right w:w="108" w:type="dxa"/>
          </w:tblCellMar>
        </w:tblPrEx>
        <w:trPr>
          <w:cantSplit/>
          <w:trHeight w:val="851"/>
          <w:jc w:val="center"/>
        </w:trPr>
        <w:tc>
          <w:tcPr>
            <w:tcW w:w="811" w:type="dxa"/>
            <w:tcBorders>
              <w:tl2br w:val="nil"/>
              <w:tr2bl w:val="nil"/>
            </w:tcBorders>
            <w:noWrap/>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目标四</w:t>
            </w:r>
          </w:p>
        </w:tc>
        <w:tc>
          <w:tcPr>
            <w:tcW w:w="3251"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完成外海街道东南村松仔山地质灾害治理工程进度款支付</w:t>
            </w:r>
          </w:p>
        </w:tc>
        <w:tc>
          <w:tcPr>
            <w:tcW w:w="3236" w:type="dxa"/>
            <w:tcBorders>
              <w:tl2br w:val="nil"/>
              <w:tr2bl w:val="nil"/>
            </w:tcBorders>
            <w:noWrap/>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完成外海街道东南村松仔山地质灾害治理工程进度款支付</w:t>
            </w:r>
          </w:p>
        </w:tc>
        <w:tc>
          <w:tcPr>
            <w:tcW w:w="1002" w:type="dxa"/>
            <w:tcBorders>
              <w:tl2br w:val="nil"/>
              <w:tr2bl w:val="nil"/>
            </w:tcBorders>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完成</w:t>
            </w:r>
          </w:p>
        </w:tc>
      </w:tr>
    </w:tbl>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（2）项目绩效指标完成情况</w:t>
      </w:r>
    </w:p>
    <w:p>
      <w:pPr>
        <w:spacing w:line="160" w:lineRule="atLeast"/>
        <w:ind w:firstLine="570"/>
        <w:rPr>
          <w:rFonts w:ascii="仿宋_GB2312" w:eastAsia="仿宋_GB2312" w:hAnsi="仿宋" w:cstheme="majorBidi"/>
          <w:bCs/>
          <w:sz w:val="32"/>
          <w:szCs w:val="32"/>
        </w:rPr>
      </w:pPr>
      <w:r>
        <w:rPr>
          <w:rFonts w:ascii="仿宋_GB2312" w:eastAsia="仿宋_GB2312" w:hAnsi="仿宋" w:cstheme="majorBidi" w:hint="eastAsia"/>
          <w:bCs/>
          <w:sz w:val="32"/>
          <w:szCs w:val="32"/>
        </w:rPr>
        <w:t>项目无未完成的绩效指标，部分指标完成程度高于年初设定指标值，绩效指标完成程度高。项目绩效指标完成情况详见表</w:t>
      </w:r>
      <w:r>
        <w:rPr>
          <w:rFonts w:ascii="仿宋_GB2312" w:eastAsia="仿宋_GB2312" w:hAnsi="仿宋" w:cstheme="majorBidi"/>
          <w:bCs/>
          <w:sz w:val="32"/>
          <w:szCs w:val="32"/>
        </w:rPr>
        <w:t>2-8</w:t>
      </w:r>
      <w:r>
        <w:rPr>
          <w:rFonts w:ascii="仿宋_GB2312" w:eastAsia="仿宋_GB2312" w:hAnsi="仿宋" w:cstheme="majorBidi" w:hint="eastAsia"/>
          <w:bCs/>
          <w:sz w:val="32"/>
          <w:szCs w:val="32"/>
        </w:rPr>
        <w:t>。</w:t>
      </w:r>
    </w:p>
    <w:p>
      <w:pPr>
        <w:spacing w:line="160" w:lineRule="atLeast"/>
        <w:jc w:val="center"/>
        <w:rPr>
          <w:rFonts w:ascii="黑体" w:eastAsia="黑体" w:hAnsi="黑体"/>
          <w:sz w:val="28"/>
          <w:szCs w:val="28"/>
        </w:rPr>
      </w:pPr>
      <w:r>
        <w:rPr>
          <w:rFonts w:ascii="黑体" w:eastAsia="黑体" w:hAnsi="黑体" w:hint="eastAsia"/>
          <w:sz w:val="28"/>
          <w:szCs w:val="28"/>
        </w:rPr>
        <w:t>表</w:t>
      </w:r>
      <w:r>
        <w:rPr>
          <w:rFonts w:ascii="黑体" w:eastAsia="黑体" w:hAnsi="黑体"/>
          <w:sz w:val="28"/>
          <w:szCs w:val="28"/>
        </w:rPr>
        <w:t>2</w:t>
      </w:r>
      <w:r>
        <w:rPr>
          <w:rFonts w:ascii="黑体" w:eastAsia="黑体" w:hAnsi="黑体" w:hint="eastAsia"/>
          <w:sz w:val="28"/>
          <w:szCs w:val="28"/>
        </w:rPr>
        <w:t>-</w:t>
      </w:r>
      <w:r>
        <w:rPr>
          <w:rFonts w:ascii="黑体" w:eastAsia="黑体" w:hAnsi="黑体"/>
          <w:sz w:val="28"/>
          <w:szCs w:val="28"/>
        </w:rPr>
        <w:t>8</w:t>
      </w:r>
      <w:r>
        <w:rPr>
          <w:rFonts w:ascii="黑体" w:eastAsia="黑体" w:hAnsi="黑体" w:hint="eastAsia"/>
          <w:sz w:val="28"/>
          <w:szCs w:val="28"/>
        </w:rPr>
        <w:t xml:space="preserve"> </w:t>
      </w:r>
      <w:r>
        <w:rPr>
          <w:rFonts w:ascii="黑体" w:eastAsia="黑体" w:hAnsi="黑体"/>
          <w:sz w:val="28"/>
          <w:szCs w:val="28"/>
        </w:rPr>
        <w:t>2021年</w:t>
      </w:r>
      <w:r>
        <w:rPr>
          <w:rFonts w:ascii="黑体" w:eastAsia="黑体" w:hAnsi="黑体" w:hint="eastAsia"/>
          <w:sz w:val="28"/>
          <w:szCs w:val="28"/>
        </w:rPr>
        <w:t>江海区地质灾害项目绩效指标完成情况</w:t>
      </w:r>
    </w:p>
    <w:tbl>
      <w:tblPr>
        <w:tblStyle w:val="TableNormal"/>
        <w:tblW w:w="8335" w:type="dxa"/>
        <w:jc w:val="center"/>
        <w:tblCellMar>
          <w:top w:w="0" w:type="dxa"/>
          <w:left w:w="108" w:type="dxa"/>
          <w:bottom w:w="0" w:type="dxa"/>
          <w:right w:w="108" w:type="dxa"/>
        </w:tblCellMar>
      </w:tblPr>
      <w:tblGrid>
        <w:gridCol w:w="838"/>
        <w:gridCol w:w="1316"/>
        <w:gridCol w:w="2681"/>
        <w:gridCol w:w="1207"/>
        <w:gridCol w:w="1165"/>
        <w:gridCol w:w="1128"/>
      </w:tblGrid>
      <w:tr>
        <w:tblPrEx>
          <w:tblW w:w="8335" w:type="dxa"/>
          <w:jc w:val="center"/>
          <w:tblCellMar>
            <w:top w:w="0" w:type="dxa"/>
            <w:left w:w="108" w:type="dxa"/>
            <w:bottom w:w="0" w:type="dxa"/>
            <w:right w:w="108" w:type="dxa"/>
          </w:tblCellMar>
        </w:tblPrEx>
        <w:trPr>
          <w:trHeight w:val="727"/>
          <w:jc w:val="center"/>
        </w:trPr>
        <w:tc>
          <w:tcPr>
            <w:tcW w:w="852" w:type="dxa"/>
            <w:tcBorders>
              <w:top w:val="single" w:sz="4" w:space="0" w:color="000000"/>
              <w:left w:val="single" w:sz="4" w:space="0" w:color="000000"/>
              <w:bottom w:val="single" w:sz="4" w:space="0" w:color="auto"/>
              <w:right w:val="single" w:sz="4" w:space="0" w:color="000000"/>
            </w:tcBorders>
            <w:shd w:val="clear" w:color="auto" w:fill="F1F1F1" w:themeFill="background1" w:themeFillShade="F2"/>
            <w:vAlign w:val="center"/>
          </w:tcPr>
          <w:p>
            <w:pPr>
              <w:widowControl/>
              <w:jc w:val="center"/>
              <w:rPr>
                <w:rFonts w:ascii="仿宋_GB2312" w:eastAsia="仿宋_GB2312"/>
                <w:b/>
                <w:bCs/>
                <w:sz w:val="24"/>
              </w:rPr>
            </w:pPr>
            <w:r>
              <w:rPr>
                <w:rFonts w:ascii="仿宋_GB2312" w:eastAsia="仿宋_GB2312" w:hint="eastAsia"/>
                <w:b/>
                <w:bCs/>
                <w:sz w:val="24"/>
              </w:rPr>
              <w:t>一级指标</w:t>
            </w:r>
          </w:p>
        </w:tc>
        <w:tc>
          <w:tcPr>
            <w:tcW w:w="1346"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hint="eastAsia"/>
                <w:b/>
                <w:bCs/>
                <w:sz w:val="24"/>
              </w:rPr>
              <w:t>二级指标</w:t>
            </w:r>
          </w:p>
        </w:tc>
        <w:tc>
          <w:tcPr>
            <w:tcW w:w="2750" w:type="dxa"/>
            <w:tcBorders>
              <w:top w:val="single" w:sz="4" w:space="0" w:color="000000"/>
              <w:left w:val="single" w:sz="4" w:space="0" w:color="000000"/>
              <w:bottom w:val="single" w:sz="4" w:space="0" w:color="auto"/>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cs="仿宋_GB2312" w:hint="eastAsia"/>
                <w:b/>
                <w:bCs/>
                <w:kern w:val="0"/>
                <w:sz w:val="24"/>
              </w:rPr>
              <w:t>指标名称</w:t>
            </w:r>
          </w:p>
        </w:tc>
        <w:tc>
          <w:tcPr>
            <w:tcW w:w="1233"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cs="仿宋_GB2312" w:hint="eastAsia"/>
                <w:b/>
                <w:bCs/>
                <w:kern w:val="0"/>
                <w:sz w:val="24"/>
              </w:rPr>
              <w:t>年度申报指标值</w:t>
            </w:r>
          </w:p>
        </w:tc>
        <w:tc>
          <w:tcPr>
            <w:tcW w:w="1190"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b/>
                <w:bCs/>
                <w:sz w:val="24"/>
              </w:rPr>
            </w:pPr>
            <w:r>
              <w:rPr>
                <w:rFonts w:ascii="仿宋_GB2312" w:eastAsia="仿宋_GB2312" w:cs="仿宋_GB2312" w:hint="eastAsia"/>
                <w:b/>
                <w:bCs/>
                <w:kern w:val="0"/>
                <w:sz w:val="24"/>
              </w:rPr>
              <w:t>实际完成指标值</w:t>
            </w:r>
          </w:p>
        </w:tc>
        <w:tc>
          <w:tcPr>
            <w:tcW w:w="1151" w:type="dxa"/>
            <w:tcBorders>
              <w:top w:val="single" w:sz="4" w:space="0" w:color="000000"/>
              <w:left w:val="single" w:sz="4" w:space="0" w:color="000000"/>
              <w:bottom w:val="single" w:sz="4" w:space="0" w:color="000000"/>
              <w:right w:val="single" w:sz="4" w:space="0" w:color="000000"/>
            </w:tcBorders>
            <w:shd w:val="clear" w:color="auto" w:fill="F1F1F1" w:themeFill="background1" w:themeFillShade="F2"/>
            <w:vAlign w:val="center"/>
          </w:tcPr>
          <w:p>
            <w:pPr>
              <w:widowControl/>
              <w:wordWrap w:val="0"/>
              <w:jc w:val="center"/>
              <w:rPr>
                <w:rFonts w:ascii="仿宋_GB2312" w:eastAsia="仿宋_GB2312" w:cs="仿宋_GB2312"/>
                <w:b/>
                <w:bCs/>
                <w:kern w:val="0"/>
                <w:sz w:val="24"/>
              </w:rPr>
            </w:pPr>
            <w:r>
              <w:rPr>
                <w:rFonts w:ascii="仿宋_GB2312" w:eastAsia="仿宋_GB2312" w:cs="仿宋_GB2312" w:hint="eastAsia"/>
                <w:b/>
                <w:bCs/>
                <w:kern w:val="0"/>
                <w:sz w:val="24"/>
              </w:rPr>
              <w:t>完成情况说明</w:t>
            </w:r>
          </w:p>
        </w:tc>
      </w:tr>
      <w:tr>
        <w:tblPrEx>
          <w:tblW w:w="8335" w:type="dxa"/>
          <w:jc w:val="center"/>
          <w:tblCellMar>
            <w:top w:w="0" w:type="dxa"/>
            <w:left w:w="108" w:type="dxa"/>
            <w:bottom w:w="0" w:type="dxa"/>
            <w:right w:w="108" w:type="dxa"/>
          </w:tblCellMar>
        </w:tblPrEx>
        <w:trPr>
          <w:trHeight w:val="550"/>
          <w:jc w:val="center"/>
        </w:trPr>
        <w:tc>
          <w:tcPr>
            <w:tcW w:w="852" w:type="dxa"/>
            <w:vMerge w:val="restart"/>
            <w:tcBorders>
              <w:top w:val="single" w:sz="4" w:space="0" w:color="000000"/>
              <w:left w:val="single" w:sz="4" w:space="0" w:color="000000"/>
              <w:right w:val="single" w:sz="4" w:space="0" w:color="000000"/>
            </w:tcBorders>
            <w:vAlign w:val="center"/>
          </w:tcPr>
          <w:p>
            <w:pPr>
              <w:widowControl/>
              <w:wordWrap w:val="0"/>
              <w:jc w:val="center"/>
              <w:rPr>
                <w:rFonts w:ascii="仿宋_GB2312" w:eastAsia="仿宋_GB2312"/>
                <w:sz w:val="24"/>
              </w:rPr>
            </w:pPr>
            <w:r>
              <w:rPr>
                <w:rFonts w:ascii="仿宋_GB2312" w:eastAsia="仿宋_GB2312" w:hint="eastAsia"/>
                <w:kern w:val="0"/>
                <w:sz w:val="24"/>
              </w:rPr>
              <w:t>产出指标</w:t>
            </w:r>
          </w:p>
        </w:tc>
        <w:tc>
          <w:tcPr>
            <w:tcW w:w="1346" w:type="dxa"/>
            <w:vMerge w:val="restart"/>
            <w:tcBorders>
              <w:top w:val="single" w:sz="4" w:space="0" w:color="000000"/>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数量指标</w:t>
            </w: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地质灾害隐患排查率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right w:val="single" w:sz="4" w:space="0" w:color="000000"/>
            </w:tcBorders>
            <w:vAlign w:val="center"/>
          </w:tcPr>
          <w:p>
            <w:pPr>
              <w:widowControl/>
              <w:wordWrap w:val="0"/>
              <w:jc w:val="center"/>
              <w:rPr>
                <w:rFonts w:ascii="仿宋_GB2312" w:eastAsia="仿宋_GB2312"/>
                <w:sz w:val="24"/>
              </w:rPr>
            </w:pPr>
          </w:p>
        </w:tc>
        <w:tc>
          <w:tcPr>
            <w:tcW w:w="1346" w:type="dxa"/>
            <w:vMerge/>
            <w:tcBorders>
              <w:top w:val="single" w:sz="4" w:space="0" w:color="000000"/>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jc w:val="center"/>
              <w:rPr>
                <w:rFonts w:ascii="仿宋_GB2312" w:eastAsia="仿宋_GB2312"/>
                <w:kern w:val="0"/>
                <w:sz w:val="24"/>
              </w:rPr>
            </w:pPr>
            <w:r>
              <w:rPr>
                <w:rFonts w:ascii="仿宋_GB2312" w:eastAsia="仿宋_GB2312" w:hint="eastAsia"/>
                <w:kern w:val="0"/>
                <w:sz w:val="24"/>
              </w:rPr>
              <w:t>消除地质灾害隐患点</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3</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3</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right w:val="single" w:sz="4" w:space="0" w:color="000000"/>
            </w:tcBorders>
            <w:vAlign w:val="center"/>
          </w:tcPr>
          <w:p>
            <w:pPr>
              <w:widowControl/>
              <w:wordWrap w:val="0"/>
              <w:jc w:val="center"/>
              <w:rPr>
                <w:rFonts w:ascii="仿宋_GB2312" w:eastAsia="仿宋_GB2312"/>
                <w:sz w:val="24"/>
              </w:rPr>
            </w:pPr>
          </w:p>
        </w:tc>
        <w:tc>
          <w:tcPr>
            <w:tcW w:w="1346" w:type="dxa"/>
            <w:vMerge w:val="restart"/>
            <w:tcBorders>
              <w:top w:val="single" w:sz="4" w:space="0" w:color="000000"/>
              <w:left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质量指标</w:t>
            </w: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监测数据有效利用率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95%</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95%</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bottom w:val="single" w:sz="4" w:space="0" w:color="auto"/>
              <w:right w:val="single" w:sz="4" w:space="0" w:color="000000"/>
            </w:tcBorders>
            <w:vAlign w:val="center"/>
          </w:tcPr>
          <w:p>
            <w:pPr>
              <w:widowControl/>
              <w:wordWrap w:val="0"/>
              <w:jc w:val="center"/>
              <w:rPr>
                <w:rFonts w:ascii="仿宋_GB2312" w:eastAsia="仿宋_GB2312"/>
                <w:sz w:val="24"/>
              </w:rPr>
            </w:pPr>
          </w:p>
        </w:tc>
        <w:tc>
          <w:tcPr>
            <w:tcW w:w="1346" w:type="dxa"/>
            <w:vMerge/>
            <w:tcBorders>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工程事故发生率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0%</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效益</w:t>
            </w:r>
          </w:p>
          <w:p>
            <w:pPr>
              <w:widowControl/>
              <w:wordWrap w:val="0"/>
              <w:jc w:val="center"/>
              <w:rPr>
                <w:rFonts w:ascii="仿宋_GB2312" w:eastAsia="仿宋_GB2312"/>
                <w:kern w:val="0"/>
                <w:sz w:val="24"/>
              </w:rPr>
            </w:pPr>
            <w:r>
              <w:rPr>
                <w:rFonts w:ascii="仿宋_GB2312" w:eastAsia="仿宋_GB2312" w:hint="eastAsia"/>
                <w:kern w:val="0"/>
                <w:sz w:val="24"/>
              </w:rPr>
              <w:t>指标</w:t>
            </w:r>
          </w:p>
        </w:tc>
        <w:tc>
          <w:tcPr>
            <w:tcW w:w="1346" w:type="dxa"/>
            <w:tcBorders>
              <w:top w:val="single" w:sz="4" w:space="0" w:color="auto"/>
              <w:left w:val="single" w:sz="4" w:space="0" w:color="000000"/>
              <w:bottom w:val="single" w:sz="4" w:space="0" w:color="000000"/>
              <w:right w:val="single" w:sz="4" w:space="0" w:color="000000"/>
            </w:tcBorders>
            <w:vAlign w:val="center"/>
          </w:tcPr>
          <w:p>
            <w:pPr>
              <w:widowControl/>
              <w:jc w:val="center"/>
              <w:rPr>
                <w:rFonts w:ascii="仿宋_GB2312" w:eastAsia="仿宋_GB2312"/>
                <w:kern w:val="0"/>
                <w:sz w:val="24"/>
              </w:rPr>
            </w:pPr>
            <w:r>
              <w:rPr>
                <w:rFonts w:ascii="仿宋_GB2312" w:eastAsia="仿宋_GB2312" w:hint="eastAsia"/>
                <w:kern w:val="0"/>
                <w:sz w:val="24"/>
              </w:rPr>
              <w:t>社会效益</w:t>
            </w:r>
          </w:p>
          <w:p>
            <w:pPr>
              <w:widowControl/>
              <w:jc w:val="center"/>
              <w:rPr>
                <w:rFonts w:ascii="仿宋_GB2312" w:eastAsia="仿宋_GB2312"/>
                <w:kern w:val="0"/>
                <w:sz w:val="24"/>
              </w:rPr>
            </w:pPr>
            <w:r>
              <w:rPr>
                <w:rFonts w:ascii="仿宋_GB2312" w:eastAsia="仿宋_GB2312" w:hint="eastAsia"/>
                <w:kern w:val="0"/>
                <w:sz w:val="24"/>
              </w:rPr>
              <w:t>指标</w:t>
            </w: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灾害事件下降率</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80%</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val="restart"/>
            <w:tcBorders>
              <w:top w:val="single" w:sz="4" w:space="0" w:color="auto"/>
              <w:left w:val="single" w:sz="4" w:space="0" w:color="000000"/>
              <w:right w:val="single" w:sz="4" w:space="0" w:color="000000"/>
            </w:tcBorders>
            <w:vAlign w:val="center"/>
          </w:tcPr>
          <w:p>
            <w:pPr>
              <w:widowControl/>
              <w:wordWrap w:val="0"/>
              <w:jc w:val="center"/>
              <w:rPr>
                <w:rFonts w:ascii="仿宋_GB2312" w:eastAsia="仿宋_GB2312"/>
                <w:sz w:val="24"/>
              </w:rPr>
            </w:pPr>
            <w:r>
              <w:rPr>
                <w:rFonts w:ascii="仿宋_GB2312" w:eastAsia="仿宋_GB2312" w:hint="eastAsia"/>
                <w:sz w:val="24"/>
              </w:rPr>
              <w:t>满意度指标</w:t>
            </w:r>
          </w:p>
        </w:tc>
        <w:tc>
          <w:tcPr>
            <w:tcW w:w="1346" w:type="dxa"/>
            <w:vMerge w:val="restart"/>
            <w:tcBorders>
              <w:top w:val="single" w:sz="4" w:space="0" w:color="auto"/>
              <w:left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服务对象</w:t>
            </w:r>
          </w:p>
          <w:p>
            <w:pPr>
              <w:widowControl/>
              <w:wordWrap w:val="0"/>
              <w:jc w:val="center"/>
              <w:rPr>
                <w:rFonts w:ascii="仿宋_GB2312" w:eastAsia="仿宋_GB2312"/>
                <w:kern w:val="0"/>
                <w:sz w:val="24"/>
              </w:rPr>
            </w:pPr>
            <w:r>
              <w:rPr>
                <w:rFonts w:ascii="仿宋_GB2312" w:eastAsia="仿宋_GB2312" w:hint="eastAsia"/>
                <w:kern w:val="0"/>
                <w:sz w:val="24"/>
              </w:rPr>
              <w:t>满意度指标</w:t>
            </w:r>
          </w:p>
        </w:tc>
        <w:tc>
          <w:tcPr>
            <w:tcW w:w="2750"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群众满意度</w:t>
            </w:r>
          </w:p>
        </w:tc>
        <w:tc>
          <w:tcPr>
            <w:tcW w:w="1233"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98%</w:t>
            </w:r>
          </w:p>
        </w:tc>
        <w:tc>
          <w:tcPr>
            <w:tcW w:w="1190"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auto"/>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r>
        <w:tblPrEx>
          <w:tblW w:w="8335" w:type="dxa"/>
          <w:jc w:val="center"/>
          <w:tblCellMar>
            <w:top w:w="0" w:type="dxa"/>
            <w:left w:w="108" w:type="dxa"/>
            <w:bottom w:w="0" w:type="dxa"/>
            <w:right w:w="108" w:type="dxa"/>
          </w:tblCellMar>
        </w:tblPrEx>
        <w:trPr>
          <w:trHeight w:val="550"/>
          <w:jc w:val="center"/>
        </w:trPr>
        <w:tc>
          <w:tcPr>
            <w:tcW w:w="852" w:type="dxa"/>
            <w:vMerge/>
            <w:tcBorders>
              <w:left w:val="single" w:sz="4" w:space="0" w:color="000000"/>
              <w:bottom w:val="single" w:sz="4" w:space="0" w:color="000000"/>
              <w:right w:val="single" w:sz="4" w:space="0" w:color="000000"/>
            </w:tcBorders>
            <w:vAlign w:val="center"/>
          </w:tcPr>
          <w:p>
            <w:pPr>
              <w:widowControl/>
              <w:wordWrap w:val="0"/>
              <w:jc w:val="center"/>
              <w:rPr>
                <w:rFonts w:ascii="仿宋_GB2312" w:eastAsia="仿宋_GB2312"/>
                <w:sz w:val="24"/>
              </w:rPr>
            </w:pPr>
          </w:p>
        </w:tc>
        <w:tc>
          <w:tcPr>
            <w:tcW w:w="1346" w:type="dxa"/>
            <w:vMerge/>
            <w:tcBorders>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p>
        </w:tc>
        <w:tc>
          <w:tcPr>
            <w:tcW w:w="275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投诉下降率（灾害隐患点）</w:t>
            </w:r>
          </w:p>
        </w:tc>
        <w:tc>
          <w:tcPr>
            <w:tcW w:w="1233"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95%</w:t>
            </w:r>
          </w:p>
        </w:tc>
        <w:tc>
          <w:tcPr>
            <w:tcW w:w="1190"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100%</w:t>
            </w:r>
          </w:p>
        </w:tc>
        <w:tc>
          <w:tcPr>
            <w:tcW w:w="1151" w:type="dxa"/>
            <w:tcBorders>
              <w:top w:val="single" w:sz="4" w:space="0" w:color="auto"/>
              <w:left w:val="single" w:sz="4" w:space="0" w:color="000000"/>
              <w:bottom w:val="single" w:sz="4" w:space="0" w:color="000000"/>
              <w:right w:val="single" w:sz="4" w:space="0" w:color="000000"/>
            </w:tcBorders>
            <w:vAlign w:val="center"/>
          </w:tcPr>
          <w:p>
            <w:pPr>
              <w:widowControl/>
              <w:wordWrap w:val="0"/>
              <w:jc w:val="center"/>
              <w:rPr>
                <w:rFonts w:ascii="仿宋_GB2312" w:eastAsia="仿宋_GB2312"/>
                <w:kern w:val="0"/>
                <w:sz w:val="24"/>
              </w:rPr>
            </w:pPr>
            <w:r>
              <w:rPr>
                <w:rFonts w:ascii="仿宋_GB2312" w:eastAsia="仿宋_GB2312" w:hint="eastAsia"/>
                <w:kern w:val="0"/>
                <w:sz w:val="24"/>
              </w:rPr>
              <w:t>完成</w:t>
            </w:r>
          </w:p>
        </w:tc>
      </w:tr>
    </w:tbl>
    <w:p>
      <w:pPr>
        <w:spacing w:line="560" w:lineRule="exact"/>
        <w:ind w:firstLine="645"/>
        <w:jc w:val="left"/>
        <w:rPr>
          <w:rFonts w:ascii="仿宋_GB2312" w:eastAsia="仿宋_GB2312" w:hAnsi="仿宋" w:cstheme="minorBidi"/>
          <w:sz w:val="32"/>
          <w:szCs w:val="32"/>
        </w:rPr>
      </w:pPr>
      <w:r>
        <w:rPr>
          <w:rFonts w:ascii="仿宋_GB2312" w:eastAsia="仿宋_GB2312" w:hAnsi="仿宋" w:cstheme="minorBidi" w:hint="eastAsia"/>
          <w:sz w:val="32"/>
          <w:szCs w:val="32"/>
        </w:rPr>
        <w:t>地质灾害隐患排查率：年度申报指标值为1</w:t>
      </w:r>
      <w:r>
        <w:rPr>
          <w:rFonts w:ascii="仿宋_GB2312" w:eastAsia="仿宋_GB2312" w:hAnsi="仿宋" w:cstheme="minorBidi"/>
          <w:sz w:val="32"/>
          <w:szCs w:val="32"/>
        </w:rPr>
        <w:t>00%</w:t>
      </w:r>
      <w:r>
        <w:rPr>
          <w:rFonts w:ascii="仿宋_GB2312" w:eastAsia="仿宋_GB2312" w:hAnsi="仿宋" w:cstheme="minorBidi" w:hint="eastAsia"/>
          <w:sz w:val="32"/>
          <w:szCs w:val="32"/>
        </w:rPr>
        <w:t>；项目单位委托了广东省地质局第六地质大队对江海区地质灾害点定期进行巡查，地质灾害隐患排查率达1</w:t>
      </w:r>
      <w:r>
        <w:rPr>
          <w:rFonts w:ascii="仿宋_GB2312" w:eastAsia="仿宋_GB2312" w:hAnsi="仿宋" w:cstheme="minorBidi"/>
          <w:sz w:val="32"/>
          <w:szCs w:val="32"/>
        </w:rPr>
        <w:t>00%</w:t>
      </w:r>
      <w:r>
        <w:rPr>
          <w:rFonts w:ascii="仿宋_GB2312" w:eastAsia="仿宋_GB2312" w:hAnsi="仿宋" w:cstheme="minorBidi" w:hint="eastAsia"/>
          <w:sz w:val="32"/>
          <w:szCs w:val="32"/>
        </w:rPr>
        <w:t>，完成设定的指标值1</w:t>
      </w:r>
      <w:r>
        <w:rPr>
          <w:rFonts w:ascii="仿宋_GB2312" w:eastAsia="仿宋_GB2312" w:hAnsi="仿宋" w:cstheme="minorBidi"/>
          <w:sz w:val="32"/>
          <w:szCs w:val="32"/>
        </w:rPr>
        <w:t>00%</w:t>
      </w:r>
      <w:r>
        <w:rPr>
          <w:rFonts w:ascii="仿宋_GB2312" w:eastAsia="仿宋_GB2312" w:hAnsi="仿宋" w:cstheme="minorBidi" w:hint="eastAsia"/>
          <w:sz w:val="32"/>
          <w:szCs w:val="32"/>
        </w:rPr>
        <w:t>。</w:t>
      </w:r>
    </w:p>
    <w:p>
      <w:pPr>
        <w:spacing w:line="560" w:lineRule="exact"/>
        <w:ind w:firstLine="645"/>
        <w:jc w:val="left"/>
        <w:rPr>
          <w:rFonts w:ascii="仿宋_GB2312" w:eastAsia="仿宋_GB2312" w:hAnsi="仿宋" w:cstheme="minorBidi"/>
          <w:sz w:val="32"/>
          <w:szCs w:val="32"/>
        </w:rPr>
      </w:pPr>
      <w:r>
        <w:rPr>
          <w:rFonts w:ascii="仿宋_GB2312" w:eastAsia="仿宋_GB2312" w:hAnsi="仿宋" w:cstheme="minorBidi" w:hint="eastAsia"/>
          <w:sz w:val="32"/>
          <w:szCs w:val="32"/>
        </w:rPr>
        <w:t>消除地质灾害隐患点：年度申报指标值为3；2</w:t>
      </w:r>
      <w:r>
        <w:rPr>
          <w:rFonts w:ascii="仿宋_GB2312" w:eastAsia="仿宋_GB2312" w:hAnsi="仿宋" w:cstheme="minorBidi"/>
          <w:sz w:val="32"/>
          <w:szCs w:val="32"/>
        </w:rPr>
        <w:t>020</w:t>
      </w:r>
      <w:r>
        <w:rPr>
          <w:rFonts w:ascii="仿宋_GB2312" w:eastAsia="仿宋_GB2312" w:hAnsi="仿宋" w:cstheme="minorBidi" w:hint="eastAsia"/>
          <w:sz w:val="32"/>
          <w:szCs w:val="32"/>
        </w:rPr>
        <w:t>年江海区新增3个地质灾害点，2</w:t>
      </w:r>
      <w:r>
        <w:rPr>
          <w:rFonts w:ascii="仿宋_GB2312" w:eastAsia="仿宋_GB2312" w:hAnsi="仿宋" w:cstheme="minorBidi"/>
          <w:sz w:val="32"/>
          <w:szCs w:val="32"/>
        </w:rPr>
        <w:t>021</w:t>
      </w:r>
      <w:r>
        <w:rPr>
          <w:rFonts w:ascii="仿宋_GB2312" w:eastAsia="仿宋_GB2312" w:hAnsi="仿宋" w:cstheme="minorBidi" w:hint="eastAsia"/>
          <w:sz w:val="32"/>
          <w:szCs w:val="32"/>
        </w:rPr>
        <w:t>年完成了2</w:t>
      </w:r>
      <w:r>
        <w:rPr>
          <w:rFonts w:ascii="仿宋_GB2312" w:eastAsia="仿宋_GB2312" w:hAnsi="仿宋" w:cstheme="minorBidi"/>
          <w:sz w:val="32"/>
          <w:szCs w:val="32"/>
        </w:rPr>
        <w:t>020</w:t>
      </w:r>
      <w:r>
        <w:rPr>
          <w:rFonts w:ascii="仿宋_GB2312" w:eastAsia="仿宋_GB2312" w:hAnsi="仿宋" w:cstheme="minorBidi" w:hint="eastAsia"/>
          <w:sz w:val="32"/>
          <w:szCs w:val="32"/>
        </w:rPr>
        <w:t>年新增的3个地质灾害点治理，消除地质灾害隐患点3个，完成设定的指标值3。</w:t>
      </w:r>
    </w:p>
    <w:p>
      <w:pPr>
        <w:spacing w:line="560" w:lineRule="exact"/>
        <w:ind w:firstLine="645"/>
        <w:jc w:val="left"/>
        <w:rPr>
          <w:rFonts w:ascii="仿宋_GB2312" w:eastAsia="仿宋_GB2312" w:hAnsi="仿宋" w:cstheme="minorBidi"/>
          <w:sz w:val="32"/>
          <w:szCs w:val="32"/>
        </w:rPr>
      </w:pPr>
      <w:r>
        <w:rPr>
          <w:rFonts w:ascii="仿宋_GB2312" w:eastAsia="仿宋_GB2312" w:hAnsi="仿宋" w:cstheme="minorBidi" w:hint="eastAsia"/>
          <w:sz w:val="32"/>
          <w:szCs w:val="32"/>
        </w:rPr>
        <w:t>监测数据有效利用率指标：年度申报指标值为9</w:t>
      </w:r>
      <w:r>
        <w:rPr>
          <w:rFonts w:ascii="仿宋_GB2312" w:eastAsia="仿宋_GB2312" w:hAnsi="仿宋" w:cstheme="minorBidi"/>
          <w:sz w:val="32"/>
          <w:szCs w:val="32"/>
        </w:rPr>
        <w:t>5%</w:t>
      </w:r>
      <w:r>
        <w:rPr>
          <w:rFonts w:ascii="仿宋_GB2312" w:eastAsia="仿宋_GB2312" w:hAnsi="仿宋" w:cstheme="minorBidi" w:hint="eastAsia"/>
          <w:sz w:val="32"/>
          <w:szCs w:val="32"/>
        </w:rPr>
        <w:t>；地质灾害点监测设备安装在2个隐患点，实行全天实时监测，监测到有安全隐患会即刻发出信息提醒，据设备使用单位反映，监测数据有效利用率达到9</w:t>
      </w:r>
      <w:r>
        <w:rPr>
          <w:rFonts w:ascii="仿宋_GB2312" w:eastAsia="仿宋_GB2312" w:hAnsi="仿宋" w:cstheme="minorBidi"/>
          <w:sz w:val="32"/>
          <w:szCs w:val="32"/>
        </w:rPr>
        <w:t>5%</w:t>
      </w:r>
      <w:r>
        <w:rPr>
          <w:rFonts w:ascii="仿宋_GB2312" w:eastAsia="仿宋_GB2312" w:hAnsi="仿宋" w:cstheme="minorBidi" w:hint="eastAsia"/>
          <w:sz w:val="32"/>
          <w:szCs w:val="32"/>
        </w:rPr>
        <w:t>，完成设定的指标值9</w:t>
      </w:r>
      <w:r>
        <w:rPr>
          <w:rFonts w:ascii="仿宋_GB2312" w:eastAsia="仿宋_GB2312" w:hAnsi="仿宋" w:cstheme="minorBidi"/>
          <w:sz w:val="32"/>
          <w:szCs w:val="32"/>
        </w:rPr>
        <w:t>5%</w:t>
      </w:r>
      <w:r>
        <w:rPr>
          <w:rFonts w:ascii="仿宋_GB2312" w:eastAsia="仿宋_GB2312" w:hAnsi="仿宋" w:cstheme="minorBidi" w:hint="eastAsia"/>
          <w:sz w:val="32"/>
          <w:szCs w:val="32"/>
        </w:rPr>
        <w:t>。</w:t>
      </w:r>
    </w:p>
    <w:p>
      <w:pPr>
        <w:spacing w:line="560" w:lineRule="exact"/>
        <w:ind w:firstLine="645"/>
        <w:jc w:val="left"/>
        <w:rPr>
          <w:rFonts w:ascii="仿宋_GB2312" w:eastAsia="仿宋_GB2312" w:hAnsi="仿宋" w:cstheme="minorBidi"/>
          <w:sz w:val="32"/>
          <w:szCs w:val="32"/>
        </w:rPr>
      </w:pPr>
      <w:r>
        <w:rPr>
          <w:rFonts w:ascii="仿宋_GB2312" w:eastAsia="仿宋_GB2312" w:hAnsi="仿宋" w:cstheme="minorBidi" w:hint="eastAsia"/>
          <w:sz w:val="32"/>
          <w:szCs w:val="32"/>
        </w:rPr>
        <w:t>工程事故发生率：年度申报指标为0</w:t>
      </w:r>
      <w:r>
        <w:rPr>
          <w:rFonts w:ascii="仿宋_GB2312" w:eastAsia="仿宋_GB2312" w:hAnsi="仿宋" w:cstheme="minorBidi"/>
          <w:sz w:val="32"/>
          <w:szCs w:val="32"/>
        </w:rPr>
        <w:t>%</w:t>
      </w:r>
      <w:r>
        <w:rPr>
          <w:rFonts w:ascii="仿宋_GB2312" w:eastAsia="仿宋_GB2312" w:hAnsi="仿宋" w:cstheme="minorBidi" w:hint="eastAsia"/>
          <w:sz w:val="32"/>
          <w:szCs w:val="32"/>
        </w:rPr>
        <w:t>；2</w:t>
      </w:r>
      <w:r>
        <w:rPr>
          <w:rFonts w:ascii="仿宋_GB2312" w:eastAsia="仿宋_GB2312" w:hAnsi="仿宋" w:cstheme="minorBidi"/>
          <w:sz w:val="32"/>
          <w:szCs w:val="32"/>
        </w:rPr>
        <w:t>021</w:t>
      </w:r>
      <w:r>
        <w:rPr>
          <w:rFonts w:ascii="仿宋_GB2312" w:eastAsia="仿宋_GB2312" w:hAnsi="仿宋" w:cstheme="minorBidi" w:hint="eastAsia"/>
          <w:sz w:val="32"/>
          <w:szCs w:val="32"/>
        </w:rPr>
        <w:t>年度工程施工过程中无发生工程事故，完成设定的指标值0</w:t>
      </w:r>
      <w:r>
        <w:rPr>
          <w:rFonts w:ascii="仿宋_GB2312" w:eastAsia="仿宋_GB2312" w:hAnsi="仿宋" w:cstheme="minorBidi"/>
          <w:sz w:val="32"/>
          <w:szCs w:val="32"/>
        </w:rPr>
        <w:t>%</w:t>
      </w:r>
      <w:r>
        <w:rPr>
          <w:rFonts w:ascii="仿宋_GB2312" w:eastAsia="仿宋_GB2312" w:hAnsi="仿宋" w:cstheme="minorBidi" w:hint="eastAsia"/>
          <w:sz w:val="32"/>
          <w:szCs w:val="32"/>
        </w:rPr>
        <w:t>。</w:t>
      </w:r>
    </w:p>
    <w:p>
      <w:pPr>
        <w:spacing w:line="560" w:lineRule="exact"/>
        <w:ind w:firstLine="645"/>
        <w:jc w:val="left"/>
        <w:rPr>
          <w:rFonts w:ascii="仿宋_GB2312" w:eastAsia="仿宋_GB2312" w:hAnsi="仿宋" w:cstheme="minorBidi"/>
          <w:sz w:val="32"/>
          <w:szCs w:val="32"/>
        </w:rPr>
      </w:pPr>
      <w:r>
        <w:rPr>
          <w:rFonts w:ascii="仿宋_GB2312" w:eastAsia="仿宋_GB2312" w:hAnsi="仿宋" w:cstheme="minorBidi" w:hint="eastAsia"/>
          <w:sz w:val="32"/>
          <w:szCs w:val="32"/>
        </w:rPr>
        <w:t>灾害事件下降率：年度申报指标为</w:t>
      </w:r>
      <w:r>
        <w:rPr>
          <w:rFonts w:ascii="仿宋_GB2312" w:eastAsia="仿宋_GB2312" w:hAnsi="仿宋" w:cstheme="minorBidi"/>
          <w:sz w:val="32"/>
          <w:szCs w:val="32"/>
        </w:rPr>
        <w:t>80%</w:t>
      </w:r>
      <w:r>
        <w:rPr>
          <w:rFonts w:ascii="仿宋_GB2312" w:eastAsia="仿宋_GB2312" w:hAnsi="仿宋" w:cstheme="minorBidi" w:hint="eastAsia"/>
          <w:sz w:val="32"/>
          <w:szCs w:val="32"/>
        </w:rPr>
        <w:t>；2</w:t>
      </w:r>
      <w:r>
        <w:rPr>
          <w:rFonts w:ascii="仿宋_GB2312" w:eastAsia="仿宋_GB2312" w:hAnsi="仿宋" w:cstheme="minorBidi"/>
          <w:sz w:val="32"/>
          <w:szCs w:val="32"/>
        </w:rPr>
        <w:t>021</w:t>
      </w:r>
      <w:r>
        <w:rPr>
          <w:rFonts w:ascii="仿宋_GB2312" w:eastAsia="仿宋_GB2312" w:hAnsi="仿宋" w:cstheme="minorBidi" w:hint="eastAsia"/>
          <w:sz w:val="32"/>
          <w:szCs w:val="32"/>
        </w:rPr>
        <w:t>年度无发生过地质灾害，实际完成指标值为1</w:t>
      </w:r>
      <w:r>
        <w:rPr>
          <w:rFonts w:ascii="仿宋_GB2312" w:eastAsia="仿宋_GB2312" w:hAnsi="仿宋" w:cstheme="minorBidi"/>
          <w:sz w:val="32"/>
          <w:szCs w:val="32"/>
        </w:rPr>
        <w:t>00%</w:t>
      </w:r>
      <w:r>
        <w:rPr>
          <w:rFonts w:ascii="仿宋_GB2312" w:eastAsia="仿宋_GB2312" w:hAnsi="仿宋" w:cstheme="minorBidi" w:hint="eastAsia"/>
          <w:sz w:val="32"/>
          <w:szCs w:val="32"/>
        </w:rPr>
        <w:t>，完成设定的指标值。</w:t>
      </w:r>
    </w:p>
    <w:p>
      <w:pPr>
        <w:ind w:firstLine="420" w:firstLineChars="200"/>
        <w:rPr>
          <w:rFonts w:ascii="仿宋_GB2312" w:eastAsia="仿宋_GB2312" w:hAnsi="仿宋"/>
          <w:sz w:val="32"/>
          <w:szCs w:val="32"/>
        </w:rPr>
      </w:pPr>
      <w:r>
        <w:rPr>
          <w:rFonts w:ascii="仿宋_GB2312" w:eastAsia="仿宋_GB2312" w:hAnsi="仿宋" w:cstheme="minorBidi" w:hint="eastAsia"/>
          <w:sz w:val="32"/>
          <w:szCs w:val="32"/>
        </w:rPr>
        <w:t>群众满意度：年度申报指标为</w:t>
      </w:r>
      <w:r>
        <w:rPr>
          <w:rFonts w:ascii="仿宋_GB2312" w:eastAsia="仿宋_GB2312" w:hAnsi="仿宋" w:cstheme="minorBidi"/>
          <w:sz w:val="32"/>
          <w:szCs w:val="32"/>
        </w:rPr>
        <w:t>98%</w:t>
      </w:r>
      <w:r>
        <w:rPr>
          <w:rFonts w:ascii="仿宋_GB2312" w:eastAsia="仿宋_GB2312" w:hAnsi="仿宋" w:cstheme="minorBidi" w:hint="eastAsia"/>
          <w:sz w:val="32"/>
          <w:szCs w:val="32"/>
        </w:rPr>
        <w:t>；项目单位通过无群众投诉来确定实际完成指标值为1</w:t>
      </w:r>
      <w:r>
        <w:rPr>
          <w:rFonts w:ascii="仿宋_GB2312" w:eastAsia="仿宋_GB2312" w:hAnsi="仿宋" w:cstheme="minorBidi"/>
          <w:sz w:val="32"/>
          <w:szCs w:val="32"/>
        </w:rPr>
        <w:t>00%</w:t>
      </w:r>
      <w:r>
        <w:rPr>
          <w:rFonts w:ascii="仿宋_GB2312" w:eastAsia="仿宋_GB2312" w:hAnsi="仿宋" w:cstheme="minorBidi" w:hint="eastAsia"/>
          <w:sz w:val="32"/>
          <w:szCs w:val="32"/>
        </w:rPr>
        <w:t>，该指标完成情况的考量方式不够科学、合理，建议项目单位可采用</w:t>
      </w:r>
      <w:r>
        <w:rPr>
          <w:rFonts w:ascii="仿宋_GB2312" w:eastAsia="仿宋_GB2312" w:hAnsi="仿宋" w:hint="eastAsia"/>
          <w:sz w:val="32"/>
          <w:szCs w:val="32"/>
        </w:rPr>
        <w:t>调查问卷等方式对实施过程中受影响的企业集体或群众进行调查，以调查结果来反映群众的满意度。</w:t>
      </w:r>
    </w:p>
    <w:p>
      <w:pPr>
        <w:spacing w:line="560" w:lineRule="exact"/>
        <w:ind w:firstLine="645"/>
        <w:jc w:val="left"/>
        <w:rPr>
          <w:rFonts w:ascii="仿宋_GB2312" w:eastAsia="仿宋_GB2312" w:hAnsi="仿宋" w:cstheme="minorBidi"/>
          <w:sz w:val="32"/>
          <w:szCs w:val="32"/>
        </w:rPr>
      </w:pPr>
      <w:r>
        <w:rPr>
          <w:rFonts w:ascii="仿宋_GB2312" w:eastAsia="仿宋_GB2312" w:hAnsi="仿宋" w:cstheme="minorBidi" w:hint="eastAsia"/>
          <w:sz w:val="32"/>
          <w:szCs w:val="32"/>
        </w:rPr>
        <w:t>投诉下降率（灾害隐患点）：年度申报指标为</w:t>
      </w:r>
      <w:r>
        <w:rPr>
          <w:rFonts w:ascii="仿宋_GB2312" w:eastAsia="仿宋_GB2312" w:hAnsi="仿宋" w:cstheme="minorBidi"/>
          <w:sz w:val="32"/>
          <w:szCs w:val="32"/>
        </w:rPr>
        <w:t>95%</w:t>
      </w:r>
      <w:r>
        <w:rPr>
          <w:rFonts w:ascii="仿宋_GB2312" w:eastAsia="仿宋_GB2312" w:hAnsi="仿宋" w:cstheme="minorBidi" w:hint="eastAsia"/>
          <w:sz w:val="32"/>
          <w:szCs w:val="32"/>
        </w:rPr>
        <w:t>；2</w:t>
      </w:r>
      <w:r>
        <w:rPr>
          <w:rFonts w:ascii="仿宋_GB2312" w:eastAsia="仿宋_GB2312" w:hAnsi="仿宋" w:cstheme="minorBidi"/>
          <w:sz w:val="32"/>
          <w:szCs w:val="32"/>
        </w:rPr>
        <w:t>021</w:t>
      </w:r>
      <w:r>
        <w:rPr>
          <w:rFonts w:ascii="仿宋_GB2312" w:eastAsia="仿宋_GB2312" w:hAnsi="仿宋" w:cstheme="minorBidi" w:hint="eastAsia"/>
          <w:sz w:val="32"/>
          <w:szCs w:val="32"/>
        </w:rPr>
        <w:t>年度无群众投诉，实际完成指标值为1</w:t>
      </w:r>
      <w:r>
        <w:rPr>
          <w:rFonts w:ascii="仿宋_GB2312" w:eastAsia="仿宋_GB2312" w:hAnsi="仿宋" w:cstheme="minorBidi"/>
          <w:sz w:val="32"/>
          <w:szCs w:val="32"/>
        </w:rPr>
        <w:t>00%</w:t>
      </w:r>
      <w:r>
        <w:rPr>
          <w:rFonts w:ascii="仿宋_GB2312" w:eastAsia="仿宋_GB2312" w:hAnsi="仿宋" w:cstheme="minorBidi" w:hint="eastAsia"/>
          <w:sz w:val="32"/>
          <w:szCs w:val="32"/>
        </w:rPr>
        <w:t>，完成设定的指标值。</w:t>
      </w:r>
    </w:p>
    <w:p>
      <w:pPr>
        <w:spacing w:line="360" w:lineRule="auto"/>
        <w:ind w:firstLine="420" w:firstLineChars="200"/>
        <w:rPr>
          <w:rFonts w:ascii="仿宋_GB2312" w:eastAsia="仿宋_GB2312" w:hAnsi="仿宋" w:cstheme="majorBidi"/>
          <w:bCs/>
          <w:sz w:val="32"/>
          <w:szCs w:val="32"/>
        </w:rPr>
      </w:pPr>
      <w:r>
        <w:rPr>
          <w:rFonts w:ascii="仿宋_GB2312" w:eastAsia="仿宋_GB2312" w:hAnsi="楷体" w:hint="eastAsia"/>
          <w:sz w:val="32"/>
          <w:szCs w:val="32"/>
        </w:rPr>
        <w:t>根据评分标准，该指标满分</w:t>
      </w:r>
      <w:r>
        <w:rPr>
          <w:rFonts w:ascii="仿宋_GB2312" w:eastAsia="仿宋_GB2312" w:hAnsi="楷体"/>
          <w:sz w:val="32"/>
          <w:szCs w:val="32"/>
        </w:rPr>
        <w:t>40</w:t>
      </w:r>
      <w:r>
        <w:rPr>
          <w:rFonts w:ascii="仿宋_GB2312" w:eastAsia="仿宋_GB2312" w:hAnsi="楷体" w:hint="eastAsia"/>
          <w:sz w:val="32"/>
          <w:szCs w:val="32"/>
        </w:rPr>
        <w:t>分，因年度申报时设置的指标未能全面反映项目实施效果，以及群众满意度指标完成情况的考量方式不够科学扣</w:t>
      </w:r>
      <w:r>
        <w:rPr>
          <w:rFonts w:ascii="仿宋_GB2312" w:eastAsia="仿宋_GB2312" w:hAnsi="楷体"/>
          <w:sz w:val="32"/>
          <w:szCs w:val="32"/>
        </w:rPr>
        <w:t>1</w:t>
      </w:r>
      <w:r>
        <w:rPr>
          <w:rFonts w:ascii="仿宋_GB2312" w:eastAsia="仿宋_GB2312" w:hAnsi="楷体" w:hint="eastAsia"/>
          <w:sz w:val="32"/>
          <w:szCs w:val="32"/>
        </w:rPr>
        <w:t>分，得分3</w:t>
      </w:r>
      <w:r>
        <w:rPr>
          <w:rFonts w:ascii="仿宋_GB2312" w:eastAsia="仿宋_GB2312" w:hAnsi="楷体"/>
          <w:sz w:val="32"/>
          <w:szCs w:val="32"/>
        </w:rPr>
        <w:t>9</w:t>
      </w:r>
      <w:r>
        <w:rPr>
          <w:rFonts w:ascii="仿宋_GB2312" w:eastAsia="仿宋_GB2312" w:hAnsi="楷体" w:hint="eastAsia"/>
          <w:sz w:val="32"/>
          <w:szCs w:val="32"/>
        </w:rPr>
        <w:t>分。</w:t>
      </w:r>
    </w:p>
    <w:p>
      <w:pPr>
        <w:pStyle w:val="Heading2"/>
        <w:spacing w:before="120" w:after="0" w:line="360" w:lineRule="auto"/>
        <w:ind w:left="710"/>
        <w:rPr>
          <w:rFonts w:ascii="楷体_GB2312" w:eastAsia="楷体_GB2312" w:hAnsi="仿宋"/>
        </w:rPr>
      </w:pPr>
      <w:bookmarkStart w:id="66" w:name="_Toc112692612"/>
      <w:r>
        <w:rPr>
          <w:rFonts w:ascii="楷体_GB2312" w:eastAsia="楷体_GB2312" w:hAnsi="仿宋" w:hint="eastAsia"/>
        </w:rPr>
        <w:t>（四）自评组织工作</w:t>
      </w:r>
      <w:bookmarkEnd w:id="66"/>
    </w:p>
    <w:p>
      <w:pPr>
        <w:spacing w:line="360" w:lineRule="auto"/>
        <w:ind w:firstLine="420" w:firstLineChars="200"/>
        <w:rPr>
          <w:rFonts w:ascii="仿宋_GB2312" w:eastAsia="仿宋_GB2312" w:hAnsi="仿宋"/>
          <w:b/>
          <w:sz w:val="32"/>
          <w:szCs w:val="32"/>
        </w:rPr>
      </w:pPr>
      <w:r>
        <w:rPr>
          <w:rFonts w:ascii="仿宋_GB2312" w:eastAsia="仿宋_GB2312" w:hAnsi="仿宋" w:cstheme="majorBidi" w:hint="eastAsia"/>
          <w:bCs/>
          <w:sz w:val="32"/>
          <w:szCs w:val="32"/>
        </w:rPr>
        <w:t>自评组织工作指标主要考核项目单位对自评工作的态度和自评工作质量，包括自评工作质量和自评工作态度两个二级指标。指标满分</w:t>
      </w:r>
      <w:r>
        <w:rPr>
          <w:rFonts w:ascii="仿宋_GB2312" w:eastAsia="仿宋_GB2312" w:hAnsi="仿宋" w:cstheme="majorBidi"/>
          <w:bCs/>
          <w:sz w:val="32"/>
          <w:szCs w:val="32"/>
        </w:rPr>
        <w:t>10</w:t>
      </w:r>
      <w:r>
        <w:rPr>
          <w:rFonts w:ascii="仿宋_GB2312" w:eastAsia="仿宋_GB2312" w:hAnsi="仿宋" w:cstheme="majorBidi" w:hint="eastAsia"/>
          <w:bCs/>
          <w:sz w:val="32"/>
          <w:szCs w:val="32"/>
        </w:rPr>
        <w:t>分，综合评价得分</w:t>
      </w:r>
      <w:r>
        <w:rPr>
          <w:rFonts w:ascii="仿宋_GB2312" w:eastAsia="仿宋_GB2312" w:hAnsi="仿宋" w:cstheme="majorBidi"/>
          <w:bCs/>
          <w:sz w:val="32"/>
          <w:szCs w:val="32"/>
        </w:rPr>
        <w:t>6.5</w:t>
      </w:r>
      <w:r>
        <w:rPr>
          <w:rFonts w:ascii="仿宋_GB2312" w:eastAsia="仿宋_GB2312" w:hAnsi="仿宋" w:cstheme="majorBidi" w:hint="eastAsia"/>
          <w:bCs/>
          <w:sz w:val="32"/>
          <w:szCs w:val="32"/>
        </w:rPr>
        <w:t>分，得分率</w:t>
      </w:r>
      <w:r>
        <w:rPr>
          <w:rFonts w:ascii="仿宋_GB2312" w:eastAsia="仿宋_GB2312" w:hAnsi="仿宋" w:cstheme="majorBidi"/>
          <w:bCs/>
          <w:sz w:val="32"/>
          <w:szCs w:val="32"/>
        </w:rPr>
        <w:t>65</w:t>
      </w:r>
      <w:r>
        <w:rPr>
          <w:rFonts w:ascii="仿宋_GB2312" w:eastAsia="仿宋_GB2312" w:hAnsi="仿宋" w:cstheme="majorBidi" w:hint="eastAsia"/>
          <w:bCs/>
          <w:sz w:val="32"/>
          <w:szCs w:val="32"/>
        </w:rPr>
        <w:t>%。</w:t>
      </w:r>
    </w:p>
    <w:p>
      <w:pPr>
        <w:spacing w:line="360" w:lineRule="auto"/>
        <w:ind w:firstLine="420" w:firstLineChars="200"/>
        <w:rPr>
          <w:rFonts w:ascii="仿宋_GB2312" w:eastAsia="仿宋_GB2312" w:hAnsi="仿宋"/>
          <w:b/>
          <w:sz w:val="32"/>
          <w:szCs w:val="32"/>
        </w:rPr>
      </w:pPr>
      <w:r>
        <w:rPr>
          <w:rFonts w:ascii="仿宋_GB2312" w:eastAsia="仿宋_GB2312" w:hAnsi="仿宋" w:hint="eastAsia"/>
          <w:b/>
          <w:sz w:val="32"/>
          <w:szCs w:val="32"/>
        </w:rPr>
        <w:t>1.</w:t>
      </w:r>
      <w:r>
        <w:rPr>
          <w:rFonts w:hint="eastAsia"/>
        </w:rPr>
        <w:t xml:space="preserve"> </w:t>
      </w:r>
      <w:r>
        <w:rPr>
          <w:rFonts w:ascii="仿宋_GB2312" w:eastAsia="仿宋_GB2312" w:hAnsi="仿宋" w:hint="eastAsia"/>
          <w:b/>
          <w:sz w:val="32"/>
          <w:szCs w:val="32"/>
        </w:rPr>
        <w:t>自评工作质量</w:t>
      </w:r>
    </w:p>
    <w:p>
      <w:pPr>
        <w:spacing w:line="360" w:lineRule="auto"/>
        <w:ind w:firstLine="420" w:firstLineChars="200"/>
        <w:rPr>
          <w:rFonts w:ascii="仿宋_GB2312" w:eastAsia="仿宋_GB2312" w:hAnsi="楷体"/>
          <w:sz w:val="32"/>
          <w:szCs w:val="32"/>
        </w:rPr>
      </w:pPr>
      <w:r>
        <w:rPr>
          <w:rFonts w:ascii="仿宋_GB2312" w:eastAsia="仿宋_GB2312" w:hAnsi="楷体" w:hint="eastAsia"/>
          <w:sz w:val="32"/>
          <w:szCs w:val="32"/>
        </w:rPr>
        <w:t>项目单位按照文件要求填报自评表，自评表的内容基本清晰，附件材料完整性一般，自评工作整体质量一般。</w:t>
      </w:r>
    </w:p>
    <w:p>
      <w:pPr>
        <w:spacing w:line="360" w:lineRule="auto"/>
        <w:ind w:firstLine="420" w:firstLineChars="200"/>
        <w:rPr>
          <w:rFonts w:ascii="仿宋_GB2312" w:eastAsia="仿宋_GB2312" w:hAnsi="仿宋" w:cstheme="majorBidi"/>
          <w:bCs/>
          <w:sz w:val="32"/>
          <w:szCs w:val="32"/>
        </w:rPr>
      </w:pPr>
      <w:r>
        <w:rPr>
          <w:rFonts w:ascii="仿宋_GB2312" w:eastAsia="仿宋_GB2312" w:hAnsi="楷体" w:hint="eastAsia"/>
          <w:sz w:val="32"/>
          <w:szCs w:val="32"/>
        </w:rPr>
        <w:t>根据评分标准，该指标满分</w:t>
      </w:r>
      <w:r>
        <w:rPr>
          <w:rFonts w:ascii="仿宋_GB2312" w:eastAsia="仿宋_GB2312" w:hAnsi="楷体"/>
          <w:sz w:val="32"/>
          <w:szCs w:val="32"/>
        </w:rPr>
        <w:t>5</w:t>
      </w:r>
      <w:r>
        <w:rPr>
          <w:rFonts w:ascii="仿宋_GB2312" w:eastAsia="仿宋_GB2312" w:hAnsi="楷体" w:hint="eastAsia"/>
          <w:sz w:val="32"/>
          <w:szCs w:val="32"/>
        </w:rPr>
        <w:t>分，因自评工作整体质量一般扣</w:t>
      </w:r>
      <w:r>
        <w:rPr>
          <w:rFonts w:ascii="仿宋_GB2312" w:eastAsia="仿宋_GB2312" w:hAnsi="楷体"/>
          <w:sz w:val="32"/>
          <w:szCs w:val="32"/>
        </w:rPr>
        <w:t>1.5</w:t>
      </w:r>
      <w:r>
        <w:rPr>
          <w:rFonts w:ascii="仿宋_GB2312" w:eastAsia="仿宋_GB2312" w:hAnsi="楷体" w:hint="eastAsia"/>
          <w:sz w:val="32"/>
          <w:szCs w:val="32"/>
        </w:rPr>
        <w:t>分，得分</w:t>
      </w:r>
      <w:r>
        <w:rPr>
          <w:rFonts w:ascii="仿宋_GB2312" w:eastAsia="仿宋_GB2312" w:hAnsi="楷体"/>
          <w:sz w:val="32"/>
          <w:szCs w:val="32"/>
        </w:rPr>
        <w:t>3.5</w:t>
      </w:r>
      <w:r>
        <w:rPr>
          <w:rFonts w:ascii="仿宋_GB2312" w:eastAsia="仿宋_GB2312" w:hAnsi="楷体" w:hint="eastAsia"/>
          <w:sz w:val="32"/>
          <w:szCs w:val="32"/>
        </w:rPr>
        <w:t>分。</w:t>
      </w:r>
    </w:p>
    <w:p>
      <w:pPr>
        <w:spacing w:line="360" w:lineRule="auto"/>
        <w:ind w:firstLine="420" w:firstLineChars="200"/>
        <w:rPr>
          <w:rFonts w:ascii="仿宋_GB2312" w:eastAsia="仿宋_GB2312" w:hAnsi="仿宋"/>
          <w:b/>
          <w:sz w:val="32"/>
          <w:szCs w:val="32"/>
        </w:rPr>
      </w:pPr>
      <w:r>
        <w:rPr>
          <w:rFonts w:ascii="仿宋_GB2312" w:eastAsia="仿宋_GB2312" w:hAnsi="仿宋"/>
          <w:b/>
          <w:sz w:val="32"/>
          <w:szCs w:val="32"/>
        </w:rPr>
        <w:t>2</w:t>
      </w:r>
      <w:r>
        <w:rPr>
          <w:rFonts w:ascii="仿宋_GB2312" w:eastAsia="仿宋_GB2312" w:hAnsi="仿宋" w:hint="eastAsia"/>
          <w:b/>
          <w:sz w:val="32"/>
          <w:szCs w:val="32"/>
        </w:rPr>
        <w:t>.</w:t>
      </w:r>
      <w:r>
        <w:rPr>
          <w:rFonts w:hint="eastAsia"/>
        </w:rPr>
        <w:t xml:space="preserve"> </w:t>
      </w:r>
      <w:r>
        <w:rPr>
          <w:rFonts w:ascii="仿宋_GB2312" w:eastAsia="仿宋_GB2312" w:hAnsi="仿宋" w:hint="eastAsia"/>
          <w:b/>
          <w:sz w:val="32"/>
          <w:szCs w:val="32"/>
        </w:rPr>
        <w:t>自评工作态度</w:t>
      </w:r>
    </w:p>
    <w:p>
      <w:pPr>
        <w:ind w:firstLine="420" w:firstLineChars="200"/>
        <w:rPr>
          <w:rFonts w:eastAsia="仿宋_GB2312"/>
          <w:sz w:val="32"/>
          <w:szCs w:val="20"/>
        </w:rPr>
      </w:pPr>
      <w:r>
        <w:rPr>
          <w:rFonts w:ascii="仿宋_GB2312" w:eastAsia="仿宋_GB2312" w:hAnsi="楷体" w:hint="eastAsia"/>
          <w:sz w:val="32"/>
          <w:szCs w:val="32"/>
        </w:rPr>
        <w:t>项目单位对自评工作的重视程度不够高，</w:t>
      </w:r>
      <w:r>
        <w:rPr>
          <w:rFonts w:eastAsia="仿宋_GB2312" w:hint="eastAsia"/>
          <w:sz w:val="32"/>
          <w:szCs w:val="20"/>
        </w:rPr>
        <w:t>无通过自评总结经验以及提出下一步改进工作的意见和建议，自评材料整体质量一般，自评工作组织管理有待提升。</w:t>
      </w:r>
    </w:p>
    <w:p>
      <w:pPr>
        <w:ind w:firstLine="420" w:firstLineChars="200"/>
        <w:rPr>
          <w:rFonts w:ascii="仿宋_GB2312" w:eastAsia="仿宋_GB2312" w:hAnsi="仿宋" w:cstheme="minorBidi"/>
          <w:sz w:val="32"/>
          <w:szCs w:val="32"/>
        </w:rPr>
        <w:sectPr>
          <w:footerReference w:type="default" r:id="rId10"/>
          <w:pgSz w:w="11906" w:h="16838"/>
          <w:pgMar w:top="1440" w:right="1800" w:bottom="1440" w:left="1800" w:header="851" w:footer="992" w:gutter="0"/>
          <w:pgNumType w:start="1"/>
          <w:cols w:num="1" w:space="425"/>
          <w:docGrid w:type="lines" w:linePitch="312" w:charSpace="0"/>
        </w:sectPr>
      </w:pPr>
      <w:r>
        <w:rPr>
          <w:rFonts w:ascii="仿宋_GB2312" w:eastAsia="仿宋_GB2312" w:hAnsi="楷体" w:hint="eastAsia"/>
          <w:sz w:val="32"/>
          <w:szCs w:val="32"/>
        </w:rPr>
        <w:t>根据评分标准，该指标满分</w:t>
      </w:r>
      <w:r>
        <w:rPr>
          <w:rFonts w:ascii="仿宋_GB2312" w:eastAsia="仿宋_GB2312" w:hAnsi="楷体"/>
          <w:sz w:val="32"/>
          <w:szCs w:val="32"/>
        </w:rPr>
        <w:t>5</w:t>
      </w:r>
      <w:r>
        <w:rPr>
          <w:rFonts w:ascii="仿宋_GB2312" w:eastAsia="仿宋_GB2312" w:hAnsi="楷体" w:hint="eastAsia"/>
          <w:sz w:val="32"/>
          <w:szCs w:val="32"/>
        </w:rPr>
        <w:t>分，无通过自评总结经验扣</w:t>
      </w:r>
      <w:r>
        <w:rPr>
          <w:rFonts w:ascii="仿宋_GB2312" w:eastAsia="仿宋_GB2312" w:hAnsi="楷体"/>
          <w:sz w:val="32"/>
          <w:szCs w:val="32"/>
        </w:rPr>
        <w:t>2</w:t>
      </w:r>
      <w:r>
        <w:rPr>
          <w:rFonts w:ascii="仿宋_GB2312" w:eastAsia="仿宋_GB2312" w:hAnsi="楷体" w:hint="eastAsia"/>
          <w:sz w:val="32"/>
          <w:szCs w:val="32"/>
        </w:rPr>
        <w:t>分，得分</w:t>
      </w:r>
      <w:r>
        <w:rPr>
          <w:rFonts w:ascii="仿宋_GB2312" w:eastAsia="仿宋_GB2312" w:hAnsi="楷体"/>
          <w:sz w:val="32"/>
          <w:szCs w:val="32"/>
        </w:rPr>
        <w:t>3</w:t>
      </w:r>
      <w:r>
        <w:rPr>
          <w:rFonts w:ascii="仿宋_GB2312" w:eastAsia="仿宋_GB2312" w:hAnsi="楷体" w:hint="eastAsia"/>
          <w:sz w:val="32"/>
          <w:szCs w:val="32"/>
        </w:rPr>
        <w:t>分。</w:t>
      </w:r>
    </w:p>
    <w:p>
      <w:pPr>
        <w:pStyle w:val="Heading1"/>
      </w:pPr>
      <w:bookmarkStart w:id="67" w:name="_Toc112692613"/>
      <w:r>
        <w:rPr>
          <w:rFonts w:hint="eastAsia"/>
        </w:rPr>
        <w:t>第三部分 附件</w:t>
      </w:r>
      <w:bookmarkEnd w:id="67"/>
    </w:p>
    <w:p>
      <w:pPr>
        <w:pStyle w:val="Heading1"/>
      </w:pPr>
      <w:bookmarkStart w:id="68" w:name="_Toc112692614"/>
      <w:r>
        <w:rPr>
          <w:rFonts w:hint="eastAsia"/>
        </w:rPr>
        <w:t>附件：1.绩效评价体系评分表</w:t>
      </w:r>
      <w:bookmarkEnd w:id="68"/>
    </w:p>
    <w:tbl>
      <w:tblPr>
        <w:tblStyle w:val="TableNormal"/>
        <w:tblW w:w="1388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440"/>
        <w:gridCol w:w="1700"/>
        <w:gridCol w:w="6400"/>
        <w:gridCol w:w="1228"/>
        <w:gridCol w:w="3119"/>
      </w:tblGrid>
      <w:tr>
        <w:tblPrEx>
          <w:tblW w:w="13887"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43"/>
        </w:trPr>
        <w:tc>
          <w:tcPr>
            <w:tcW w:w="1440" w:type="dxa"/>
            <w:shd w:val="clear" w:color="auto" w:fill="F1F1F1" w:themeFill="background1" w:themeFillShade="F2"/>
            <w:vAlign w:val="center"/>
          </w:tcPr>
          <w:p>
            <w:pPr>
              <w:widowControl/>
              <w:jc w:val="center"/>
              <w:rPr>
                <w:rFonts w:ascii="仿宋_GB2312" w:eastAsia="仿宋_GB2312" w:hAnsi="宋体" w:cs="宋体"/>
                <w:b/>
                <w:bCs/>
                <w:kern w:val="0"/>
                <w:sz w:val="24"/>
              </w:rPr>
            </w:pPr>
            <w:bookmarkStart w:id="69" w:name="RANGE!A4"/>
            <w:r>
              <w:rPr>
                <w:rFonts w:ascii="仿宋_GB2312" w:eastAsia="仿宋_GB2312" w:hAnsi="宋体" w:cs="宋体" w:hint="eastAsia"/>
                <w:b/>
                <w:bCs/>
                <w:kern w:val="0"/>
                <w:sz w:val="24"/>
              </w:rPr>
              <w:t>一级指标</w:t>
            </w:r>
            <w:bookmarkEnd w:id="69"/>
          </w:p>
        </w:tc>
        <w:tc>
          <w:tcPr>
            <w:tcW w:w="1700" w:type="dxa"/>
            <w:shd w:val="clear" w:color="auto" w:fill="F1F1F1" w:themeFill="background1" w:themeFillShade="F2"/>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二级指标</w:t>
            </w:r>
          </w:p>
        </w:tc>
        <w:tc>
          <w:tcPr>
            <w:tcW w:w="6400" w:type="dxa"/>
            <w:shd w:val="clear" w:color="auto" w:fill="F1F1F1" w:themeFill="background1" w:themeFillShade="F2"/>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评分标准</w:t>
            </w:r>
          </w:p>
        </w:tc>
        <w:tc>
          <w:tcPr>
            <w:tcW w:w="1228" w:type="dxa"/>
            <w:shd w:val="clear" w:color="auto" w:fill="F1F1F1" w:themeFill="background1" w:themeFillShade="F2"/>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专家评分</w:t>
            </w:r>
          </w:p>
        </w:tc>
        <w:tc>
          <w:tcPr>
            <w:tcW w:w="3119" w:type="dxa"/>
            <w:shd w:val="clear" w:color="auto" w:fill="F1F1F1" w:themeFill="background1" w:themeFillShade="F2"/>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说明</w:t>
            </w:r>
          </w:p>
        </w:tc>
      </w:tr>
      <w:tr>
        <w:tblPrEx>
          <w:tblW w:w="13887" w:type="dxa"/>
          <w:tblInd w:w="113" w:type="dxa"/>
          <w:tblCellMar>
            <w:top w:w="0" w:type="dxa"/>
            <w:left w:w="108" w:type="dxa"/>
            <w:bottom w:w="0" w:type="dxa"/>
            <w:right w:w="108" w:type="dxa"/>
          </w:tblCellMar>
        </w:tblPrEx>
        <w:trPr>
          <w:trHeight w:val="540"/>
        </w:trPr>
        <w:tc>
          <w:tcPr>
            <w:tcW w:w="144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资金管理水平（20分）</w:t>
            </w:r>
          </w:p>
        </w:tc>
        <w:tc>
          <w:tcPr>
            <w:tcW w:w="170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财务管理制度（5分）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（1）建立健全的单位内部财务管理制度，要求提供。（有，得3分；无，得0分）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项目单位内部已建立健全的财务管理制度</w:t>
            </w:r>
          </w:p>
        </w:tc>
      </w:tr>
      <w:tr>
        <w:tblPrEx>
          <w:tblW w:w="13887" w:type="dxa"/>
          <w:tblInd w:w="113" w:type="dxa"/>
          <w:tblCellMar>
            <w:top w:w="0" w:type="dxa"/>
            <w:left w:w="108" w:type="dxa"/>
            <w:bottom w:w="0" w:type="dxa"/>
            <w:right w:w="108" w:type="dxa"/>
          </w:tblCellMar>
        </w:tblPrEx>
        <w:trPr>
          <w:trHeight w:val="54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（2）制定项目资金管理办法，且符合有关财务会计制度，要求提供。（有或不需要制定，得2分；有必要制定但无制定，得0分）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缺乏针对地质灾害专项的资金管理办法</w:t>
            </w:r>
          </w:p>
        </w:tc>
      </w:tr>
      <w:tr>
        <w:tblPrEx>
          <w:tblW w:w="13887" w:type="dxa"/>
          <w:tblInd w:w="113" w:type="dxa"/>
          <w:tblCellMar>
            <w:top w:w="0" w:type="dxa"/>
            <w:left w:w="108" w:type="dxa"/>
            <w:bottom w:w="0" w:type="dxa"/>
            <w:right w:w="108" w:type="dxa"/>
          </w:tblCellMar>
        </w:tblPrEx>
        <w:trPr>
          <w:trHeight w:val="660"/>
        </w:trPr>
        <w:tc>
          <w:tcPr>
            <w:tcW w:w="1440" w:type="dxa"/>
            <w:vMerge/>
            <w:vAlign w:val="center"/>
          </w:tcPr>
          <w:p>
            <w:pPr>
              <w:widowControl/>
              <w:jc w:val="left"/>
              <w:rPr>
                <w:rFonts w:ascii="仿宋_GB2312" w:eastAsia="仿宋_GB2312" w:hAnsi="宋体" w:cs="宋体"/>
                <w:kern w:val="0"/>
                <w:sz w:val="24"/>
              </w:rPr>
            </w:pPr>
          </w:p>
        </w:tc>
        <w:tc>
          <w:tcPr>
            <w:tcW w:w="170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资金管理及制度落实情况（10分）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（1）年初预算项目要求提供项目实施方案。（符合要求，得2分；无，得0分）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项目单位编制了《江门市江海区2021年度地质灾害防治方案》，但缺乏项目实施的具体方案</w:t>
            </w:r>
          </w:p>
        </w:tc>
      </w:tr>
      <w:tr>
        <w:tblPrEx>
          <w:tblW w:w="13887" w:type="dxa"/>
          <w:tblInd w:w="113" w:type="dxa"/>
          <w:tblCellMar>
            <w:top w:w="0" w:type="dxa"/>
            <w:left w:w="108" w:type="dxa"/>
            <w:bottom w:w="0" w:type="dxa"/>
            <w:right w:w="108" w:type="dxa"/>
          </w:tblCellMar>
        </w:tblPrEx>
        <w:trPr>
          <w:trHeight w:val="81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（2）资金支出进度与预算批复、合同等有关规定的相符程度。（完全相符或支出率达100％，符合二者中其一的都得满分6分；支出率每降10％，扣得1分；不相符，得0分）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6</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项目整体资金支出率为99.76%</w:t>
            </w:r>
          </w:p>
        </w:tc>
      </w:tr>
      <w:tr>
        <w:tblPrEx>
          <w:tblW w:w="13887" w:type="dxa"/>
          <w:tblInd w:w="113" w:type="dxa"/>
          <w:tblCellMar>
            <w:top w:w="0" w:type="dxa"/>
            <w:left w:w="108" w:type="dxa"/>
            <w:bottom w:w="0" w:type="dxa"/>
            <w:right w:w="108" w:type="dxa"/>
          </w:tblCellMar>
        </w:tblPrEx>
        <w:trPr>
          <w:trHeight w:val="81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（3）资金使用是否专款专用、规范、有效控制成本和调动资金等情况。（资金使用规范高效，得2分；一般，得1.5分；较差，得1-0分）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专款专用，通过招标采购等方式有效控制成本，资金使用合规</w:t>
            </w:r>
          </w:p>
        </w:tc>
      </w:tr>
      <w:tr>
        <w:tblPrEx>
          <w:tblW w:w="13887" w:type="dxa"/>
          <w:tblInd w:w="113" w:type="dxa"/>
          <w:tblCellMar>
            <w:top w:w="0" w:type="dxa"/>
            <w:left w:w="108" w:type="dxa"/>
            <w:bottom w:w="0" w:type="dxa"/>
            <w:right w:w="108" w:type="dxa"/>
          </w:tblCellMar>
        </w:tblPrEx>
        <w:trPr>
          <w:trHeight w:val="540"/>
        </w:trPr>
        <w:tc>
          <w:tcPr>
            <w:tcW w:w="1440" w:type="dxa"/>
            <w:vMerge/>
            <w:vAlign w:val="center"/>
          </w:tcPr>
          <w:p>
            <w:pPr>
              <w:widowControl/>
              <w:jc w:val="left"/>
              <w:rPr>
                <w:rFonts w:ascii="仿宋_GB2312" w:eastAsia="仿宋_GB2312" w:hAnsi="宋体" w:cs="宋体"/>
                <w:kern w:val="0"/>
                <w:sz w:val="24"/>
              </w:rPr>
            </w:pPr>
          </w:p>
        </w:tc>
        <w:tc>
          <w:tcPr>
            <w:tcW w:w="170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资金使用的合理性（5分）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（1）整体支出构成内容的合理性。（合理，得3分；一般，酌情得2.5-1分；不合理，得0分）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整体支出内容构成合理</w:t>
            </w:r>
          </w:p>
        </w:tc>
      </w:tr>
      <w:tr>
        <w:tblPrEx>
          <w:tblW w:w="13887" w:type="dxa"/>
          <w:tblInd w:w="113" w:type="dxa"/>
          <w:tblCellMar>
            <w:top w:w="0" w:type="dxa"/>
            <w:left w:w="108" w:type="dxa"/>
            <w:bottom w:w="0" w:type="dxa"/>
            <w:right w:w="108" w:type="dxa"/>
          </w:tblCellMar>
        </w:tblPrEx>
        <w:trPr>
          <w:trHeight w:val="885"/>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（2）清楚说明支出构成的标准、数量及计算依据。（清晰，得2分；一般，得1.5-1分；不清晰，得0分）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清楚说明了支出构成的标准、数量及计算依据，并提供了相应的佐证材料</w:t>
            </w:r>
          </w:p>
        </w:tc>
      </w:tr>
      <w:tr>
        <w:tblPrEx>
          <w:tblW w:w="13887" w:type="dxa"/>
          <w:tblInd w:w="113" w:type="dxa"/>
          <w:tblCellMar>
            <w:top w:w="0" w:type="dxa"/>
            <w:left w:w="108" w:type="dxa"/>
            <w:bottom w:w="0" w:type="dxa"/>
            <w:right w:w="108" w:type="dxa"/>
          </w:tblCellMar>
        </w:tblPrEx>
        <w:trPr>
          <w:trHeight w:val="540"/>
        </w:trPr>
        <w:tc>
          <w:tcPr>
            <w:tcW w:w="144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项目管理水平（20分）</w:t>
            </w:r>
          </w:p>
        </w:tc>
        <w:tc>
          <w:tcPr>
            <w:tcW w:w="170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项目管理情况（6分）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（1）项目有无成立管理部门（科室）或机构。（有，得1分；无，得0分）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有成立管理科室</w:t>
            </w:r>
          </w:p>
        </w:tc>
      </w:tr>
      <w:tr>
        <w:tblPrEx>
          <w:tblW w:w="13887" w:type="dxa"/>
          <w:tblInd w:w="113" w:type="dxa"/>
          <w:tblCellMar>
            <w:top w:w="0" w:type="dxa"/>
            <w:left w:w="108" w:type="dxa"/>
            <w:bottom w:w="0" w:type="dxa"/>
            <w:right w:w="108" w:type="dxa"/>
          </w:tblCellMar>
        </w:tblPrEx>
        <w:trPr>
          <w:trHeight w:val="54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（2）项目实施方案的科学性、合理性和可操性。（良好，得2分；一般，酌情得1.5-1分；无方案，得0分）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kern w:val="0"/>
                <w:sz w:val="24"/>
              </w:rPr>
              <w:t>1.5</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项目单位编制了《江门市江海区2021年度地质灾害防治方案》，防治方案较合理，但缺乏项目实施的具体方案</w:t>
            </w:r>
          </w:p>
        </w:tc>
      </w:tr>
      <w:tr>
        <w:tblPrEx>
          <w:tblW w:w="13887" w:type="dxa"/>
          <w:tblInd w:w="113" w:type="dxa"/>
          <w:tblCellMar>
            <w:top w:w="0" w:type="dxa"/>
            <w:left w:w="108" w:type="dxa"/>
            <w:bottom w:w="0" w:type="dxa"/>
            <w:right w:w="108" w:type="dxa"/>
          </w:tblCellMar>
        </w:tblPrEx>
        <w:trPr>
          <w:trHeight w:val="108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1）有无为实现绩效目标（含工作目标）制定建立项目实施管理办法或保障措施，且合理、有效到位，如有应提供有关制度文件。（有且较完善，得2分；有但不够完善，得1.5分；无建立制度或有建立制度但未提供，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未针对该专项制定建立项目实施管理办法或保障措施</w:t>
            </w:r>
          </w:p>
        </w:tc>
      </w:tr>
      <w:tr>
        <w:tblPrEx>
          <w:tblW w:w="13887" w:type="dxa"/>
          <w:tblInd w:w="113" w:type="dxa"/>
          <w:tblCellMar>
            <w:top w:w="0" w:type="dxa"/>
            <w:left w:w="108" w:type="dxa"/>
            <w:bottom w:w="0" w:type="dxa"/>
            <w:right w:w="108" w:type="dxa"/>
          </w:tblCellMar>
        </w:tblPrEx>
        <w:trPr>
          <w:trHeight w:val="117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（2）项目如有调整，调整内容是否合理，是否办理相关审批手续。（无调整或已办审批调整，得1分；未经审批擅自调整内容，得0分）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因年中新增地质灾害点需治理而追加400万元资金用于支付治理工程进度款，项目单位按照规定办理了相关审批手续，项目调整内容合理</w:t>
            </w:r>
          </w:p>
        </w:tc>
      </w:tr>
      <w:tr>
        <w:tblPrEx>
          <w:tblW w:w="13887" w:type="dxa"/>
          <w:tblInd w:w="113" w:type="dxa"/>
          <w:tblCellMar>
            <w:top w:w="0" w:type="dxa"/>
            <w:left w:w="108" w:type="dxa"/>
            <w:bottom w:w="0" w:type="dxa"/>
            <w:right w:w="108" w:type="dxa"/>
          </w:tblCellMar>
        </w:tblPrEx>
        <w:trPr>
          <w:trHeight w:val="1080"/>
        </w:trPr>
        <w:tc>
          <w:tcPr>
            <w:tcW w:w="1440" w:type="dxa"/>
            <w:vMerge/>
            <w:vAlign w:val="center"/>
          </w:tcPr>
          <w:p>
            <w:pPr>
              <w:widowControl/>
              <w:jc w:val="left"/>
              <w:rPr>
                <w:rFonts w:ascii="仿宋_GB2312" w:eastAsia="仿宋_GB2312" w:hAnsi="宋体" w:cs="宋体"/>
                <w:kern w:val="0"/>
                <w:sz w:val="24"/>
              </w:rPr>
            </w:pPr>
          </w:p>
        </w:tc>
        <w:tc>
          <w:tcPr>
            <w:tcW w:w="170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项目完成情况（9分）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（1）项目工作的具体实施内容和具体实施过程，跨年度项目应包括开工至报告年份的进度情况以及当年完成的具体内容。（表述清晰、完整，得2分；一般酌情，给1.5-1分；不清晰也不完整，得0分）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项目单位对项目工作的具体实施内容和具体实施过程表述清晰、完整</w:t>
            </w:r>
          </w:p>
        </w:tc>
      </w:tr>
      <w:tr>
        <w:tblPrEx>
          <w:tblW w:w="13887" w:type="dxa"/>
          <w:tblInd w:w="113" w:type="dxa"/>
          <w:tblCellMar>
            <w:top w:w="0" w:type="dxa"/>
            <w:left w:w="108" w:type="dxa"/>
            <w:bottom w:w="0" w:type="dxa"/>
            <w:right w:w="108" w:type="dxa"/>
          </w:tblCellMar>
        </w:tblPrEx>
        <w:trPr>
          <w:trHeight w:val="81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（2）项目开展进度（如项目有调整，应与调整后的内容进度相符）。（完成计划量100％，得5分；完成计划量每下降10％，扣0.5分）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项目按照计划开展，完成计划量100%</w:t>
            </w:r>
          </w:p>
        </w:tc>
      </w:tr>
      <w:tr>
        <w:tblPrEx>
          <w:tblW w:w="13887" w:type="dxa"/>
          <w:tblInd w:w="113" w:type="dxa"/>
          <w:tblCellMar>
            <w:top w:w="0" w:type="dxa"/>
            <w:left w:w="108" w:type="dxa"/>
            <w:bottom w:w="0" w:type="dxa"/>
            <w:right w:w="108" w:type="dxa"/>
          </w:tblCellMar>
        </w:tblPrEx>
        <w:trPr>
          <w:trHeight w:val="108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（3）项目有否进行完工检查或验收，包括（工作总结汇报、中介机构加具审核意见的工程进度情况书面报告等）。（有完工验收且能提供相关报告，得2分；有完工验收但无提供相关报告，得1分；都无，得0分）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已完工的工程项目和设备建设项目均进行了完工验收，且能提供相关验收报告。</w:t>
            </w:r>
          </w:p>
        </w:tc>
      </w:tr>
      <w:tr>
        <w:tblPrEx>
          <w:tblW w:w="13887" w:type="dxa"/>
          <w:tblInd w:w="113" w:type="dxa"/>
          <w:tblCellMar>
            <w:top w:w="0" w:type="dxa"/>
            <w:left w:w="108" w:type="dxa"/>
            <w:bottom w:w="0" w:type="dxa"/>
            <w:right w:w="108" w:type="dxa"/>
          </w:tblCellMar>
        </w:tblPrEx>
        <w:trPr>
          <w:trHeight w:val="1080"/>
        </w:trPr>
        <w:tc>
          <w:tcPr>
            <w:tcW w:w="1440" w:type="dxa"/>
            <w:vMerge/>
            <w:vAlign w:val="center"/>
          </w:tcPr>
          <w:p>
            <w:pPr>
              <w:widowControl/>
              <w:jc w:val="left"/>
              <w:rPr>
                <w:rFonts w:ascii="仿宋_GB2312" w:eastAsia="仿宋_GB2312" w:hAnsi="宋体" w:cs="宋体"/>
                <w:kern w:val="0"/>
                <w:sz w:val="24"/>
              </w:rPr>
            </w:pPr>
          </w:p>
        </w:tc>
        <w:tc>
          <w:tcPr>
            <w:tcW w:w="170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项目实施与改进情况（5分）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（1）总结项目开展的影响因素及改进情况（包括对绩效专家在项目预算申报时提出问题的整改情况）。（能切实反映问题和落实改进措施，得3分；一般，得2.5-1分；无总结，得0分）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0</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无总结项目开发的影响因素及改进情况</w:t>
            </w:r>
          </w:p>
        </w:tc>
      </w:tr>
      <w:tr>
        <w:tblPrEx>
          <w:tblW w:w="13887" w:type="dxa"/>
          <w:tblInd w:w="113" w:type="dxa"/>
          <w:tblCellMar>
            <w:top w:w="0" w:type="dxa"/>
            <w:left w:w="108" w:type="dxa"/>
            <w:bottom w:w="0" w:type="dxa"/>
            <w:right w:w="108" w:type="dxa"/>
          </w:tblCellMar>
        </w:tblPrEx>
        <w:trPr>
          <w:trHeight w:val="81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（2）上一年度绩效评价时专家所提出的意见的整改情况。（专家无提出问题或对问题已落实整改，得2分；部分整改得1分，否则，得0分）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上年度无同类项目的专家评价意见</w:t>
            </w:r>
          </w:p>
        </w:tc>
      </w:tr>
      <w:tr>
        <w:tblPrEx>
          <w:tblW w:w="13887" w:type="dxa"/>
          <w:tblInd w:w="113" w:type="dxa"/>
          <w:tblCellMar>
            <w:top w:w="0" w:type="dxa"/>
            <w:left w:w="108" w:type="dxa"/>
            <w:bottom w:w="0" w:type="dxa"/>
            <w:right w:w="108" w:type="dxa"/>
          </w:tblCellMar>
        </w:tblPrEx>
        <w:trPr>
          <w:trHeight w:val="1080"/>
        </w:trPr>
        <w:tc>
          <w:tcPr>
            <w:tcW w:w="144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项目开展绩效（50分）</w:t>
            </w:r>
          </w:p>
        </w:tc>
        <w:tc>
          <w:tcPr>
            <w:tcW w:w="170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评价指标体系和评价标准的科学性和合理性（10分）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1）评价指标设置能运用定量指标与定性指标相结合，系统反映项目支出的经济效益、社会效益、环境效益和可持续影响等。（定量指标和定性指标相结合，得4分；只有定量指标，得3分；只有定性指标，得2分；都无，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评价指标设置能运用定量指标与定性指标相结合，但指标设置不够全面，缺乏反映项目实施效果的关键指标</w:t>
            </w:r>
          </w:p>
        </w:tc>
      </w:tr>
      <w:tr>
        <w:tblPrEx>
          <w:tblW w:w="13887" w:type="dxa"/>
          <w:tblInd w:w="113" w:type="dxa"/>
          <w:tblCellMar>
            <w:top w:w="0" w:type="dxa"/>
            <w:left w:w="108" w:type="dxa"/>
            <w:bottom w:w="0" w:type="dxa"/>
            <w:right w:w="108" w:type="dxa"/>
          </w:tblCellMar>
        </w:tblPrEx>
        <w:trPr>
          <w:trHeight w:val="645"/>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（2）设置个性化的评价指标。（有个性指标，得2分；只有共性指标，得1分；都无，得0分）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结合项目特点设置了个性化的评价指标</w:t>
            </w:r>
          </w:p>
        </w:tc>
      </w:tr>
      <w:tr>
        <w:tblPrEx>
          <w:tblW w:w="13887" w:type="dxa"/>
          <w:tblInd w:w="113" w:type="dxa"/>
          <w:tblCellMar>
            <w:top w:w="0" w:type="dxa"/>
            <w:left w:w="108" w:type="dxa"/>
            <w:bottom w:w="0" w:type="dxa"/>
            <w:right w:w="108" w:type="dxa"/>
          </w:tblCellMar>
        </w:tblPrEx>
        <w:trPr>
          <w:trHeight w:val="93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（3）评价标准的科学性、合理性。（科学、合理，得4分；一般酌情，给3-1分；评价标准过低或无设置评价标准，得0分）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已设置指标的评价标准的设置较科学、合理</w:t>
            </w:r>
          </w:p>
        </w:tc>
      </w:tr>
      <w:tr>
        <w:tblPrEx>
          <w:tblW w:w="13887" w:type="dxa"/>
          <w:tblInd w:w="113" w:type="dxa"/>
          <w:tblCellMar>
            <w:top w:w="0" w:type="dxa"/>
            <w:left w:w="108" w:type="dxa"/>
            <w:bottom w:w="0" w:type="dxa"/>
            <w:right w:w="108" w:type="dxa"/>
          </w:tblCellMar>
        </w:tblPrEx>
        <w:trPr>
          <w:trHeight w:val="810"/>
        </w:trPr>
        <w:tc>
          <w:tcPr>
            <w:tcW w:w="1440" w:type="dxa"/>
            <w:vMerge/>
            <w:vAlign w:val="center"/>
          </w:tcPr>
          <w:p>
            <w:pPr>
              <w:widowControl/>
              <w:jc w:val="left"/>
              <w:rPr>
                <w:rFonts w:ascii="仿宋_GB2312" w:eastAsia="仿宋_GB2312" w:hAnsi="宋体" w:cs="宋体"/>
                <w:kern w:val="0"/>
                <w:sz w:val="24"/>
              </w:rPr>
            </w:pPr>
          </w:p>
        </w:tc>
        <w:tc>
          <w:tcPr>
            <w:tcW w:w="170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绩效目标的完成程度（40分）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（1）绩效目标是否与年初申报时有所调整，解释调整原因。（无调整或原因解释合理，得5分；根据解释合理性，酌情给4.5-1分；原因解释不合理，得0分）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项目年中无调整绩效目标</w:t>
            </w:r>
          </w:p>
        </w:tc>
      </w:tr>
      <w:tr>
        <w:tblPrEx>
          <w:tblW w:w="13887" w:type="dxa"/>
          <w:tblInd w:w="113" w:type="dxa"/>
          <w:tblCellMar>
            <w:top w:w="0" w:type="dxa"/>
            <w:left w:w="108" w:type="dxa"/>
            <w:bottom w:w="0" w:type="dxa"/>
            <w:right w:w="108" w:type="dxa"/>
          </w:tblCellMar>
        </w:tblPrEx>
        <w:trPr>
          <w:trHeight w:val="81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（2）绩效目标完成情况，运用设定的评价指标对比分析项目实施前后的情况。（分析完整、合理，得30分；一般酌情，给25-15分；无完成或无说明，得0分）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r>
              <w:rPr>
                <w:rFonts w:ascii="仿宋_GB2312" w:eastAsia="仿宋_GB2312" w:hAnsi="宋体" w:cs="宋体"/>
                <w:kern w:val="0"/>
                <w:sz w:val="24"/>
              </w:rPr>
              <w:t>9</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无未完成的目标和指标，绩效目标和指标完成程度高，但群众满意度指标完成情况的考量方式不够科学</w:t>
            </w:r>
          </w:p>
        </w:tc>
      </w:tr>
      <w:tr>
        <w:tblPrEx>
          <w:tblW w:w="13887" w:type="dxa"/>
          <w:tblInd w:w="113" w:type="dxa"/>
          <w:tblCellMar>
            <w:top w:w="0" w:type="dxa"/>
            <w:left w:w="108" w:type="dxa"/>
            <w:bottom w:w="0" w:type="dxa"/>
            <w:right w:w="108" w:type="dxa"/>
          </w:tblCellMar>
        </w:tblPrEx>
        <w:trPr>
          <w:trHeight w:val="870"/>
        </w:trPr>
        <w:tc>
          <w:tcPr>
            <w:tcW w:w="1440" w:type="dxa"/>
            <w:vMerge/>
            <w:vAlign w:val="center"/>
          </w:tcPr>
          <w:p>
            <w:pPr>
              <w:widowControl/>
              <w:jc w:val="left"/>
              <w:rPr>
                <w:rFonts w:ascii="仿宋_GB2312" w:eastAsia="仿宋_GB2312" w:hAnsi="宋体" w:cs="宋体"/>
                <w:kern w:val="0"/>
                <w:sz w:val="24"/>
              </w:rPr>
            </w:pPr>
          </w:p>
        </w:tc>
        <w:tc>
          <w:tcPr>
            <w:tcW w:w="1700" w:type="dxa"/>
            <w:vMerge/>
            <w:vAlign w:val="center"/>
          </w:tcPr>
          <w:p>
            <w:pPr>
              <w:widowControl/>
              <w:jc w:val="left"/>
              <w:rPr>
                <w:rFonts w:ascii="仿宋_GB2312" w:eastAsia="仿宋_GB2312" w:hAnsi="宋体" w:cs="宋体"/>
                <w:kern w:val="0"/>
                <w:sz w:val="24"/>
              </w:rPr>
            </w:pP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（3）未完成目标的原因解释是否合理。（已完成或原因解释合理，得5分；一般酌情，给4.5-1分；无解释未完成原因，得0分）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5</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无未完成的目标</w:t>
            </w:r>
          </w:p>
        </w:tc>
      </w:tr>
      <w:tr>
        <w:tblPrEx>
          <w:tblW w:w="13887" w:type="dxa"/>
          <w:tblInd w:w="113" w:type="dxa"/>
          <w:tblCellMar>
            <w:top w:w="0" w:type="dxa"/>
            <w:left w:w="108" w:type="dxa"/>
            <w:bottom w:w="0" w:type="dxa"/>
            <w:right w:w="108" w:type="dxa"/>
          </w:tblCellMar>
        </w:tblPrEx>
        <w:trPr>
          <w:trHeight w:val="900"/>
        </w:trPr>
        <w:tc>
          <w:tcPr>
            <w:tcW w:w="1440"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自评组织工作（10分）</w:t>
            </w:r>
          </w:p>
        </w:tc>
        <w:tc>
          <w:tcPr>
            <w:tcW w:w="1700"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自评工作质量（5分）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项目单位是否按文件要求填报自评表，自评表及附件材料的内容是否能够清晰、完整、详尽地描述项目的实际情况。（良好，得5-4分；一般，酌情得3.5-3分；较差，得2.5-0分）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3.5</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项目单位按照文件要求填报自评表，自评表的内容基本清晰，附件材料完整性一般，自评工作整体质量一般</w:t>
            </w:r>
          </w:p>
        </w:tc>
      </w:tr>
      <w:tr>
        <w:tblPrEx>
          <w:tblW w:w="13887" w:type="dxa"/>
          <w:tblInd w:w="113" w:type="dxa"/>
          <w:tblCellMar>
            <w:top w:w="0" w:type="dxa"/>
            <w:left w:w="108" w:type="dxa"/>
            <w:bottom w:w="0" w:type="dxa"/>
            <w:right w:w="108" w:type="dxa"/>
          </w:tblCellMar>
        </w:tblPrEx>
        <w:trPr>
          <w:trHeight w:val="1080"/>
        </w:trPr>
        <w:tc>
          <w:tcPr>
            <w:tcW w:w="1440" w:type="dxa"/>
            <w:vMerge/>
            <w:vAlign w:val="center"/>
          </w:tcPr>
          <w:p>
            <w:pPr>
              <w:widowControl/>
              <w:jc w:val="left"/>
              <w:rPr>
                <w:rFonts w:ascii="仿宋_GB2312" w:eastAsia="仿宋_GB2312" w:hAnsi="宋体" w:cs="宋体"/>
                <w:kern w:val="0"/>
                <w:sz w:val="24"/>
              </w:rPr>
            </w:pPr>
          </w:p>
        </w:tc>
        <w:tc>
          <w:tcPr>
            <w:tcW w:w="1700"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自评工作态度（5分）</w:t>
            </w:r>
          </w:p>
        </w:tc>
        <w:tc>
          <w:tcPr>
            <w:tcW w:w="6400" w:type="dxa"/>
            <w:shd w:val="clear" w:color="auto" w:fill="auto"/>
            <w:vAlign w:val="center"/>
          </w:tcPr>
          <w:p>
            <w:pPr>
              <w:widowControl/>
              <w:rPr>
                <w:rFonts w:ascii="仿宋_GB2312" w:eastAsia="仿宋_GB2312" w:hAnsi="宋体" w:cs="宋体"/>
                <w:kern w:val="0"/>
                <w:sz w:val="24"/>
              </w:rPr>
            </w:pPr>
            <w:r>
              <w:rPr>
                <w:rFonts w:ascii="仿宋_GB2312" w:eastAsia="仿宋_GB2312" w:hAnsi="宋体" w:cs="宋体" w:hint="eastAsia"/>
                <w:kern w:val="0"/>
                <w:sz w:val="24"/>
              </w:rPr>
              <w:t>项目单位对自评工作是否重视，有无通过自评总结经验，并提出下一步改进工作的意见和建议。（无需改进或提出合理的改进建议，得5分；根据改进建议的合理性，酌情给4.5-1分；需改进但无提出建议，得0分）</w:t>
            </w:r>
          </w:p>
        </w:tc>
        <w:tc>
          <w:tcPr>
            <w:tcW w:w="1228"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3119" w:type="dxa"/>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项目单位对自评工作的重视程度不够高，无通过自评总结经验</w:t>
            </w:r>
          </w:p>
        </w:tc>
      </w:tr>
      <w:tr>
        <w:tblPrEx>
          <w:tblW w:w="13887" w:type="dxa"/>
          <w:tblInd w:w="113" w:type="dxa"/>
          <w:tblCellMar>
            <w:top w:w="0" w:type="dxa"/>
            <w:left w:w="108" w:type="dxa"/>
            <w:bottom w:w="0" w:type="dxa"/>
            <w:right w:w="108" w:type="dxa"/>
          </w:tblCellMar>
        </w:tblPrEx>
        <w:trPr>
          <w:trHeight w:val="570"/>
        </w:trPr>
        <w:tc>
          <w:tcPr>
            <w:tcW w:w="1440" w:type="dxa"/>
            <w:shd w:val="clear" w:color="auto" w:fill="auto"/>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综合得分（100分）</w:t>
            </w:r>
          </w:p>
        </w:tc>
        <w:tc>
          <w:tcPr>
            <w:tcW w:w="8100" w:type="dxa"/>
            <w:gridSpan w:val="2"/>
            <w:shd w:val="clear" w:color="auto" w:fill="auto"/>
            <w:vAlign w:val="center"/>
          </w:tcPr>
          <w:p>
            <w:pPr>
              <w:widowControl/>
              <w:rPr>
                <w:rFonts w:ascii="仿宋_GB2312" w:eastAsia="仿宋_GB2312" w:hAnsi="宋体" w:cs="宋体"/>
                <w:b/>
                <w:bCs/>
                <w:kern w:val="0"/>
                <w:sz w:val="24"/>
              </w:rPr>
            </w:pPr>
            <w:r>
              <w:rPr>
                <w:rFonts w:ascii="仿宋_GB2312" w:eastAsia="仿宋_GB2312" w:hAnsi="宋体" w:cs="宋体" w:hint="eastAsia"/>
                <w:b/>
                <w:bCs/>
                <w:kern w:val="0"/>
                <w:sz w:val="24"/>
              </w:rPr>
              <w:t>　</w:t>
            </w:r>
          </w:p>
        </w:tc>
        <w:tc>
          <w:tcPr>
            <w:tcW w:w="1228" w:type="dxa"/>
            <w:shd w:val="clear" w:color="auto" w:fill="auto"/>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8</w:t>
            </w:r>
            <w:r>
              <w:rPr>
                <w:rFonts w:ascii="仿宋_GB2312" w:eastAsia="仿宋_GB2312" w:hAnsi="宋体" w:cs="宋体"/>
                <w:b/>
                <w:bCs/>
                <w:kern w:val="0"/>
                <w:sz w:val="24"/>
              </w:rPr>
              <w:t>5</w:t>
            </w:r>
          </w:p>
        </w:tc>
        <w:tc>
          <w:tcPr>
            <w:tcW w:w="3119" w:type="dxa"/>
            <w:shd w:val="clear" w:color="auto" w:fill="auto"/>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　</w:t>
            </w:r>
          </w:p>
        </w:tc>
      </w:tr>
    </w:tbl>
    <w:p/>
    <w:p>
      <w:pPr>
        <w:sectPr>
          <w:pgSz w:w="16838" w:h="11906" w:orient="landscape"/>
          <w:pgMar w:top="1800" w:right="1440" w:bottom="1800" w:left="1440" w:header="851" w:footer="992" w:gutter="0"/>
          <w:cols w:num="1" w:space="425"/>
          <w:docGrid w:type="lines" w:linePitch="312" w:charSpace="0"/>
        </w:sectPr>
      </w:pPr>
    </w:p>
    <w:p>
      <w:pPr>
        <w:pStyle w:val="Heading1"/>
      </w:pPr>
      <w:bookmarkStart w:id="70" w:name="_Toc112692615"/>
      <w:bookmarkStart w:id="71" w:name="_Toc43281464"/>
      <w:r>
        <w:rPr>
          <w:rFonts w:hint="eastAsia"/>
        </w:rPr>
        <w:t>附件：2</w:t>
      </w:r>
      <w:r>
        <w:t>.</w:t>
      </w:r>
      <w:r>
        <w:rPr>
          <w:rFonts w:hint="eastAsia"/>
        </w:rPr>
        <w:t>绩效评价说明</w:t>
      </w:r>
      <w:bookmarkEnd w:id="70"/>
    </w:p>
    <w:p>
      <w:pPr>
        <w:pStyle w:val="Heading2"/>
        <w:spacing w:before="120" w:after="0" w:line="360" w:lineRule="auto"/>
        <w:ind w:left="420" w:leftChars="200"/>
        <w:rPr>
          <w:rFonts w:ascii="楷体_GB2312" w:eastAsia="楷体_GB2312" w:hAnsi="仿宋" w:cs="Times New Roman"/>
          <w:lang w:val="zh-CN" w:eastAsia="zh-CN"/>
        </w:rPr>
      </w:pPr>
      <w:bookmarkStart w:id="72" w:name="_Toc112692616"/>
      <w:bookmarkStart w:id="73" w:name="_Toc75771520"/>
      <w:bookmarkStart w:id="74" w:name="_Toc486952617"/>
      <w:r>
        <w:rPr>
          <w:rFonts w:ascii="楷体_GB2312" w:eastAsia="楷体_GB2312" w:hAnsi="仿宋" w:cs="Times New Roman" w:hint="eastAsia"/>
          <w:lang w:val="zh-CN" w:eastAsia="zh-CN"/>
        </w:rPr>
        <w:t>（一）评价目的</w:t>
      </w:r>
      <w:bookmarkEnd w:id="72"/>
      <w:bookmarkEnd w:id="73"/>
    </w:p>
    <w:p>
      <w:pPr>
        <w:tabs>
          <w:tab w:val="left" w:pos="3060"/>
        </w:tabs>
        <w:spacing w:line="360" w:lineRule="auto"/>
        <w:ind w:firstLine="420" w:firstLineChars="200"/>
        <w:rPr>
          <w:rFonts w:eastAsia="仿宋_GB2312"/>
          <w:sz w:val="32"/>
          <w:szCs w:val="32"/>
        </w:rPr>
      </w:pPr>
      <w:r>
        <w:rPr>
          <w:rFonts w:ascii="仿宋_GB2312" w:eastAsia="仿宋_GB2312" w:hAnsi="仿宋" w:cstheme="minorBidi" w:hint="eastAsia"/>
          <w:sz w:val="32"/>
          <w:szCs w:val="32"/>
        </w:rPr>
        <w:t>本次评价对象为江海区地质灾害项目，专项资金主管部门为江门市江海区自然资源局，资金使用单位为江门市江海区自然资源局，项目共涉及</w:t>
      </w:r>
      <w:r>
        <w:rPr>
          <w:rFonts w:ascii="仿宋_GB2312" w:eastAsia="仿宋_GB2312" w:hAnsi="仿宋" w:cstheme="minorBidi"/>
          <w:sz w:val="32"/>
          <w:szCs w:val="32"/>
        </w:rPr>
        <w:t>4</w:t>
      </w:r>
      <w:r>
        <w:rPr>
          <w:rFonts w:ascii="仿宋_GB2312" w:eastAsia="仿宋_GB2312" w:hAnsi="仿宋" w:cstheme="minorBidi" w:hint="eastAsia"/>
          <w:sz w:val="32"/>
          <w:szCs w:val="32"/>
        </w:rPr>
        <w:t>个子项目，项目预算安排</w:t>
      </w:r>
      <w:r>
        <w:rPr>
          <w:rFonts w:ascii="仿宋_GB2312" w:eastAsia="仿宋_GB2312" w:hAnsi="楷体"/>
          <w:sz w:val="32"/>
          <w:szCs w:val="32"/>
        </w:rPr>
        <w:t>655</w:t>
      </w:r>
      <w:r>
        <w:rPr>
          <w:rFonts w:ascii="仿宋_GB2312" w:eastAsia="仿宋_GB2312" w:hAnsi="楷体" w:hint="eastAsia"/>
          <w:sz w:val="32"/>
          <w:szCs w:val="32"/>
        </w:rPr>
        <w:t>万元，绩效评价覆盖周期为2021年1月1日至2021年12月31日。</w:t>
      </w:r>
      <w:r>
        <w:rPr>
          <w:rFonts w:eastAsia="仿宋_GB2312" w:hint="eastAsia"/>
          <w:sz w:val="32"/>
          <w:szCs w:val="32"/>
        </w:rPr>
        <w:t>通过对</w:t>
      </w:r>
      <w:r>
        <w:rPr>
          <w:rFonts w:ascii="仿宋_GB2312" w:eastAsia="仿宋_GB2312" w:hAnsi="仿宋_GB2312" w:cs="仿宋_GB2312" w:hint="eastAsia"/>
          <w:sz w:val="32"/>
          <w:szCs w:val="32"/>
        </w:rPr>
        <w:t>该专项</w:t>
      </w:r>
      <w:r>
        <w:rPr>
          <w:rFonts w:eastAsia="仿宋_GB2312" w:hint="eastAsia"/>
          <w:sz w:val="32"/>
          <w:szCs w:val="32"/>
        </w:rPr>
        <w:t>进行了事后重点绩效评价，深化以结果为导向的预算绩效管理体制，根据项目的开展情况及支出进度，结合绩效目标，归纳存在的问题，深入分析未能达成支出进度和目标的主客观原因，并提出可操作性建议，从而推动项目主管部门不断改进，规范项目预算支出管理，提升财政资金的使用效益。</w:t>
      </w:r>
    </w:p>
    <w:p>
      <w:pPr>
        <w:pStyle w:val="Heading2"/>
        <w:spacing w:before="120" w:after="0" w:line="360" w:lineRule="auto"/>
        <w:ind w:left="420" w:leftChars="200"/>
        <w:rPr>
          <w:rFonts w:ascii="楷体_GB2312" w:eastAsia="楷体_GB2312" w:hAnsi="仿宋" w:cs="Times New Roman"/>
          <w:lang w:val="zh-CN" w:eastAsia="zh-CN"/>
        </w:rPr>
      </w:pPr>
      <w:bookmarkStart w:id="75" w:name="_Toc112692617"/>
      <w:bookmarkStart w:id="76" w:name="_Toc75771521"/>
      <w:r>
        <w:rPr>
          <w:rFonts w:ascii="楷体_GB2312" w:eastAsia="楷体_GB2312" w:hAnsi="仿宋" w:cs="Times New Roman" w:hint="eastAsia"/>
          <w:lang w:val="zh-CN" w:eastAsia="zh-CN"/>
        </w:rPr>
        <w:t>（二）评价依据</w:t>
      </w:r>
      <w:bookmarkEnd w:id="74"/>
      <w:bookmarkEnd w:id="75"/>
      <w:bookmarkEnd w:id="76"/>
    </w:p>
    <w:p>
      <w:pPr>
        <w:spacing w:line="360" w:lineRule="auto"/>
        <w:ind w:firstLine="420" w:firstLineChars="200"/>
        <w:rPr>
          <w:rFonts w:ascii="仿宋_GB2312" w:eastAsia="仿宋_GB2312" w:hAnsi="楷体"/>
          <w:b/>
          <w:bCs/>
          <w:sz w:val="32"/>
          <w:szCs w:val="32"/>
        </w:rPr>
      </w:pPr>
      <w:bookmarkStart w:id="77" w:name="_Toc486952618"/>
      <w:r>
        <w:rPr>
          <w:rFonts w:ascii="仿宋_GB2312" w:eastAsia="仿宋_GB2312" w:hAnsi="楷体" w:hint="eastAsia"/>
          <w:b/>
          <w:bCs/>
          <w:sz w:val="32"/>
          <w:szCs w:val="32"/>
        </w:rPr>
        <w:t>1.财政部门绩效评价依据</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（1）《中华人民共和国预算法》(2018年最新修订)；</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（2）《中共中央国务院关于全面实施预算绩效管理的意见》（中发〔2018〕34 号）；</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（3）《财政部关于推进预算绩效管理的指导意见》（财预[2011]416号）；</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（4）《项目支出绩效评价管理办法》（财预〔2020〕10号）</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（5）《预算绩效评价共性指标体系框架》的通知（财预〔2013〕53号）；</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（6）《中共广东省委广东省人民政府关于全面实施预算绩效管理的若干意见》(粤发〔2019〕5号)；</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（7）《广东省财政厅关于印发&lt;广东省省级财政绩效评价指南&gt;的通知》（粤财绩〔</w:t>
      </w:r>
      <w:r>
        <w:rPr>
          <w:rFonts w:ascii="仿宋_GB2312" w:eastAsia="仿宋_GB2312" w:hAnsi="仿宋" w:cstheme="majorBidi"/>
          <w:bCs/>
          <w:sz w:val="32"/>
          <w:szCs w:val="32"/>
        </w:rPr>
        <w:t>2021</w:t>
      </w:r>
      <w:r>
        <w:rPr>
          <w:rFonts w:ascii="仿宋_GB2312" w:eastAsia="仿宋_GB2312" w:hAnsi="仿宋" w:cstheme="majorBidi" w:hint="eastAsia"/>
          <w:bCs/>
          <w:sz w:val="32"/>
          <w:szCs w:val="32"/>
        </w:rPr>
        <w:t>〕</w:t>
      </w:r>
      <w:r>
        <w:rPr>
          <w:rFonts w:ascii="仿宋_GB2312" w:eastAsia="仿宋_GB2312" w:hAnsi="仿宋" w:cstheme="majorBidi"/>
          <w:bCs/>
          <w:sz w:val="32"/>
          <w:szCs w:val="32"/>
        </w:rPr>
        <w:t>1</w:t>
      </w:r>
      <w:r>
        <w:rPr>
          <w:rFonts w:ascii="仿宋_GB2312" w:eastAsia="仿宋_GB2312" w:hAnsi="仿宋" w:cstheme="majorBidi" w:hint="eastAsia"/>
          <w:bCs/>
          <w:sz w:val="32"/>
          <w:szCs w:val="32"/>
        </w:rPr>
        <w:t>号)；</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w:t>
      </w:r>
      <w:r>
        <w:rPr>
          <w:rFonts w:ascii="仿宋_GB2312" w:eastAsia="仿宋_GB2312" w:hAnsi="仿宋" w:cstheme="majorBidi"/>
          <w:bCs/>
          <w:sz w:val="32"/>
          <w:szCs w:val="32"/>
        </w:rPr>
        <w:t>8</w:t>
      </w:r>
      <w:r>
        <w:rPr>
          <w:rFonts w:ascii="仿宋_GB2312" w:eastAsia="仿宋_GB2312" w:hAnsi="仿宋" w:cstheme="majorBidi" w:hint="eastAsia"/>
          <w:bCs/>
          <w:sz w:val="32"/>
          <w:szCs w:val="32"/>
        </w:rPr>
        <w:t>）《江门市人民政府印发&lt;关于全面实施预算绩效管理的意见&gt;的通知》（江府〔2020〕6号）；</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w:t>
      </w:r>
      <w:r>
        <w:rPr>
          <w:rFonts w:ascii="仿宋_GB2312" w:eastAsia="仿宋_GB2312" w:hAnsi="仿宋" w:cstheme="majorBidi"/>
          <w:bCs/>
          <w:sz w:val="32"/>
          <w:szCs w:val="32"/>
        </w:rPr>
        <w:t>9</w:t>
      </w:r>
      <w:r>
        <w:rPr>
          <w:rFonts w:ascii="仿宋_GB2312" w:eastAsia="仿宋_GB2312" w:hAnsi="仿宋" w:cstheme="majorBidi" w:hint="eastAsia"/>
          <w:bCs/>
          <w:sz w:val="32"/>
          <w:szCs w:val="32"/>
        </w:rPr>
        <w:t>）《江门市预算绩效指标库汇编（2020 年版）》；</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（1</w:t>
      </w:r>
      <w:r>
        <w:rPr>
          <w:rFonts w:ascii="仿宋_GB2312" w:eastAsia="仿宋_GB2312" w:hAnsi="仿宋" w:cstheme="majorBidi"/>
          <w:bCs/>
          <w:sz w:val="32"/>
          <w:szCs w:val="32"/>
        </w:rPr>
        <w:t>0</w:t>
      </w:r>
      <w:r>
        <w:rPr>
          <w:rFonts w:ascii="仿宋_GB2312" w:eastAsia="仿宋_GB2312" w:hAnsi="仿宋" w:cstheme="majorBidi" w:hint="eastAsia"/>
          <w:bCs/>
          <w:sz w:val="32"/>
          <w:szCs w:val="32"/>
        </w:rPr>
        <w:t>）《江海区全面实施预算绩效管理的工作方案》（江海府函〔2020〕59号）。</w:t>
      </w:r>
    </w:p>
    <w:p>
      <w:pPr>
        <w:spacing w:line="360" w:lineRule="auto"/>
        <w:ind w:firstLine="420" w:firstLineChars="200"/>
        <w:rPr>
          <w:rFonts w:ascii="仿宋_GB2312" w:eastAsia="仿宋_GB2312" w:hAnsi="楷体"/>
          <w:b/>
          <w:bCs/>
          <w:sz w:val="32"/>
          <w:szCs w:val="32"/>
        </w:rPr>
      </w:pPr>
      <w:r>
        <w:rPr>
          <w:rFonts w:ascii="仿宋_GB2312" w:eastAsia="仿宋_GB2312" w:hAnsi="楷体" w:hint="eastAsia"/>
          <w:b/>
          <w:bCs/>
          <w:sz w:val="32"/>
          <w:szCs w:val="32"/>
        </w:rPr>
        <w:t>2.单位自评和有关佐证材料</w:t>
      </w:r>
    </w:p>
    <w:p>
      <w:pPr>
        <w:widowControl/>
        <w:spacing w:line="360" w:lineRule="auto"/>
        <w:ind w:firstLine="420" w:firstLineChars="200"/>
        <w:jc w:val="left"/>
        <w:rPr>
          <w:rFonts w:ascii="仿宋_GB2312" w:eastAsia="仿宋_GB2312" w:hAnsi="仿宋" w:cstheme="minorBidi"/>
          <w:sz w:val="32"/>
          <w:szCs w:val="32"/>
        </w:rPr>
      </w:pPr>
      <w:r>
        <w:rPr>
          <w:rFonts w:ascii="仿宋_GB2312" w:eastAsia="仿宋_GB2312" w:hAnsi="仿宋" w:cstheme="minorBidi" w:hint="eastAsia"/>
          <w:sz w:val="32"/>
          <w:szCs w:val="32"/>
        </w:rPr>
        <w:t>（1）项目评价专家组确定、经江门市江海区财政局审定的绩效评价工作实施方案和绩效评价指标框架；</w:t>
      </w:r>
    </w:p>
    <w:p>
      <w:pPr>
        <w:widowControl/>
        <w:spacing w:line="360" w:lineRule="auto"/>
        <w:ind w:firstLine="420" w:firstLineChars="200"/>
        <w:jc w:val="left"/>
        <w:rPr>
          <w:rFonts w:ascii="仿宋_GB2312" w:eastAsia="仿宋_GB2312" w:hAnsi="仿宋" w:cstheme="minorBidi"/>
          <w:sz w:val="32"/>
          <w:szCs w:val="32"/>
        </w:rPr>
      </w:pPr>
      <w:r>
        <w:rPr>
          <w:rFonts w:ascii="仿宋_GB2312" w:eastAsia="仿宋_GB2312" w:hAnsi="仿宋" w:cstheme="minorBidi" w:hint="eastAsia"/>
          <w:sz w:val="32"/>
          <w:szCs w:val="32"/>
        </w:rPr>
        <w:t>（2）实地调研等相关资料；</w:t>
      </w:r>
    </w:p>
    <w:p>
      <w:pPr>
        <w:spacing w:line="360" w:lineRule="auto"/>
        <w:ind w:firstLine="420" w:firstLineChars="200"/>
        <w:rPr>
          <w:rFonts w:ascii="仿宋_GB2312" w:eastAsia="仿宋_GB2312" w:hAnsi="仿宋" w:cstheme="minorBidi"/>
          <w:sz w:val="32"/>
          <w:szCs w:val="32"/>
        </w:rPr>
      </w:pPr>
      <w:r>
        <w:rPr>
          <w:rFonts w:ascii="仿宋_GB2312" w:eastAsia="仿宋_GB2312" w:hAnsi="仿宋" w:cstheme="minorBidi" w:hint="eastAsia"/>
          <w:sz w:val="32"/>
          <w:szCs w:val="32"/>
        </w:rPr>
        <w:t>（3）申报单位报送的材料、自评报告及财政局有关科室的初审意见。</w:t>
      </w:r>
    </w:p>
    <w:p>
      <w:pPr>
        <w:pStyle w:val="Heading2"/>
        <w:spacing w:before="120" w:after="0" w:line="360" w:lineRule="auto"/>
        <w:ind w:left="420" w:leftChars="200"/>
        <w:rPr>
          <w:rFonts w:ascii="楷体_GB2312" w:eastAsia="楷体_GB2312" w:hAnsi="仿宋" w:cs="Times New Roman"/>
          <w:lang w:val="zh-CN" w:eastAsia="zh-CN"/>
        </w:rPr>
      </w:pPr>
      <w:bookmarkStart w:id="78" w:name="_Toc75771522"/>
      <w:bookmarkStart w:id="79" w:name="_Toc112692618"/>
      <w:r>
        <w:rPr>
          <w:rFonts w:ascii="楷体_GB2312" w:eastAsia="楷体_GB2312" w:hAnsi="仿宋" w:cs="Times New Roman" w:hint="eastAsia"/>
          <w:lang w:val="zh-CN" w:eastAsia="zh-CN"/>
        </w:rPr>
        <w:t>（三）评价方法</w:t>
      </w:r>
      <w:bookmarkEnd w:id="78"/>
      <w:bookmarkEnd w:id="79"/>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本次绩效评价工作遵循“客观、公正、科学、规范”的原则，通过对资金管理水平、项目管理水平、项目开展绩效、自评组织工作四方面分析，检测评价资金支出效率和效果。结合项目特点，本次评价方法主要采用目标与实施结果比较法和专家评议法。</w:t>
      </w:r>
    </w:p>
    <w:p>
      <w:pPr>
        <w:spacing w:line="360" w:lineRule="auto"/>
        <w:ind w:firstLine="420" w:firstLineChars="200"/>
        <w:rPr>
          <w:rFonts w:ascii="仿宋_GB2312" w:eastAsia="仿宋_GB2312" w:hAnsi="仿宋" w:cstheme="majorBidi"/>
          <w:b/>
          <w:bCs/>
          <w:sz w:val="32"/>
          <w:szCs w:val="32"/>
        </w:rPr>
      </w:pPr>
      <w:r>
        <w:rPr>
          <w:rFonts w:ascii="仿宋_GB2312" w:eastAsia="仿宋_GB2312" w:hAnsi="仿宋" w:cstheme="majorBidi" w:hint="eastAsia"/>
          <w:b/>
          <w:bCs/>
          <w:sz w:val="32"/>
          <w:szCs w:val="32"/>
        </w:rPr>
        <w:t>1.目标与实施结果比较法</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目标与实施结果比较法，是通过比较财政支出所产生的实际结果与预定的目标，确定分析完成目标或未完成目标的原因，从而评价绩效。用目标与实施结果比较法比较项目设定的绩效目标（及宏观政策目标）和实际实现的绩效，分析、评价其实现目标的程度，更符合公共经费项目的绩效评价。</w:t>
      </w:r>
    </w:p>
    <w:p>
      <w:pPr>
        <w:spacing w:line="360" w:lineRule="auto"/>
        <w:ind w:firstLine="420" w:firstLineChars="200"/>
        <w:rPr>
          <w:rFonts w:ascii="仿宋_GB2312" w:eastAsia="仿宋_GB2312" w:hAnsi="仿宋" w:cstheme="majorBidi"/>
          <w:b/>
          <w:bCs/>
          <w:sz w:val="32"/>
          <w:szCs w:val="32"/>
        </w:rPr>
      </w:pPr>
      <w:r>
        <w:rPr>
          <w:rFonts w:ascii="仿宋_GB2312" w:eastAsia="仿宋_GB2312" w:hAnsi="仿宋" w:cstheme="majorBidi" w:hint="eastAsia"/>
          <w:b/>
          <w:bCs/>
          <w:sz w:val="32"/>
          <w:szCs w:val="32"/>
        </w:rPr>
        <w:t>2.专家评议法</w:t>
      </w:r>
    </w:p>
    <w:p>
      <w:pPr>
        <w:spacing w:line="360" w:lineRule="auto"/>
        <w:ind w:firstLine="420" w:firstLineChars="200"/>
        <w:rPr>
          <w:rFonts w:ascii="仿宋_GB2312" w:eastAsia="仿宋_GB2312" w:hAnsi="仿宋" w:cstheme="majorBidi"/>
          <w:bCs/>
          <w:sz w:val="32"/>
          <w:szCs w:val="32"/>
        </w:rPr>
      </w:pPr>
      <w:r>
        <w:rPr>
          <w:rFonts w:ascii="仿宋_GB2312" w:eastAsia="仿宋_GB2312" w:hAnsi="仿宋" w:cstheme="majorBidi" w:hint="eastAsia"/>
          <w:bCs/>
          <w:sz w:val="32"/>
          <w:szCs w:val="32"/>
        </w:rPr>
        <w:t>专家评判法主要是聘请有关专家，通过相关资料的收集、汇总、分析、综合，就评价客体的某一方面进行评价、判断。专家评议法可以采用多种形式，包括背靠背评议和面对面评议，或二者结合。“背靠背”方法就是参与评议的专家之间不进行讨论，独立提出意见，独立进行评价，然后汇总所有专家的意见，形成最后的评价结论。</w:t>
      </w:r>
    </w:p>
    <w:p>
      <w:pPr>
        <w:pStyle w:val="Heading2"/>
        <w:spacing w:before="120" w:after="0" w:line="360" w:lineRule="auto"/>
        <w:ind w:left="420" w:leftChars="200"/>
        <w:rPr>
          <w:rFonts w:ascii="楷体_GB2312" w:eastAsia="楷体_GB2312" w:hAnsi="仿宋" w:cs="Times New Roman"/>
          <w:lang w:val="zh-CN" w:eastAsia="zh-CN"/>
        </w:rPr>
      </w:pPr>
      <w:bookmarkEnd w:id="77"/>
      <w:bookmarkStart w:id="80" w:name="_Toc486952619"/>
      <w:bookmarkStart w:id="81" w:name="_Toc75771523"/>
      <w:bookmarkStart w:id="82" w:name="_Toc112692619"/>
      <w:r>
        <w:rPr>
          <w:rFonts w:ascii="楷体_GB2312" w:eastAsia="楷体_GB2312" w:hAnsi="仿宋" w:cs="Times New Roman" w:hint="eastAsia"/>
          <w:lang w:val="zh-CN" w:eastAsia="zh-CN"/>
        </w:rPr>
        <w:t>（四）评价指标体系</w:t>
      </w:r>
      <w:bookmarkEnd w:id="80"/>
      <w:bookmarkEnd w:id="81"/>
      <w:bookmarkEnd w:id="82"/>
    </w:p>
    <w:p>
      <w:pPr>
        <w:spacing w:line="360" w:lineRule="auto"/>
        <w:ind w:firstLine="420" w:firstLineChars="200"/>
        <w:rPr>
          <w:rFonts w:ascii="仿宋_GB2312" w:eastAsia="仿宋_GB2312" w:hAnsi="仿宋" w:cs="Arial"/>
          <w:kern w:val="0"/>
          <w:sz w:val="32"/>
          <w:szCs w:val="32"/>
        </w:rPr>
      </w:pPr>
      <w:r>
        <w:rPr>
          <w:rFonts w:ascii="仿宋_GB2312" w:eastAsia="仿宋_GB2312" w:hAnsi="仿宋" w:cs="Arial" w:hint="eastAsia"/>
          <w:kern w:val="0"/>
          <w:sz w:val="32"/>
          <w:szCs w:val="32"/>
        </w:rPr>
        <w:t>指标体系是开展绩效评价的核心，</w:t>
      </w:r>
      <w:r>
        <w:rPr>
          <w:rFonts w:ascii="仿宋_GB2312" w:eastAsia="仿宋_GB2312" w:hAnsi="仿宋" w:cstheme="minorBidi" w:hint="eastAsia"/>
          <w:sz w:val="32"/>
          <w:szCs w:val="32"/>
        </w:rPr>
        <w:t>根据财政部202</w:t>
      </w:r>
      <w:r>
        <w:rPr>
          <w:rFonts w:ascii="仿宋_GB2312" w:eastAsia="仿宋_GB2312" w:hAnsi="仿宋" w:cstheme="minorBidi"/>
          <w:sz w:val="32"/>
          <w:szCs w:val="32"/>
        </w:rPr>
        <w:t>0</w:t>
      </w:r>
      <w:r>
        <w:rPr>
          <w:rFonts w:ascii="仿宋_GB2312" w:eastAsia="仿宋_GB2312" w:hAnsi="仿宋" w:cstheme="minorBidi" w:hint="eastAsia"/>
          <w:sz w:val="32"/>
          <w:szCs w:val="32"/>
        </w:rPr>
        <w:t>年出台的《财政支出绩效评价管理办法》，</w:t>
      </w:r>
      <w:r>
        <w:rPr>
          <w:rFonts w:ascii="仿宋_GB2312" w:eastAsia="仿宋_GB2312" w:hAnsi="仿宋" w:cs="Arial" w:hint="eastAsia"/>
          <w:kern w:val="0"/>
          <w:sz w:val="32"/>
          <w:szCs w:val="32"/>
        </w:rPr>
        <w:t>结合本次专项资金绩效评价的特点，评价专家组采用《江门市江海区财政支出项目绩效评价专家评分表》作为基本评价工具，该指标体系由</w:t>
      </w:r>
      <w:r>
        <w:rPr>
          <w:rFonts w:ascii="仿宋_GB2312" w:eastAsia="仿宋_GB2312" w:hAnsi="仿宋" w:cstheme="majorBidi" w:hint="eastAsia"/>
          <w:bCs/>
          <w:sz w:val="32"/>
          <w:szCs w:val="32"/>
        </w:rPr>
        <w:t>资金管理水平、项目管理水平、项目开展绩效和自评组织工作</w:t>
      </w:r>
      <w:r>
        <w:rPr>
          <w:rFonts w:ascii="仿宋_GB2312" w:eastAsia="仿宋_GB2312" w:hAnsi="仿宋" w:cs="Arial" w:hint="eastAsia"/>
          <w:kern w:val="0"/>
          <w:sz w:val="32"/>
          <w:szCs w:val="32"/>
        </w:rPr>
        <w:t>四类一级指标组成（详见表</w:t>
      </w:r>
      <w:r>
        <w:rPr>
          <w:rFonts w:ascii="仿宋_GB2312" w:eastAsia="仿宋_GB2312" w:hAnsi="仿宋" w:cs="Arial"/>
          <w:kern w:val="0"/>
          <w:sz w:val="32"/>
          <w:szCs w:val="32"/>
        </w:rPr>
        <w:t>3-1</w:t>
      </w:r>
      <w:r>
        <w:rPr>
          <w:rFonts w:ascii="仿宋_GB2312" w:eastAsia="仿宋_GB2312" w:hAnsi="仿宋" w:cs="Arial" w:hint="eastAsia"/>
          <w:kern w:val="0"/>
          <w:sz w:val="32"/>
          <w:szCs w:val="32"/>
        </w:rPr>
        <w:t>）。</w:t>
      </w:r>
      <w:r>
        <w:rPr>
          <w:rFonts w:ascii="仿宋_GB2312" w:eastAsia="仿宋_GB2312" w:hAnsi="仿宋"/>
          <w:sz w:val="32"/>
          <w:szCs w:val="32"/>
        </w:rPr>
        <w:t xml:space="preserve">绩效评价总分值为100分，评价结果根据综合评价意见分为优、良、中、低、差五个等级：90分（含）- 100 </w:t>
      </w:r>
      <w:r>
        <w:rPr>
          <w:rFonts w:ascii="仿宋_GB2312" w:eastAsia="仿宋_GB2312" w:hAnsi="仿宋" w:hint="eastAsia"/>
          <w:sz w:val="32"/>
          <w:szCs w:val="32"/>
        </w:rPr>
        <w:t>分为优，</w:t>
      </w:r>
      <w:r>
        <w:rPr>
          <w:rFonts w:ascii="仿宋_GB2312" w:eastAsia="仿宋_GB2312" w:hAnsi="仿宋"/>
          <w:sz w:val="32"/>
          <w:szCs w:val="32"/>
        </w:rPr>
        <w:t xml:space="preserve">80分 </w:t>
      </w:r>
      <w:r>
        <w:rPr>
          <w:rFonts w:ascii="仿宋_GB2312" w:eastAsia="仿宋_GB2312" w:hAnsi="仿宋" w:hint="eastAsia"/>
          <w:sz w:val="32"/>
          <w:szCs w:val="32"/>
        </w:rPr>
        <w:t>（含）</w:t>
      </w:r>
      <w:r>
        <w:rPr>
          <w:rFonts w:ascii="仿宋_GB2312" w:eastAsia="仿宋_GB2312" w:hAnsi="仿宋"/>
          <w:sz w:val="32"/>
          <w:szCs w:val="32"/>
        </w:rPr>
        <w:t xml:space="preserve">-90 </w:t>
      </w:r>
      <w:r>
        <w:rPr>
          <w:rFonts w:ascii="仿宋_GB2312" w:eastAsia="仿宋_GB2312" w:hAnsi="仿宋" w:hint="eastAsia"/>
          <w:sz w:val="32"/>
          <w:szCs w:val="32"/>
        </w:rPr>
        <w:t>分为良，</w:t>
      </w:r>
      <w:r>
        <w:rPr>
          <w:rFonts w:ascii="仿宋_GB2312" w:eastAsia="仿宋_GB2312" w:hAnsi="仿宋"/>
          <w:sz w:val="32"/>
          <w:szCs w:val="32"/>
        </w:rPr>
        <w:t xml:space="preserve">70 </w:t>
      </w:r>
      <w:r>
        <w:rPr>
          <w:rFonts w:ascii="仿宋_GB2312" w:eastAsia="仿宋_GB2312" w:hAnsi="仿宋" w:hint="eastAsia"/>
          <w:sz w:val="32"/>
          <w:szCs w:val="32"/>
        </w:rPr>
        <w:t>分（含）</w:t>
      </w:r>
      <w:r>
        <w:rPr>
          <w:rFonts w:ascii="仿宋_GB2312" w:eastAsia="仿宋_GB2312" w:hAnsi="仿宋"/>
          <w:sz w:val="32"/>
          <w:szCs w:val="32"/>
        </w:rPr>
        <w:t xml:space="preserve">-80分为中，60 </w:t>
      </w:r>
      <w:r>
        <w:rPr>
          <w:rFonts w:ascii="仿宋_GB2312" w:eastAsia="仿宋_GB2312" w:hAnsi="仿宋" w:hint="eastAsia"/>
          <w:sz w:val="32"/>
          <w:szCs w:val="32"/>
        </w:rPr>
        <w:t>分（含）</w:t>
      </w:r>
      <w:r>
        <w:rPr>
          <w:rFonts w:ascii="仿宋_GB2312" w:eastAsia="仿宋_GB2312" w:hAnsi="仿宋"/>
          <w:sz w:val="32"/>
          <w:szCs w:val="32"/>
        </w:rPr>
        <w:t>-70分为低，60分以下为差。</w:t>
      </w:r>
    </w:p>
    <w:p>
      <w:pPr>
        <w:spacing w:line="360" w:lineRule="auto"/>
        <w:jc w:val="center"/>
        <w:rPr>
          <w:rFonts w:ascii="仿宋_GB2312" w:eastAsia="仿宋_GB2312" w:hAnsi="仿宋" w:cstheme="minorBidi"/>
          <w:sz w:val="32"/>
          <w:szCs w:val="32"/>
        </w:rPr>
      </w:pPr>
      <w:r>
        <w:rPr>
          <w:rFonts w:ascii="黑体" w:eastAsia="黑体" w:hAnsi="黑体" w:hint="eastAsia"/>
          <w:sz w:val="28"/>
          <w:szCs w:val="28"/>
        </w:rPr>
        <w:t>表</w:t>
      </w:r>
      <w:r>
        <w:rPr>
          <w:rFonts w:ascii="黑体" w:eastAsia="黑体" w:hAnsi="黑体"/>
          <w:sz w:val="28"/>
          <w:szCs w:val="28"/>
        </w:rPr>
        <w:t>3-1</w:t>
      </w:r>
      <w:r>
        <w:rPr>
          <w:rFonts w:ascii="黑体" w:eastAsia="黑体" w:hAnsi="黑体" w:hint="eastAsia"/>
          <w:sz w:val="28"/>
          <w:szCs w:val="28"/>
        </w:rPr>
        <w:t xml:space="preserve"> 重点项目绩效评价指标体系简表</w:t>
      </w:r>
    </w:p>
    <w:tbl>
      <w:tblPr>
        <w:tblStyle w:val="TableNormal"/>
        <w:tblW w:w="8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929"/>
        <w:gridCol w:w="2396"/>
        <w:gridCol w:w="5010"/>
      </w:tblGrid>
      <w:tr>
        <w:tblPrEx>
          <w:tblW w:w="83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532"/>
          <w:jc w:val="center"/>
        </w:trPr>
        <w:tc>
          <w:tcPr>
            <w:tcW w:w="959" w:type="dxa"/>
            <w:shd w:val="clear" w:color="auto" w:fill="F1F1F1" w:themeFill="background1" w:themeFillShade="F2"/>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序号</w:t>
            </w:r>
          </w:p>
        </w:tc>
        <w:tc>
          <w:tcPr>
            <w:tcW w:w="2505" w:type="dxa"/>
            <w:shd w:val="clear" w:color="auto" w:fill="F1F1F1" w:themeFill="background1" w:themeFillShade="F2"/>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一级指标</w:t>
            </w:r>
          </w:p>
        </w:tc>
        <w:tc>
          <w:tcPr>
            <w:tcW w:w="0" w:type="auto"/>
            <w:shd w:val="clear" w:color="auto" w:fill="F1F1F1" w:themeFill="background1" w:themeFillShade="F2"/>
            <w:vAlign w:val="center"/>
          </w:tcPr>
          <w:p>
            <w:pPr>
              <w:widowControl/>
              <w:jc w:val="center"/>
              <w:rPr>
                <w:rFonts w:ascii="仿宋_GB2312" w:eastAsia="仿宋_GB2312" w:hAnsi="宋体" w:cs="宋体"/>
                <w:b/>
                <w:bCs/>
                <w:kern w:val="0"/>
                <w:sz w:val="24"/>
              </w:rPr>
            </w:pPr>
            <w:r>
              <w:rPr>
                <w:rFonts w:ascii="仿宋_GB2312" w:eastAsia="仿宋_GB2312" w:hAnsi="宋体" w:cs="宋体" w:hint="eastAsia"/>
                <w:b/>
                <w:bCs/>
                <w:kern w:val="0"/>
                <w:sz w:val="24"/>
              </w:rPr>
              <w:t>二级指标</w:t>
            </w:r>
          </w:p>
        </w:tc>
      </w:tr>
      <w:tr>
        <w:tblPrEx>
          <w:tblW w:w="8335" w:type="dxa"/>
          <w:jc w:val="center"/>
          <w:tblCellMar>
            <w:top w:w="0" w:type="dxa"/>
            <w:left w:w="108" w:type="dxa"/>
            <w:bottom w:w="0" w:type="dxa"/>
            <w:right w:w="108" w:type="dxa"/>
          </w:tblCellMar>
        </w:tblPrEx>
        <w:trPr>
          <w:trHeight w:val="532"/>
          <w:jc w:val="center"/>
        </w:trPr>
        <w:tc>
          <w:tcPr>
            <w:tcW w:w="959" w:type="dxa"/>
            <w:vMerge w:val="restart"/>
            <w:tcBorders>
              <w:bottom w:val="single" w:sz="4" w:space="0" w:color="auto"/>
            </w:tcBorders>
            <w:vAlign w:val="center"/>
          </w:tcPr>
          <w:p>
            <w:pPr>
              <w:jc w:val="center"/>
              <w:rPr>
                <w:rFonts w:ascii="仿宋_GB2312" w:eastAsia="仿宋_GB2312" w:hAnsi="宋体" w:cs="宋体"/>
                <w:kern w:val="0"/>
                <w:sz w:val="24"/>
              </w:rPr>
            </w:pPr>
            <w:r>
              <w:rPr>
                <w:rFonts w:ascii="仿宋_GB2312" w:eastAsia="仿宋_GB2312" w:hAnsi="宋体" w:cs="宋体" w:hint="eastAsia"/>
                <w:kern w:val="0"/>
                <w:sz w:val="24"/>
              </w:rPr>
              <w:t>1</w:t>
            </w:r>
          </w:p>
        </w:tc>
        <w:tc>
          <w:tcPr>
            <w:tcW w:w="2505" w:type="dxa"/>
            <w:vMerge w:val="restart"/>
            <w:tcBorders>
              <w:bottom w:val="single" w:sz="4" w:space="0" w:color="auto"/>
            </w:tcBorders>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资金管理水平（20分）</w:t>
            </w:r>
          </w:p>
        </w:tc>
        <w:tc>
          <w:tcPr>
            <w:tcW w:w="0" w:type="auto"/>
            <w:tcBorders>
              <w:bottom w:val="single" w:sz="4" w:space="0" w:color="auto"/>
            </w:tcBorders>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财务管理制度（5分）</w:t>
            </w:r>
          </w:p>
        </w:tc>
      </w:tr>
      <w:tr>
        <w:tblPrEx>
          <w:tblW w:w="8335" w:type="dxa"/>
          <w:jc w:val="center"/>
          <w:tblCellMar>
            <w:top w:w="0" w:type="dxa"/>
            <w:left w:w="108" w:type="dxa"/>
            <w:bottom w:w="0" w:type="dxa"/>
            <w:right w:w="108" w:type="dxa"/>
          </w:tblCellMar>
        </w:tblPrEx>
        <w:trPr>
          <w:trHeight w:val="532"/>
          <w:jc w:val="center"/>
        </w:trPr>
        <w:tc>
          <w:tcPr>
            <w:tcW w:w="959" w:type="dxa"/>
            <w:vMerge/>
            <w:tcBorders>
              <w:bottom w:val="single" w:sz="4" w:space="0" w:color="auto"/>
            </w:tcBorders>
            <w:vAlign w:val="center"/>
          </w:tcPr>
          <w:p>
            <w:pPr>
              <w:jc w:val="center"/>
              <w:rPr>
                <w:rFonts w:ascii="仿宋_GB2312" w:eastAsia="仿宋_GB2312" w:hAnsi="宋体" w:cs="宋体"/>
                <w:kern w:val="0"/>
                <w:sz w:val="24"/>
              </w:rPr>
            </w:pPr>
          </w:p>
        </w:tc>
        <w:tc>
          <w:tcPr>
            <w:tcW w:w="2505" w:type="dxa"/>
            <w:vMerge/>
            <w:tcBorders>
              <w:bottom w:val="single" w:sz="4" w:space="0" w:color="auto"/>
            </w:tcBorders>
            <w:vAlign w:val="center"/>
          </w:tcPr>
          <w:p>
            <w:pPr>
              <w:widowControl/>
              <w:jc w:val="left"/>
              <w:rPr>
                <w:rFonts w:ascii="仿宋_GB2312" w:eastAsia="仿宋_GB2312" w:hAnsi="宋体" w:cs="宋体"/>
                <w:kern w:val="0"/>
                <w:sz w:val="24"/>
              </w:rPr>
            </w:pPr>
          </w:p>
        </w:tc>
        <w:tc>
          <w:tcPr>
            <w:tcW w:w="0" w:type="auto"/>
            <w:tcBorders>
              <w:bottom w:val="single" w:sz="4" w:space="0" w:color="auto"/>
            </w:tcBorders>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资金管理及制度落实情况（10分）</w:t>
            </w:r>
          </w:p>
        </w:tc>
      </w:tr>
      <w:tr>
        <w:tblPrEx>
          <w:tblW w:w="8335" w:type="dxa"/>
          <w:jc w:val="center"/>
          <w:tblCellMar>
            <w:top w:w="0" w:type="dxa"/>
            <w:left w:w="108" w:type="dxa"/>
            <w:bottom w:w="0" w:type="dxa"/>
            <w:right w:w="108" w:type="dxa"/>
          </w:tblCellMar>
        </w:tblPrEx>
        <w:trPr>
          <w:trHeight w:val="532"/>
          <w:jc w:val="center"/>
        </w:trPr>
        <w:tc>
          <w:tcPr>
            <w:tcW w:w="959" w:type="dxa"/>
            <w:vMerge/>
            <w:tcBorders>
              <w:bottom w:val="single" w:sz="4" w:space="0" w:color="auto"/>
            </w:tcBorders>
            <w:vAlign w:val="center"/>
          </w:tcPr>
          <w:p>
            <w:pPr>
              <w:widowControl/>
              <w:jc w:val="center"/>
              <w:rPr>
                <w:rFonts w:ascii="仿宋_GB2312" w:eastAsia="仿宋_GB2312" w:hAnsi="宋体" w:cs="宋体"/>
                <w:kern w:val="0"/>
                <w:sz w:val="24"/>
              </w:rPr>
            </w:pPr>
          </w:p>
        </w:tc>
        <w:tc>
          <w:tcPr>
            <w:tcW w:w="2505" w:type="dxa"/>
            <w:vMerge/>
            <w:tcBorders>
              <w:bottom w:val="single" w:sz="4" w:space="0" w:color="auto"/>
            </w:tcBorders>
            <w:vAlign w:val="center"/>
          </w:tcPr>
          <w:p>
            <w:pPr>
              <w:widowControl/>
              <w:jc w:val="left"/>
              <w:rPr>
                <w:rFonts w:ascii="仿宋_GB2312" w:eastAsia="仿宋_GB2312" w:hAnsi="宋体" w:cs="宋体"/>
                <w:kern w:val="0"/>
                <w:sz w:val="24"/>
              </w:rPr>
            </w:pPr>
          </w:p>
        </w:tc>
        <w:tc>
          <w:tcPr>
            <w:tcW w:w="0" w:type="auto"/>
            <w:tcBorders>
              <w:bottom w:val="single" w:sz="4" w:space="0" w:color="auto"/>
            </w:tcBorders>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资金使用的合理性（5分）</w:t>
            </w:r>
          </w:p>
        </w:tc>
      </w:tr>
      <w:tr>
        <w:tblPrEx>
          <w:tblW w:w="8335" w:type="dxa"/>
          <w:jc w:val="center"/>
          <w:tblCellMar>
            <w:top w:w="0" w:type="dxa"/>
            <w:left w:w="108" w:type="dxa"/>
            <w:bottom w:w="0" w:type="dxa"/>
            <w:right w:w="108" w:type="dxa"/>
          </w:tblCellMar>
        </w:tblPrEx>
        <w:trPr>
          <w:trHeight w:val="532"/>
          <w:jc w:val="center"/>
        </w:trPr>
        <w:tc>
          <w:tcPr>
            <w:tcW w:w="959" w:type="dxa"/>
            <w:vMerge w:val="restart"/>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2</w:t>
            </w:r>
          </w:p>
        </w:tc>
        <w:tc>
          <w:tcPr>
            <w:tcW w:w="2505"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项目管理水平（20分）</w:t>
            </w:r>
          </w:p>
        </w:tc>
        <w:tc>
          <w:tcPr>
            <w:tcW w:w="0" w:type="auto"/>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项目管理情况（6分）</w:t>
            </w:r>
          </w:p>
        </w:tc>
      </w:tr>
      <w:tr>
        <w:tblPrEx>
          <w:tblW w:w="8335" w:type="dxa"/>
          <w:jc w:val="center"/>
          <w:tblCellMar>
            <w:top w:w="0" w:type="dxa"/>
            <w:left w:w="108" w:type="dxa"/>
            <w:bottom w:w="0" w:type="dxa"/>
            <w:right w:w="108" w:type="dxa"/>
          </w:tblCellMar>
        </w:tblPrEx>
        <w:trPr>
          <w:trHeight w:val="532"/>
          <w:jc w:val="center"/>
        </w:trPr>
        <w:tc>
          <w:tcPr>
            <w:tcW w:w="959" w:type="dxa"/>
            <w:vMerge/>
            <w:vAlign w:val="center"/>
          </w:tcPr>
          <w:p>
            <w:pPr>
              <w:widowControl/>
              <w:jc w:val="center"/>
              <w:rPr>
                <w:rFonts w:ascii="仿宋_GB2312" w:eastAsia="仿宋_GB2312" w:hAnsi="宋体" w:cs="宋体"/>
                <w:kern w:val="0"/>
                <w:sz w:val="24"/>
              </w:rPr>
            </w:pPr>
          </w:p>
        </w:tc>
        <w:tc>
          <w:tcPr>
            <w:tcW w:w="2505" w:type="dxa"/>
            <w:vMerge/>
            <w:vAlign w:val="center"/>
          </w:tcPr>
          <w:p>
            <w:pPr>
              <w:widowControl/>
              <w:jc w:val="left"/>
              <w:rPr>
                <w:rFonts w:ascii="仿宋_GB2312" w:eastAsia="仿宋_GB2312" w:hAnsi="宋体" w:cs="宋体"/>
                <w:kern w:val="0"/>
                <w:sz w:val="24"/>
              </w:rPr>
            </w:pPr>
          </w:p>
        </w:tc>
        <w:tc>
          <w:tcPr>
            <w:tcW w:w="0" w:type="auto"/>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项目完成情况（9分）</w:t>
            </w:r>
          </w:p>
        </w:tc>
      </w:tr>
      <w:tr>
        <w:tblPrEx>
          <w:tblW w:w="8335" w:type="dxa"/>
          <w:jc w:val="center"/>
          <w:tblCellMar>
            <w:top w:w="0" w:type="dxa"/>
            <w:left w:w="108" w:type="dxa"/>
            <w:bottom w:w="0" w:type="dxa"/>
            <w:right w:w="108" w:type="dxa"/>
          </w:tblCellMar>
        </w:tblPrEx>
        <w:trPr>
          <w:trHeight w:val="532"/>
          <w:jc w:val="center"/>
        </w:trPr>
        <w:tc>
          <w:tcPr>
            <w:tcW w:w="959" w:type="dxa"/>
            <w:vMerge/>
            <w:vAlign w:val="center"/>
          </w:tcPr>
          <w:p>
            <w:pPr>
              <w:widowControl/>
              <w:jc w:val="center"/>
              <w:rPr>
                <w:rFonts w:ascii="仿宋_GB2312" w:eastAsia="仿宋_GB2312" w:hAnsi="宋体" w:cs="宋体"/>
                <w:kern w:val="0"/>
                <w:sz w:val="24"/>
              </w:rPr>
            </w:pPr>
          </w:p>
        </w:tc>
        <w:tc>
          <w:tcPr>
            <w:tcW w:w="2505" w:type="dxa"/>
            <w:vMerge/>
            <w:vAlign w:val="center"/>
          </w:tcPr>
          <w:p>
            <w:pPr>
              <w:widowControl/>
              <w:jc w:val="left"/>
              <w:rPr>
                <w:rFonts w:ascii="仿宋_GB2312" w:eastAsia="仿宋_GB2312" w:hAnsi="宋体" w:cs="宋体"/>
                <w:kern w:val="0"/>
                <w:sz w:val="24"/>
              </w:rPr>
            </w:pPr>
          </w:p>
        </w:tc>
        <w:tc>
          <w:tcPr>
            <w:tcW w:w="0" w:type="auto"/>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项目实施与改进情况（5分）</w:t>
            </w:r>
          </w:p>
        </w:tc>
      </w:tr>
      <w:tr>
        <w:tblPrEx>
          <w:tblW w:w="8335" w:type="dxa"/>
          <w:jc w:val="center"/>
          <w:tblCellMar>
            <w:top w:w="0" w:type="dxa"/>
            <w:left w:w="108" w:type="dxa"/>
            <w:bottom w:w="0" w:type="dxa"/>
            <w:right w:w="108" w:type="dxa"/>
          </w:tblCellMar>
        </w:tblPrEx>
        <w:trPr>
          <w:trHeight w:val="532"/>
          <w:jc w:val="center"/>
        </w:trPr>
        <w:tc>
          <w:tcPr>
            <w:tcW w:w="959" w:type="dxa"/>
            <w:vMerge w:val="restart"/>
            <w:tcBorders>
              <w:bottom w:val="single" w:sz="4" w:space="0" w:color="auto"/>
            </w:tcBorders>
            <w:vAlign w:val="center"/>
          </w:tcPr>
          <w:p>
            <w:pPr>
              <w:jc w:val="center"/>
              <w:rPr>
                <w:rFonts w:ascii="仿宋_GB2312" w:eastAsia="仿宋_GB2312" w:hAnsi="宋体" w:cs="宋体"/>
                <w:kern w:val="0"/>
                <w:sz w:val="24"/>
              </w:rPr>
            </w:pPr>
            <w:r>
              <w:rPr>
                <w:rFonts w:ascii="仿宋_GB2312" w:eastAsia="仿宋_GB2312" w:hAnsi="宋体" w:cs="宋体" w:hint="eastAsia"/>
                <w:kern w:val="0"/>
                <w:sz w:val="24"/>
              </w:rPr>
              <w:t>3</w:t>
            </w:r>
          </w:p>
        </w:tc>
        <w:tc>
          <w:tcPr>
            <w:tcW w:w="2505" w:type="dxa"/>
            <w:vMerge w:val="restart"/>
            <w:tcBorders>
              <w:bottom w:val="single" w:sz="4" w:space="0" w:color="auto"/>
            </w:tcBorders>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项目开展绩效（50分）</w:t>
            </w:r>
          </w:p>
        </w:tc>
        <w:tc>
          <w:tcPr>
            <w:tcW w:w="0" w:type="auto"/>
            <w:tcBorders>
              <w:bottom w:val="single" w:sz="4" w:space="0" w:color="auto"/>
            </w:tcBorders>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评价指标体系和评价标准的科学性和合理性（10分）</w:t>
            </w:r>
          </w:p>
        </w:tc>
      </w:tr>
      <w:tr>
        <w:tblPrEx>
          <w:tblW w:w="8335" w:type="dxa"/>
          <w:jc w:val="center"/>
          <w:tblCellMar>
            <w:top w:w="0" w:type="dxa"/>
            <w:left w:w="108" w:type="dxa"/>
            <w:bottom w:w="0" w:type="dxa"/>
            <w:right w:w="108" w:type="dxa"/>
          </w:tblCellMar>
        </w:tblPrEx>
        <w:trPr>
          <w:trHeight w:val="532"/>
          <w:jc w:val="center"/>
        </w:trPr>
        <w:tc>
          <w:tcPr>
            <w:tcW w:w="959" w:type="dxa"/>
            <w:vMerge/>
            <w:tcBorders>
              <w:bottom w:val="single" w:sz="4" w:space="0" w:color="auto"/>
            </w:tcBorders>
            <w:vAlign w:val="center"/>
          </w:tcPr>
          <w:p>
            <w:pPr>
              <w:widowControl/>
              <w:jc w:val="center"/>
              <w:rPr>
                <w:rFonts w:ascii="仿宋_GB2312" w:eastAsia="仿宋_GB2312" w:hAnsi="宋体" w:cs="宋体"/>
                <w:kern w:val="0"/>
                <w:sz w:val="24"/>
              </w:rPr>
            </w:pPr>
          </w:p>
        </w:tc>
        <w:tc>
          <w:tcPr>
            <w:tcW w:w="2505" w:type="dxa"/>
            <w:vMerge/>
            <w:tcBorders>
              <w:bottom w:val="single" w:sz="4" w:space="0" w:color="auto"/>
            </w:tcBorders>
            <w:vAlign w:val="center"/>
          </w:tcPr>
          <w:p>
            <w:pPr>
              <w:widowControl/>
              <w:jc w:val="left"/>
              <w:rPr>
                <w:rFonts w:ascii="仿宋_GB2312" w:eastAsia="仿宋_GB2312" w:hAnsi="宋体" w:cs="宋体"/>
                <w:kern w:val="0"/>
                <w:sz w:val="24"/>
              </w:rPr>
            </w:pPr>
          </w:p>
        </w:tc>
        <w:tc>
          <w:tcPr>
            <w:tcW w:w="0" w:type="auto"/>
            <w:tcBorders>
              <w:bottom w:val="single" w:sz="4" w:space="0" w:color="auto"/>
            </w:tcBorders>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绩效目标的完成程度（40分）</w:t>
            </w:r>
          </w:p>
        </w:tc>
      </w:tr>
      <w:tr>
        <w:tblPrEx>
          <w:tblW w:w="8335" w:type="dxa"/>
          <w:jc w:val="center"/>
          <w:tblCellMar>
            <w:top w:w="0" w:type="dxa"/>
            <w:left w:w="108" w:type="dxa"/>
            <w:bottom w:w="0" w:type="dxa"/>
            <w:right w:w="108" w:type="dxa"/>
          </w:tblCellMar>
        </w:tblPrEx>
        <w:trPr>
          <w:trHeight w:val="532"/>
          <w:jc w:val="center"/>
        </w:trPr>
        <w:tc>
          <w:tcPr>
            <w:tcW w:w="959" w:type="dxa"/>
            <w:vMerge w:val="restart"/>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4</w:t>
            </w:r>
          </w:p>
        </w:tc>
        <w:tc>
          <w:tcPr>
            <w:tcW w:w="2505" w:type="dxa"/>
            <w:vMerge w:val="restart"/>
            <w:shd w:val="clear" w:color="auto" w:fill="auto"/>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自评组织工作（10分）</w:t>
            </w:r>
          </w:p>
        </w:tc>
        <w:tc>
          <w:tcPr>
            <w:tcW w:w="0" w:type="auto"/>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自评工作质量（5分）</w:t>
            </w:r>
          </w:p>
        </w:tc>
      </w:tr>
      <w:tr>
        <w:tblPrEx>
          <w:tblW w:w="8335" w:type="dxa"/>
          <w:jc w:val="center"/>
          <w:tblCellMar>
            <w:top w:w="0" w:type="dxa"/>
            <w:left w:w="108" w:type="dxa"/>
            <w:bottom w:w="0" w:type="dxa"/>
            <w:right w:w="108" w:type="dxa"/>
          </w:tblCellMar>
        </w:tblPrEx>
        <w:trPr>
          <w:trHeight w:val="532"/>
          <w:jc w:val="center"/>
        </w:trPr>
        <w:tc>
          <w:tcPr>
            <w:tcW w:w="959" w:type="dxa"/>
            <w:vMerge/>
            <w:vAlign w:val="center"/>
          </w:tcPr>
          <w:p>
            <w:pPr>
              <w:widowControl/>
              <w:jc w:val="left"/>
              <w:rPr>
                <w:rFonts w:ascii="仿宋_GB2312" w:eastAsia="仿宋_GB2312" w:hAnsi="宋体" w:cs="宋体"/>
                <w:kern w:val="0"/>
                <w:sz w:val="24"/>
              </w:rPr>
            </w:pPr>
          </w:p>
        </w:tc>
        <w:tc>
          <w:tcPr>
            <w:tcW w:w="2505" w:type="dxa"/>
            <w:vMerge/>
            <w:vAlign w:val="center"/>
          </w:tcPr>
          <w:p>
            <w:pPr>
              <w:widowControl/>
              <w:jc w:val="left"/>
              <w:rPr>
                <w:rFonts w:ascii="仿宋_GB2312" w:eastAsia="仿宋_GB2312" w:hAnsi="宋体" w:cs="宋体"/>
                <w:kern w:val="0"/>
                <w:sz w:val="24"/>
              </w:rPr>
            </w:pPr>
          </w:p>
        </w:tc>
        <w:tc>
          <w:tcPr>
            <w:tcW w:w="0" w:type="auto"/>
            <w:shd w:val="clear" w:color="auto" w:fill="auto"/>
            <w:vAlign w:val="center"/>
          </w:tcPr>
          <w:p>
            <w:pPr>
              <w:widowControl/>
              <w:jc w:val="left"/>
              <w:rPr>
                <w:rFonts w:ascii="仿宋_GB2312" w:eastAsia="仿宋_GB2312" w:hAnsi="宋体" w:cs="宋体"/>
                <w:kern w:val="0"/>
                <w:sz w:val="24"/>
              </w:rPr>
            </w:pPr>
            <w:r>
              <w:rPr>
                <w:rFonts w:ascii="仿宋_GB2312" w:eastAsia="仿宋_GB2312" w:hAnsi="宋体" w:cs="宋体" w:hint="eastAsia"/>
                <w:kern w:val="0"/>
                <w:sz w:val="24"/>
              </w:rPr>
              <w:t>自评工作态度（5分）</w:t>
            </w:r>
          </w:p>
        </w:tc>
      </w:tr>
      <w:tr>
        <w:tblPrEx>
          <w:tblW w:w="8335" w:type="dxa"/>
          <w:jc w:val="center"/>
          <w:tblCellMar>
            <w:top w:w="0" w:type="dxa"/>
            <w:left w:w="108" w:type="dxa"/>
            <w:bottom w:w="0" w:type="dxa"/>
            <w:right w:w="108" w:type="dxa"/>
          </w:tblCellMar>
        </w:tblPrEx>
        <w:trPr>
          <w:trHeight w:val="532"/>
          <w:jc w:val="center"/>
        </w:trPr>
        <w:tc>
          <w:tcPr>
            <w:tcW w:w="959" w:type="dxa"/>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综合得分</w:t>
            </w:r>
          </w:p>
        </w:tc>
        <w:tc>
          <w:tcPr>
            <w:tcW w:w="7569" w:type="dxa"/>
            <w:gridSpan w:val="2"/>
            <w:vAlign w:val="center"/>
          </w:tcPr>
          <w:p>
            <w:pPr>
              <w:widowControl/>
              <w:jc w:val="center"/>
              <w:rPr>
                <w:rFonts w:ascii="仿宋_GB2312" w:eastAsia="仿宋_GB2312" w:hAnsi="宋体" w:cs="宋体"/>
                <w:kern w:val="0"/>
                <w:sz w:val="24"/>
              </w:rPr>
            </w:pPr>
            <w:r>
              <w:rPr>
                <w:rFonts w:ascii="仿宋_GB2312" w:eastAsia="仿宋_GB2312" w:hAnsi="宋体" w:cs="宋体" w:hint="eastAsia"/>
                <w:kern w:val="0"/>
                <w:sz w:val="24"/>
              </w:rPr>
              <w:t>100分</w:t>
            </w:r>
          </w:p>
        </w:tc>
      </w:tr>
    </w:tbl>
    <w:p>
      <w:pPr>
        <w:pStyle w:val="Heading2"/>
        <w:spacing w:before="120" w:after="0" w:line="360" w:lineRule="auto"/>
        <w:ind w:left="420" w:leftChars="200"/>
        <w:rPr>
          <w:rFonts w:ascii="楷体_GB2312" w:eastAsia="楷体_GB2312" w:hAnsi="仿宋" w:cs="Times New Roman"/>
          <w:lang w:val="zh-CN" w:eastAsia="zh-CN"/>
        </w:rPr>
      </w:pPr>
      <w:bookmarkStart w:id="83" w:name="_Toc75771524"/>
      <w:bookmarkStart w:id="84" w:name="_Toc112692620"/>
      <w:r>
        <w:rPr>
          <w:rFonts w:ascii="楷体_GB2312" w:eastAsia="楷体_GB2312" w:hAnsi="仿宋" w:cs="Times New Roman" w:hint="eastAsia"/>
          <w:lang w:val="zh-CN" w:eastAsia="zh-CN"/>
        </w:rPr>
        <w:t>（五）评价流程</w:t>
      </w:r>
      <w:bookmarkEnd w:id="83"/>
      <w:bookmarkEnd w:id="84"/>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本次江海区地质灾害项目绩效评价工作主要分为三个阶段：评价准备、评价实施、评价成果。</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theme="majorBidi" w:hint="eastAsia"/>
          <w:b/>
          <w:bCs/>
          <w:sz w:val="32"/>
          <w:szCs w:val="32"/>
        </w:rPr>
        <w:t>1. 评审准备</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（1）确定评价重点，拟定项目工作方案。</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（2）确定工作方案和评价指标体系。</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（3）组建评价专家组。根据本次专项特点，从公司专家库中遴选行业及绩效评价经验对口的专家，组成绩效评价专家组。本项目评价专家组组长为谭松发，组员4人：钟雪虹、胡嘉华、余恒、陈业培。</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（4）召开沟通会议。讲解本次评价项目的要点、重点、工作流程、时间计划及质量要求。</w:t>
      </w:r>
    </w:p>
    <w:p>
      <w:pPr>
        <w:widowControl/>
        <w:spacing w:line="360" w:lineRule="auto"/>
        <w:ind w:firstLine="420" w:firstLineChars="200"/>
        <w:jc w:val="left"/>
        <w:rPr>
          <w:rFonts w:ascii="仿宋_GB2312" w:eastAsia="仿宋_GB2312" w:hAnsi="仿宋" w:cstheme="majorBidi"/>
          <w:b/>
          <w:bCs/>
          <w:sz w:val="32"/>
          <w:szCs w:val="32"/>
        </w:rPr>
      </w:pPr>
      <w:r>
        <w:rPr>
          <w:rFonts w:ascii="仿宋_GB2312" w:eastAsia="仿宋_GB2312" w:hAnsi="仿宋" w:cstheme="majorBidi" w:hint="eastAsia"/>
          <w:b/>
          <w:bCs/>
          <w:sz w:val="32"/>
          <w:szCs w:val="32"/>
        </w:rPr>
        <w:t>2. 评价实施</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（1）评价专家组对专项提交的申报资料进行初步梳理，并对数据进行甄别、汇总和分析。</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（2）根据项目资料，评价专家组列示针对性问题及补充资料清单，由项目申报单位补充说明具体情况及相关必要材料。</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（3）评价专家组到项目申报单位实地调研，听取申报单位对项目实施及资金使用的介绍，就项目具体内容进行询问答辩。</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（4）根据书面资料及实地调研，完成绩效评价专家评分意见表及绩效评价报告初稿。</w:t>
      </w:r>
    </w:p>
    <w:p>
      <w:pPr>
        <w:widowControl/>
        <w:spacing w:line="360" w:lineRule="auto"/>
        <w:ind w:firstLine="420" w:firstLineChars="200"/>
        <w:jc w:val="left"/>
        <w:rPr>
          <w:rFonts w:ascii="仿宋_GB2312" w:eastAsia="仿宋_GB2312" w:hAnsi="仿宋" w:cs="Arial"/>
          <w:b/>
          <w:kern w:val="0"/>
          <w:sz w:val="32"/>
          <w:szCs w:val="32"/>
        </w:rPr>
      </w:pPr>
      <w:r>
        <w:rPr>
          <w:rFonts w:ascii="仿宋_GB2312" w:eastAsia="仿宋_GB2312" w:hAnsi="仿宋" w:cs="Arial" w:hint="eastAsia"/>
          <w:b/>
          <w:kern w:val="0"/>
          <w:sz w:val="32"/>
          <w:szCs w:val="32"/>
        </w:rPr>
        <w:t>3. 评价成果</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（1）评价专家组将评价成果初稿发送给江门市江海区财政局，听取其反馈意见。</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（2）根据反馈意见修改完善评分意见表及评价报告。</w:t>
      </w:r>
    </w:p>
    <w:p>
      <w:pPr>
        <w:widowControl/>
        <w:spacing w:line="360" w:lineRule="auto"/>
        <w:ind w:firstLine="420" w:firstLineChars="200"/>
        <w:jc w:val="left"/>
        <w:rPr>
          <w:rFonts w:ascii="仿宋_GB2312" w:eastAsia="仿宋_GB2312" w:hAnsi="仿宋" w:cs="Arial"/>
          <w:kern w:val="0"/>
          <w:sz w:val="32"/>
          <w:szCs w:val="32"/>
        </w:rPr>
      </w:pPr>
      <w:r>
        <w:rPr>
          <w:rFonts w:ascii="仿宋_GB2312" w:eastAsia="仿宋_GB2312" w:hAnsi="仿宋" w:cs="Arial" w:hint="eastAsia"/>
          <w:kern w:val="0"/>
          <w:sz w:val="32"/>
          <w:szCs w:val="32"/>
        </w:rPr>
        <w:t>（3）提交最终绩效评价成果。</w:t>
      </w:r>
    </w:p>
    <w:p>
      <w:pPr>
        <w:widowControl/>
        <w:spacing w:line="360" w:lineRule="auto"/>
        <w:ind w:firstLine="420" w:firstLineChars="200"/>
        <w:jc w:val="left"/>
        <w:rPr>
          <w:rFonts w:ascii="仿宋_GB2312" w:eastAsia="仿宋_GB2312" w:hAnsi="仿宋" w:cs="Arial"/>
          <w:kern w:val="0"/>
          <w:sz w:val="32"/>
          <w:szCs w:val="32"/>
        </w:rPr>
      </w:pPr>
    </w:p>
    <w:p>
      <w:pPr>
        <w:widowControl/>
        <w:spacing w:line="360" w:lineRule="auto"/>
        <w:ind w:firstLine="420" w:firstLineChars="200"/>
        <w:jc w:val="left"/>
        <w:rPr>
          <w:rFonts w:ascii="仿宋_GB2312" w:eastAsia="仿宋_GB2312" w:hAnsi="仿宋" w:cs="Arial"/>
          <w:kern w:val="0"/>
          <w:sz w:val="32"/>
          <w:szCs w:val="32"/>
        </w:rPr>
      </w:pPr>
    </w:p>
    <w:p>
      <w:pPr>
        <w:jc w:val="center"/>
        <w:rPr>
          <w:rFonts w:ascii="黑体" w:eastAsia="黑体" w:hAnsi="黑体"/>
          <w:sz w:val="28"/>
          <w:szCs w:val="28"/>
        </w:rPr>
      </w:pPr>
      <w:r>
        <w:rPr>
          <w:rFonts w:ascii="黑体" w:eastAsia="黑体" w:hAnsi="黑体" w:hint="eastAsia"/>
          <w:sz w:val="28"/>
          <w:szCs w:val="28"/>
        </w:rPr>
        <w:t>图</w:t>
      </w:r>
      <w:r>
        <w:rPr>
          <w:rFonts w:ascii="黑体" w:eastAsia="黑体" w:hAnsi="黑体"/>
          <w:sz w:val="28"/>
          <w:szCs w:val="28"/>
        </w:rPr>
        <w:t>3</w:t>
      </w:r>
      <w:r>
        <w:rPr>
          <w:rFonts w:ascii="黑体" w:eastAsia="黑体" w:hAnsi="黑体" w:hint="eastAsia"/>
          <w:sz w:val="28"/>
          <w:szCs w:val="28"/>
        </w:rPr>
        <w:t>-1 绩效评价工作流程图</w:t>
      </w:r>
    </w:p>
    <w:p>
      <w:pPr>
        <w:spacing w:before="156" w:beforeLines="50"/>
        <w:jc w:val="center"/>
        <w:rPr>
          <w:rFonts w:ascii="仿宋_GB2312" w:eastAsia="仿宋_GB2312" w:hAnsi="Calibri"/>
          <w:b/>
          <w:sz w:val="28"/>
          <w:szCs w:val="28"/>
        </w:rPr>
      </w:pPr>
      <w:r>
        <w:rPr>
          <w:rFonts w:ascii="仿宋_GB2312" w:eastAsia="仿宋_GB2312" w:hAnsi="Calibri"/>
          <w:b/>
          <w:sz w:val="28"/>
          <w:szCs w:val="28"/>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o:spid="_x0000_s1025" type="#_x0000_t87" style="height:100.5pt;margin-left:116.4pt;margin-top:12pt;mso-height-relative:page;mso-width-relative:page;position:absolute;width:7.15pt;z-index:251659264" coordsize="21600,21600" adj="1800,10800" filled="f" stroked="t">
            <v:stroke joinstyle="round"/>
          </v:shape>
        </w:pict>
      </w:r>
      <w:r>
        <w:rPr>
          <w:rFonts w:ascii="仿宋_GB2312" w:eastAsia="仿宋_GB2312" w:hAnsi="Calibri"/>
          <w:b/>
          <w:sz w:val="28"/>
          <w:szCs w:val="28"/>
        </w:rPr>
        <w:pict>
          <v:roundrect id="_x0000_s1026" o:spid="_x0000_s1026" style="height:24.1pt;margin-left:147.2pt;margin-top:33.65pt;mso-height-relative:page;mso-width-relative:page;position:absolute;width:160.7pt;z-index:251661312" arcsize="10923f" coordsize="21600,21600" filled="t" fillcolor="#93cddd" stroked="t">
            <v:fill color2="#dbeef4" angle="135" focus="50%" type="gradient"/>
            <v:stroke joinstyle="round"/>
            <v:shadow on="t" color="#215968" opacity="0.5" origin="0,0" offset="1pt,2pt" matrix="1,0,0,1"/>
            <v:textbox>
              <w:txbxContent>
                <w:p>
                  <w:pPr>
                    <w:rPr>
                      <w:sz w:val="18"/>
                      <w:szCs w:val="18"/>
                    </w:rPr>
                  </w:pPr>
                  <w:r>
                    <w:rPr>
                      <w:rFonts w:hint="eastAsia"/>
                      <w:sz w:val="18"/>
                      <w:szCs w:val="18"/>
                    </w:rPr>
                    <w:t>确定工作方案和评价指标体系</w:t>
                  </w:r>
                </w:p>
              </w:txbxContent>
            </v:textbox>
          </v:roundrect>
        </w:pict>
      </w:r>
      <w:r>
        <w:rPr>
          <w:rFonts w:ascii="仿宋_GB2312" w:eastAsia="仿宋_GB2312" w:hAnsi="Calibri"/>
          <w:b/>
          <w:sz w:val="28"/>
          <w:szCs w:val="28"/>
        </w:rPr>
        <w:pict>
          <v:roundrect id="_x0000_s1026" o:spid="_x0000_s1027" style="height:24.1pt;margin-left:147.15pt;margin-top:6.75pt;mso-height-relative:page;mso-width-relative:page;position:absolute;width:160.7pt;z-index:251660288" arcsize="10923f" coordsize="21600,21600" filled="t" fillcolor="#93cddd" stroked="t">
            <v:fill color2="#dbeef4" angle="135" focus="50%" type="gradient"/>
            <v:stroke joinstyle="round"/>
            <v:shadow on="t" color="#215968" opacity="0.5" origin="0,0" offset="1pt,2pt" matrix="1,0,0,1"/>
            <v:textbox>
              <w:txbxContent>
                <w:p>
                  <w:pPr>
                    <w:rPr>
                      <w:sz w:val="18"/>
                      <w:szCs w:val="18"/>
                    </w:rPr>
                  </w:pPr>
                  <w:r>
                    <w:rPr>
                      <w:rFonts w:hint="eastAsia"/>
                      <w:sz w:val="18"/>
                      <w:szCs w:val="18"/>
                    </w:rPr>
                    <w:t>确定评价重点</w:t>
                  </w:r>
                </w:p>
              </w:txbxContent>
            </v:textbox>
          </v:roundrect>
        </w:pict>
      </w:r>
    </w:p>
    <w:p>
      <w:pPr>
        <w:spacing w:before="156" w:beforeLines="50"/>
        <w:jc w:val="center"/>
        <w:rPr>
          <w:rFonts w:ascii="仿宋_GB2312" w:eastAsia="仿宋_GB2312" w:hAnsi="Calibri"/>
          <w:b/>
          <w:sz w:val="28"/>
          <w:szCs w:val="28"/>
        </w:rPr>
      </w:pPr>
      <w:r>
        <w:rPr>
          <w:rFonts w:ascii="仿宋_GB2312" w:eastAsia="仿宋_GB2312" w:hAnsi="Calibri"/>
          <w:b/>
          <w:sz w:val="28"/>
          <w:szCs w:val="28"/>
        </w:rPr>
        <w:pict>
          <v:roundrect id="_x0000_s1026" o:spid="_x0000_s1028" style="height:27pt;margin-left:23.55pt;margin-top:7.35pt;mso-height-relative:page;mso-width-relative:page;position:absolute;width:75.7pt;z-index:251658240" arcsize="10923f" coordsize="21600,21600" filled="t" fillcolor="#fac090" stroked="t">
            <v:fill color2="#f79646" focus="50%" type="gradient"/>
            <v:stroke joinstyle="round"/>
            <v:shadow on="t" color="#984807" origin="0,0" offset="1pt,2pt" matrix="1,0,0,1"/>
            <v:textbox>
              <w:txbxContent>
                <w:p>
                  <w:pPr>
                    <w:jc w:val="center"/>
                    <w:rPr>
                      <w:b/>
                      <w:sz w:val="18"/>
                      <w:szCs w:val="18"/>
                    </w:rPr>
                  </w:pPr>
                  <w:r>
                    <w:rPr>
                      <w:rFonts w:hint="eastAsia"/>
                      <w:b/>
                      <w:sz w:val="18"/>
                      <w:szCs w:val="18"/>
                    </w:rPr>
                    <w:t>评价准备</w:t>
                  </w:r>
                </w:p>
              </w:txbxContent>
            </v:textbox>
          </v:roundrect>
        </w:pict>
      </w:r>
      <w:r>
        <w:rPr>
          <w:rFonts w:ascii="仿宋_GB2312" w:eastAsia="仿宋_GB2312" w:hAnsi="Calibri"/>
          <w:b/>
          <w:sz w:val="28"/>
          <w:szCs w:val="28"/>
        </w:rPr>
        <w:pict>
          <v:roundrect id="_x0000_s1026" o:spid="_x0000_s1029" style="height:24.1pt;margin-left:147.15pt;margin-top:21.75pt;mso-height-relative:page;mso-width-relative:page;position:absolute;width:160.7pt;z-index:251662336" arcsize="10923f" coordsize="21600,21600" filled="t" fillcolor="#93cddd" stroked="t">
            <v:fill color2="#dbeef4" angle="135" focus="50%" type="gradient"/>
            <v:stroke joinstyle="round"/>
            <v:shadow on="t" color="#215968" opacity="0.5" origin="0,0" offset="1pt,2pt" matrix="1,0,0,1"/>
            <v:textbox>
              <w:txbxContent>
                <w:p>
                  <w:pPr>
                    <w:rPr>
                      <w:sz w:val="18"/>
                      <w:szCs w:val="18"/>
                    </w:rPr>
                  </w:pPr>
                  <w:r>
                    <w:rPr>
                      <w:rFonts w:hint="eastAsia"/>
                      <w:sz w:val="18"/>
                      <w:szCs w:val="18"/>
                    </w:rPr>
                    <w:t>组建评价专家组</w:t>
                  </w:r>
                </w:p>
              </w:txbxContent>
            </v:textbox>
          </v:roundrect>
        </w:pict>
      </w:r>
    </w:p>
    <w:p>
      <w:pPr>
        <w:spacing w:before="156" w:beforeLines="50"/>
        <w:jc w:val="center"/>
        <w:rPr>
          <w:rFonts w:ascii="仿宋_GB2312" w:eastAsia="仿宋_GB2312" w:hAnsi="Calibri"/>
          <w:b/>
          <w:sz w:val="28"/>
          <w:szCs w:val="28"/>
        </w:rPr>
      </w:pPr>
      <w:r>
        <w:rPr>
          <w:rFonts w:ascii="仿宋_GB2312" w:eastAsia="仿宋_GB2312" w:hAnsi="Calibri"/>
          <w:b/>
          <w:sz w:val="28"/>
          <w:szCs w:val="2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6" o:spid="_x0000_s1030" type="#_x0000_t67" style="height:45.75pt;margin-left:54.9pt;margin-top:15.75pt;mso-height-relative:page;mso-width-relative:page;position:absolute;width:14.25pt;z-index:251664384" coordsize="21600,21600" adj="16201,5400" filled="t" fillcolor="#93cddd" stroked="t">
            <v:fill color2="#dbeef4" angle="135" focus="50%" type="gradient"/>
            <v:stroke joinstyle="miter"/>
            <v:shadow on="t" color="#215968" opacity="0.5" origin="0,0" offset="1pt,2pt" matrix="1,0,0,1"/>
          </v:shape>
        </w:pict>
      </w:r>
      <w:r>
        <w:rPr>
          <w:rFonts w:ascii="仿宋_GB2312" w:eastAsia="仿宋_GB2312" w:hAnsi="Calibri"/>
          <w:b/>
          <w:sz w:val="28"/>
          <w:szCs w:val="28"/>
        </w:rPr>
        <w:pict>
          <v:roundrect id="_x0000_s1026" o:spid="_x0000_s1031" style="height:24.1pt;margin-left:147.1pt;margin-top:10.5pt;mso-height-relative:page;mso-width-relative:page;position:absolute;width:160.7pt;z-index:251663360" arcsize="10923f" coordsize="21600,21600" filled="t" fillcolor="#93cddd" stroked="t">
            <v:fill color2="#dbeef4" angle="135" focus="50%" type="gradient"/>
            <v:stroke joinstyle="round"/>
            <v:shadow on="t" color="#215968" opacity="0.5" origin="0,0" offset="1pt,2pt" matrix="1,0,0,1"/>
            <v:textbox>
              <w:txbxContent>
                <w:p>
                  <w:pPr>
                    <w:rPr>
                      <w:sz w:val="18"/>
                      <w:szCs w:val="18"/>
                    </w:rPr>
                  </w:pPr>
                  <w:r>
                    <w:rPr>
                      <w:rFonts w:hint="eastAsia"/>
                      <w:sz w:val="18"/>
                      <w:szCs w:val="18"/>
                    </w:rPr>
                    <w:t>召开沟通会议</w:t>
                  </w:r>
                </w:p>
              </w:txbxContent>
            </v:textbox>
          </v:roundrect>
        </w:pict>
      </w:r>
    </w:p>
    <w:p>
      <w:pPr>
        <w:spacing w:before="156" w:beforeLines="50"/>
        <w:jc w:val="center"/>
        <w:rPr>
          <w:rFonts w:ascii="仿宋_GB2312" w:eastAsia="仿宋_GB2312" w:hAnsi="Calibri"/>
          <w:b/>
          <w:sz w:val="28"/>
          <w:szCs w:val="28"/>
        </w:rPr>
      </w:pPr>
      <w:r>
        <w:rPr>
          <w:rFonts w:ascii="仿宋_GB2312" w:eastAsia="仿宋_GB2312" w:hAnsi="Calibri"/>
          <w:b/>
          <w:sz w:val="28"/>
          <w:szCs w:val="28"/>
        </w:rPr>
        <w:pict>
          <v:shape id="_x0000_s1026" o:spid="_x0000_s1032" type="#_x0000_t87" style="height:102.75pt;margin-left:116.25pt;margin-top:16pt;mso-height-relative:page;mso-width-relative:page;position:absolute;width:3.55pt;z-index:251666432" coordsize="21600,21600" adj="652,10800" filled="f" stroked="t">
            <v:stroke joinstyle="round"/>
          </v:shape>
        </w:pict>
      </w:r>
      <w:r>
        <w:rPr>
          <w:rFonts w:ascii="仿宋_GB2312" w:eastAsia="仿宋_GB2312" w:hAnsi="Calibri"/>
          <w:b/>
          <w:sz w:val="28"/>
          <w:szCs w:val="28"/>
        </w:rPr>
        <w:pict>
          <v:roundrect id="_x0000_s1026" o:spid="_x0000_s1033" style="height:24.1pt;margin-left:147.1pt;margin-top:12pt;mso-height-relative:page;mso-width-relative:page;position:absolute;width:160.7pt;z-index:251667456" arcsize="10923f" coordsize="21600,21600" filled="t" fillcolor="#93cddd" stroked="t">
            <v:fill color2="#dbeef4" angle="135" focus="50%" type="gradient"/>
            <v:stroke joinstyle="round"/>
            <v:shadow on="t" color="#215968" opacity="0.5" origin="0,0" offset="1pt,2pt" matrix="1,0,0,1"/>
            <v:textbox>
              <w:txbxContent>
                <w:p>
                  <w:pPr>
                    <w:rPr>
                      <w:sz w:val="18"/>
                      <w:szCs w:val="18"/>
                    </w:rPr>
                  </w:pPr>
                  <w:r>
                    <w:rPr>
                      <w:rFonts w:hint="eastAsia"/>
                      <w:sz w:val="18"/>
                      <w:szCs w:val="18"/>
                    </w:rPr>
                    <w:t>对专项提交资料进行初步梳理</w:t>
                  </w:r>
                </w:p>
              </w:txbxContent>
            </v:textbox>
          </v:roundrect>
        </w:pict>
      </w:r>
    </w:p>
    <w:p>
      <w:pPr>
        <w:spacing w:before="156" w:beforeLines="50"/>
        <w:jc w:val="center"/>
        <w:rPr>
          <w:rFonts w:ascii="仿宋_GB2312" w:eastAsia="仿宋_GB2312" w:hAnsi="Calibri"/>
          <w:b/>
          <w:sz w:val="28"/>
          <w:szCs w:val="28"/>
        </w:rPr>
      </w:pPr>
      <w:r>
        <w:rPr>
          <w:rFonts w:ascii="仿宋_GB2312" w:eastAsia="仿宋_GB2312" w:hAnsi="Calibri"/>
          <w:b/>
          <w:sz w:val="28"/>
          <w:szCs w:val="28"/>
        </w:rPr>
        <w:pict>
          <v:roundrect id="_x0000_s1026" o:spid="_x0000_s1034" style="height:25.5pt;margin-left:27pt;margin-top:12.05pt;mso-height-relative:page;mso-width-relative:page;position:absolute;width:75.75pt;z-index:251665408" arcsize="10923f" coordsize="21600,21600" filled="t" fillcolor="#fac090" stroked="t">
            <v:fill color2="#f79646" focus="50%" type="gradient"/>
            <v:stroke joinstyle="round"/>
            <v:shadow on="t" color="#984807" origin="0,0" offset="1pt,2pt" matrix="1,0,0,1"/>
            <v:textbox>
              <w:txbxContent>
                <w:p>
                  <w:pPr>
                    <w:jc w:val="center"/>
                    <w:rPr>
                      <w:b/>
                      <w:sz w:val="18"/>
                      <w:szCs w:val="18"/>
                    </w:rPr>
                  </w:pPr>
                  <w:r>
                    <w:rPr>
                      <w:rFonts w:hint="eastAsia"/>
                      <w:b/>
                      <w:sz w:val="18"/>
                      <w:szCs w:val="18"/>
                    </w:rPr>
                    <w:t>评价实施</w:t>
                  </w:r>
                </w:p>
              </w:txbxContent>
            </v:textbox>
          </v:roundrect>
        </w:pict>
      </w:r>
      <w:r>
        <w:rPr>
          <w:rFonts w:ascii="仿宋_GB2312" w:eastAsia="仿宋_GB2312" w:hAnsi="Calibri"/>
          <w:b/>
          <w:sz w:val="28"/>
          <w:szCs w:val="28"/>
        </w:rPr>
        <w:pict>
          <v:roundrect id="_x0000_s1026" o:spid="_x0000_s1035" style="height:24.1pt;margin-left:147.2pt;margin-top:32.25pt;mso-height-relative:page;mso-width-relative:page;position:absolute;width:160.7pt;z-index:251669504" arcsize="10923f" coordsize="21600,21600" filled="t" fillcolor="#93cddd" stroked="t">
            <v:fill color2="#dbeef4" angle="135" focus="50%" type="gradient"/>
            <v:stroke joinstyle="round"/>
            <v:shadow on="t" color="#215968" opacity="0.5" origin="0,0" offset="1pt,2pt" matrix="1,0,0,1"/>
            <v:textbox>
              <w:txbxContent>
                <w:p>
                  <w:pPr>
                    <w:rPr>
                      <w:i/>
                      <w:sz w:val="18"/>
                      <w:szCs w:val="18"/>
                    </w:rPr>
                  </w:pPr>
                  <w:r>
                    <w:rPr>
                      <w:rFonts w:hint="eastAsia"/>
                      <w:sz w:val="18"/>
                      <w:szCs w:val="18"/>
                    </w:rPr>
                    <w:t>实地调研和现场评价</w:t>
                  </w:r>
                </w:p>
              </w:txbxContent>
            </v:textbox>
          </v:roundrect>
        </w:pict>
      </w:r>
      <w:r>
        <w:rPr>
          <w:rFonts w:ascii="仿宋_GB2312" w:eastAsia="仿宋_GB2312" w:hAnsi="Calibri"/>
          <w:b/>
          <w:sz w:val="28"/>
          <w:szCs w:val="28"/>
        </w:rPr>
        <w:pict>
          <v:roundrect id="_x0000_s1026" o:spid="_x0000_s1036" style="height:24.1pt;margin-left:147.1pt;margin-top:2.15pt;mso-height-relative:page;mso-width-relative:page;position:absolute;width:160.7pt;z-index:251668480" arcsize="10923f" coordsize="21600,21600" filled="t" fillcolor="#93cddd" stroked="t">
            <v:fill color2="#dbeef4" angle="135" focus="50%" type="gradient"/>
            <v:stroke joinstyle="round"/>
            <v:shadow on="t" color="#215968" opacity="0.5" origin="0,0" offset="1pt,2pt" matrix="1,0,0,1"/>
            <v:textbox>
              <w:txbxContent>
                <w:p>
                  <w:pPr>
                    <w:rPr>
                      <w:sz w:val="18"/>
                      <w:szCs w:val="18"/>
                    </w:rPr>
                  </w:pPr>
                  <w:r>
                    <w:rPr>
                      <w:rFonts w:hint="eastAsia"/>
                      <w:sz w:val="18"/>
                      <w:szCs w:val="18"/>
                    </w:rPr>
                    <w:t>列示补充资料清单及针对性问题</w:t>
                  </w:r>
                </w:p>
              </w:txbxContent>
            </v:textbox>
          </v:roundrect>
        </w:pict>
      </w:r>
    </w:p>
    <w:p>
      <w:pPr>
        <w:tabs>
          <w:tab w:val="left" w:pos="3150"/>
        </w:tabs>
        <w:spacing w:before="156" w:beforeLines="50"/>
        <w:jc w:val="center"/>
        <w:rPr>
          <w:rFonts w:ascii="仿宋_GB2312" w:eastAsia="仿宋_GB2312" w:hAnsi="Calibri"/>
          <w:b/>
          <w:sz w:val="28"/>
          <w:szCs w:val="28"/>
        </w:rPr>
      </w:pPr>
      <w:r>
        <w:rPr>
          <w:rFonts w:ascii="仿宋_GB2312" w:eastAsia="仿宋_GB2312" w:hAnsi="Calibri"/>
          <w:b/>
          <w:sz w:val="28"/>
          <w:szCs w:val="28"/>
        </w:rPr>
        <w:pict>
          <v:roundrect id="_x0000_s1026" o:spid="_x0000_s1037" style="height:24.1pt;margin-left:147.1pt;margin-top:23.65pt;mso-height-relative:page;mso-width-relative:page;position:absolute;width:160.7pt;z-index:251676672" arcsize="10923f" coordsize="21600,21600" filled="t" fillcolor="#93cddd" stroked="t">
            <v:fill color2="#dbeef4" angle="135" focus="50%" type="gradient"/>
            <v:stroke joinstyle="round"/>
            <v:shadow on="t" color="#215968" opacity="0.5" origin="0,0" offset="1pt,2pt" matrix="1,0,0,1"/>
            <v:textbox>
              <w:txbxContent>
                <w:p>
                  <w:pPr>
                    <w:rPr>
                      <w:sz w:val="18"/>
                      <w:szCs w:val="18"/>
                    </w:rPr>
                  </w:pPr>
                  <w:r>
                    <w:rPr>
                      <w:rFonts w:hint="eastAsia"/>
                      <w:sz w:val="18"/>
                      <w:szCs w:val="18"/>
                    </w:rPr>
                    <w:t>完成评分意见表撰写初稿</w:t>
                  </w:r>
                </w:p>
                <w:p>
                  <w:pPr>
                    <w:rPr>
                      <w:i/>
                      <w:sz w:val="18"/>
                      <w:szCs w:val="18"/>
                    </w:rPr>
                  </w:pPr>
                </w:p>
              </w:txbxContent>
            </v:textbox>
          </v:roundrect>
        </w:pict>
      </w:r>
      <w:r>
        <w:rPr>
          <w:rFonts w:ascii="仿宋_GB2312" w:eastAsia="仿宋_GB2312" w:hAnsi="Calibri"/>
          <w:b/>
          <w:sz w:val="28"/>
          <w:szCs w:val="28"/>
        </w:rPr>
        <w:pict>
          <v:shape id="_x0000_s1026" o:spid="_x0000_s1038" type="#_x0000_t67" style="height:47.95pt;margin-left:55pt;margin-top:32.35pt;mso-height-relative:page;mso-width-relative:page;position:absolute;width:14.15pt;z-index:251670528" coordsize="21600,21600" adj="16201,5400" filled="t" fillcolor="#93cddd" stroked="t">
            <v:fill color2="#dbeef4" angle="135" focus="50%" type="gradient"/>
            <v:stroke joinstyle="miter"/>
            <v:shadow on="t" color="#215968" opacity="0.5" origin="0,0" offset="1pt,2pt" matrix="1,0,0,1"/>
          </v:shape>
        </w:pict>
      </w:r>
    </w:p>
    <w:p>
      <w:pPr>
        <w:spacing w:before="156" w:beforeLines="50"/>
        <w:jc w:val="center"/>
        <w:rPr>
          <w:rFonts w:ascii="仿宋_GB2312" w:eastAsia="仿宋_GB2312" w:hAnsi="Calibri"/>
          <w:b/>
          <w:sz w:val="28"/>
          <w:szCs w:val="28"/>
        </w:rPr>
      </w:pPr>
      <w:r>
        <w:rPr>
          <w:rFonts w:ascii="仿宋_GB2312" w:eastAsia="仿宋_GB2312" w:hAnsi="Calibri"/>
          <w:b/>
          <w:sz w:val="28"/>
          <w:szCs w:val="28"/>
        </w:rPr>
        <w:pict>
          <v:roundrect id="_x0000_s1026" o:spid="_x0000_s1039" style="height:24.1pt;margin-left:147.1pt;margin-top:33.6pt;mso-height-relative:page;mso-width-relative:page;position:absolute;width:160.7pt;z-index:251673600" arcsize="10923f" coordsize="21600,21600" filled="t" fillcolor="#93cddd" stroked="t">
            <v:fill color2="#dbeef4" angle="135" focus="50%" type="gradient"/>
            <v:stroke joinstyle="round"/>
            <v:shadow on="t" color="#215968" opacity="0.5" origin="0,0" offset="1pt,2pt" matrix="1,0,0,1"/>
            <v:textbox>
              <w:txbxContent>
                <w:p>
                  <w:pPr>
                    <w:rPr>
                      <w:sz w:val="18"/>
                      <w:szCs w:val="18"/>
                    </w:rPr>
                  </w:pPr>
                  <w:r>
                    <w:rPr>
                      <w:rFonts w:hint="eastAsia"/>
                      <w:sz w:val="18"/>
                      <w:szCs w:val="18"/>
                    </w:rPr>
                    <w:t>提交初稿听取反馈意见</w:t>
                  </w:r>
                </w:p>
              </w:txbxContent>
            </v:textbox>
          </v:roundrect>
        </w:pict>
      </w:r>
    </w:p>
    <w:p>
      <w:pPr>
        <w:tabs>
          <w:tab w:val="right" w:pos="8306"/>
        </w:tabs>
        <w:spacing w:before="156" w:beforeLines="50"/>
        <w:jc w:val="center"/>
        <w:rPr>
          <w:rFonts w:ascii="仿宋_GB2312" w:eastAsia="仿宋_GB2312" w:hAnsi="Calibri"/>
          <w:b/>
          <w:sz w:val="28"/>
          <w:szCs w:val="28"/>
        </w:rPr>
      </w:pPr>
      <w:r>
        <w:rPr>
          <w:rFonts w:ascii="仿宋_GB2312" w:eastAsia="仿宋_GB2312" w:hAnsi="Calibri"/>
          <w:b/>
          <w:sz w:val="28"/>
          <w:szCs w:val="28"/>
        </w:rPr>
        <w:pict>
          <v:shape id="_x0000_s1026" o:spid="_x0000_s1040" type="#_x0000_t87" style="height:70.5pt;margin-left:119.8pt;margin-top:2.3pt;mso-height-relative:page;mso-width-relative:page;position:absolute;width:3.6pt;z-index:251672576" coordsize="21600,21600" adj="1253,10800" filled="f" stroked="t">
            <v:stroke joinstyle="round"/>
          </v:shape>
        </w:pict>
      </w:r>
      <w:r>
        <w:rPr>
          <w:rFonts w:ascii="仿宋_GB2312" w:eastAsia="仿宋_GB2312" w:hAnsi="Calibri"/>
          <w:b/>
          <w:sz w:val="28"/>
          <w:szCs w:val="28"/>
        </w:rPr>
        <w:pict>
          <v:roundrect id="_x0000_s1026" o:spid="_x0000_s1041" style="height:27pt;margin-left:27pt;margin-top:24.05pt;mso-height-relative:page;mso-width-relative:page;position:absolute;width:75.75pt;z-index:251671552" arcsize="10923f" coordsize="21600,21600" filled="t" fillcolor="#fac090" stroked="t">
            <v:fill color2="#f79646" focus="50%" type="gradient"/>
            <v:stroke joinstyle="round"/>
            <v:shadow on="t" color="#984807" origin="0,0" offset="1pt,2pt" matrix="1,0,0,1"/>
            <v:textbox>
              <w:txbxContent>
                <w:p>
                  <w:pPr>
                    <w:jc w:val="center"/>
                    <w:rPr>
                      <w:b/>
                      <w:sz w:val="18"/>
                      <w:szCs w:val="18"/>
                    </w:rPr>
                  </w:pPr>
                  <w:r>
                    <w:rPr>
                      <w:rFonts w:hint="eastAsia"/>
                      <w:b/>
                      <w:sz w:val="18"/>
                      <w:szCs w:val="18"/>
                    </w:rPr>
                    <w:t>评价成果</w:t>
                  </w:r>
                </w:p>
              </w:txbxContent>
            </v:textbox>
          </v:roundrect>
        </w:pict>
      </w:r>
      <w:r>
        <w:rPr>
          <w:rFonts w:ascii="仿宋_GB2312" w:eastAsia="仿宋_GB2312" w:hAnsi="Calibri"/>
          <w:b/>
          <w:sz w:val="28"/>
          <w:szCs w:val="28"/>
        </w:rPr>
        <w:pict>
          <v:roundrect id="_x0000_s1026" o:spid="_x0000_s1042" style="height:24.1pt;margin-left:147.1pt;margin-top:23.9pt;mso-height-relative:page;mso-width-relative:page;position:absolute;width:160.7pt;z-index:251674624" arcsize="10923f" coordsize="21600,21600" filled="t" fillcolor="#93cddd" stroked="t">
            <v:fill color2="#dbeef4" angle="135" focus="50%" type="gradient"/>
            <v:stroke joinstyle="round"/>
            <v:shadow on="t" color="#215968" opacity="0.5" origin="0,0" offset="1pt,2pt" matrix="1,0,0,1"/>
            <v:textbox>
              <w:txbxContent>
                <w:p>
                  <w:pPr>
                    <w:rPr>
                      <w:sz w:val="18"/>
                      <w:szCs w:val="18"/>
                    </w:rPr>
                  </w:pPr>
                  <w:r>
                    <w:rPr>
                      <w:rFonts w:hint="eastAsia"/>
                      <w:sz w:val="18"/>
                      <w:szCs w:val="18"/>
                    </w:rPr>
                    <w:t>修改完善报告</w:t>
                  </w:r>
                </w:p>
              </w:txbxContent>
            </v:textbox>
          </v:roundrect>
        </w:pict>
      </w:r>
    </w:p>
    <w:p>
      <w:pPr>
        <w:spacing w:before="156" w:beforeLines="50"/>
        <w:jc w:val="center"/>
        <w:rPr>
          <w:rFonts w:ascii="仿宋_GB2312" w:eastAsia="仿宋_GB2312" w:hAnsi="Calibri"/>
          <w:b/>
          <w:sz w:val="28"/>
          <w:szCs w:val="28"/>
        </w:rPr>
      </w:pPr>
      <w:r>
        <w:rPr>
          <w:rFonts w:ascii="仿宋_GB2312" w:eastAsia="仿宋_GB2312" w:hAnsi="Calibri"/>
          <w:b/>
          <w:sz w:val="28"/>
          <w:szCs w:val="28"/>
        </w:rPr>
        <w:pict>
          <v:roundrect id="_x0000_s1026" o:spid="_x0000_s1043" style="height:24.1pt;margin-left:147.1pt;margin-top:13.4pt;mso-height-relative:page;mso-width-relative:page;position:absolute;width:160.7pt;z-index:251675648" arcsize="10923f" coordsize="21600,21600" filled="t" fillcolor="#93cddd" stroked="t">
            <v:fill color2="#dbeef4" angle="135" focus="50%" type="gradient"/>
            <v:stroke joinstyle="round"/>
            <v:shadow on="t" color="#215968" opacity="0.5" origin="0,0" offset="1pt,2pt" matrix="1,0,0,1"/>
            <v:textbox>
              <w:txbxContent>
                <w:p>
                  <w:r>
                    <w:rPr>
                      <w:rFonts w:hint="eastAsia"/>
                      <w:sz w:val="18"/>
                      <w:szCs w:val="18"/>
                    </w:rPr>
                    <w:t>提交最终评价成果</w:t>
                  </w:r>
                </w:p>
              </w:txbxContent>
            </v:textbox>
          </v:roundrect>
        </w:pict>
      </w:r>
    </w:p>
    <w:p>
      <w:pPr>
        <w:jc w:val="center"/>
        <w:rPr>
          <w:rFonts w:ascii="黑体" w:eastAsia="黑体" w:hAnsi="黑体"/>
          <w:sz w:val="28"/>
          <w:szCs w:val="28"/>
        </w:rPr>
      </w:pPr>
    </w:p>
    <w:p>
      <w:pPr>
        <w:rPr>
          <w:rFonts w:ascii="仿宋_GB2312" w:eastAsia="仿宋_GB2312" w:hAnsi="仿宋"/>
          <w:sz w:val="32"/>
          <w:szCs w:val="32"/>
        </w:rPr>
      </w:pPr>
    </w:p>
    <w:p>
      <w:pPr>
        <w:pStyle w:val="Heading1"/>
      </w:pPr>
      <w:bookmarkStart w:id="85" w:name="_Toc112692621"/>
      <w:r>
        <w:rPr>
          <w:rFonts w:hint="eastAsia"/>
        </w:rPr>
        <w:t>附件：</w:t>
      </w:r>
      <w:r>
        <w:t>3</w:t>
      </w:r>
      <w:r>
        <w:rPr>
          <w:rFonts w:hint="eastAsia"/>
        </w:rPr>
        <w:t>. 专家组</w:t>
      </w:r>
      <w:bookmarkEnd w:id="71"/>
      <w:r>
        <w:rPr>
          <w:rFonts w:hint="eastAsia"/>
        </w:rPr>
        <w:t>实地调研照片</w:t>
      </w:r>
      <w:bookmarkEnd w:id="85"/>
    </w:p>
    <w:p>
      <w:pPr>
        <w:spacing w:line="240" w:lineRule="atLeast"/>
        <w:jc w:val="center"/>
        <w:rPr>
          <w:rFonts w:ascii="黑体" w:eastAsia="黑体" w:hAnsi="黑体"/>
          <w:b/>
          <w:sz w:val="32"/>
          <w:szCs w:val="32"/>
        </w:rPr>
      </w:pPr>
      <w:r>
        <w:drawing>
          <wp:inline distT="0" distB="0" distL="0" distR="0">
            <wp:extent cx="5278120" cy="3959860"/>
            <wp:effectExtent l="0" t="0" r="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xmlns:r="http://schemas.openxmlformats.org/officeDocument/2006/relationships" r:embed="rId11" cstate="print">
                      <a:extLst>
                        <a:ext uri="{28A0092B-C50C-407E-A947-70E740481C1C}">
                          <a14:useLocalDpi xmlns:a14="http://schemas.microsoft.com/office/drawing/2010/main" val="0"/>
                        </a:ext>
                      </a:extLst>
                    </a:blip>
                    <a:srcRect/>
                    <a:stretch>
                      <a:fillRect/>
                    </a:stretch>
                  </pic:blipFill>
                  <pic:spPr>
                    <a:xfrm>
                      <a:off x="0" y="0"/>
                      <a:ext cx="5278120" cy="3959860"/>
                    </a:xfrm>
                    <a:prstGeom prst="rect">
                      <a:avLst/>
                    </a:prstGeom>
                    <a:noFill/>
                    <a:ln>
                      <a:noFill/>
                    </a:ln>
                  </pic:spPr>
                </pic:pic>
              </a:graphicData>
            </a:graphic>
          </wp:inline>
        </w:drawing>
      </w:r>
      <w:r>
        <w:drawing>
          <wp:inline distT="0" distB="0" distL="0" distR="0">
            <wp:extent cx="5278120" cy="3959860"/>
            <wp:effectExtent l="0" t="0" r="0" b="25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xmlns:r="http://schemas.openxmlformats.org/officeDocument/2006/relationships" r:embed="rId12" cstate="print">
                      <a:extLst>
                        <a:ext uri="{28A0092B-C50C-407E-A947-70E740481C1C}">
                          <a14:useLocalDpi xmlns:a14="http://schemas.microsoft.com/office/drawing/2010/main" val="0"/>
                        </a:ext>
                      </a:extLst>
                    </a:blip>
                    <a:srcRect/>
                    <a:stretch>
                      <a:fillRect/>
                    </a:stretch>
                  </pic:blipFill>
                  <pic:spPr>
                    <a:xfrm>
                      <a:off x="0" y="0"/>
                      <a:ext cx="5278120" cy="3959860"/>
                    </a:xfrm>
                    <a:prstGeom prst="rect">
                      <a:avLst/>
                    </a:prstGeom>
                    <a:noFill/>
                    <a:ln>
                      <a:noFill/>
                    </a:ln>
                  </pic:spPr>
                </pic:pic>
              </a:graphicData>
            </a:graphic>
          </wp:inline>
        </w:drawing>
      </w:r>
    </w:p>
    <w:sectPr>
      <w:pgSz w:w="11906" w:h="16838"/>
      <w:pgMar w:top="1440" w:right="1797" w:bottom="1304" w:left="1797" w:header="851" w:footer="794" w:gutter="0"/>
      <w:cols w:num="1" w:space="425"/>
      <w:docGrid w:type="lines" w:linePitch="312" w:charSpace="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77620299"/>
      <w:docPartObj>
        <w:docPartGallery w:val="AutoText"/>
      </w:docPartObj>
    </w:sdtPr>
    <w:sdtContent>
      <w:p>
        <w:pPr>
          <w:pStyle w:val="Footer"/>
          <w:jc w:val="center"/>
        </w:pPr>
        <w:r>
          <w:fldChar w:fldCharType="begin"/>
        </w:r>
        <w:r>
          <w:instrText>PAGE   \* MERGEFORMAT</w:instrText>
        </w:r>
        <w:r>
          <w:fldChar w:fldCharType="separate"/>
        </w:r>
        <w:r>
          <w:rPr>
            <w:lang w:val="zh-CN"/>
          </w:rPr>
          <w:t>2</w:t>
        </w:r>
        <w:r>
          <w:fldChar w:fldCharType="end"/>
        </w:r>
      </w:p>
    </w:sdtContent>
  </w:sdt>
  <w:p>
    <w:pPr>
      <w:pStyle w:val="Foote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widowControl/>
      <w:pBdr>
        <w:bottom w:val="single" w:sz="6" w:space="1" w:color="auto"/>
      </w:pBdr>
      <w:tabs>
        <w:tab w:val="center" w:pos="4153"/>
        <w:tab w:val="right" w:pos="8306"/>
      </w:tabs>
      <w:snapToGrid w:val="0"/>
      <w:jc w:val="center"/>
      <w:rPr>
        <w:rFonts w:ascii="楷体" w:eastAsia="楷体" w:hAnsi="楷体" w:cs="Arial"/>
        <w:kern w:val="0"/>
        <w:sz w:val="24"/>
      </w:rPr>
    </w:pPr>
    <w:r>
      <w:rPr>
        <w:rFonts w:ascii="楷体" w:eastAsia="楷体" w:hAnsi="楷体" w:cs="Arial" w:hint="eastAsia"/>
        <w:kern w:val="0"/>
        <w:sz w:val="24"/>
      </w:rPr>
      <w:t>202</w:t>
    </w:r>
    <w:r>
      <w:rPr>
        <w:rFonts w:ascii="楷体" w:eastAsia="楷体" w:hAnsi="楷体" w:cs="Arial"/>
        <w:kern w:val="0"/>
        <w:sz w:val="24"/>
      </w:rPr>
      <w:t>1</w:t>
    </w:r>
    <w:r>
      <w:rPr>
        <w:rFonts w:ascii="楷体" w:eastAsia="楷体" w:hAnsi="楷体" w:cs="Arial" w:hint="eastAsia"/>
        <w:kern w:val="0"/>
        <w:sz w:val="24"/>
      </w:rPr>
      <w:t>年度江海区地质灾害项目重点绩效评价报告</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stylePaneFormatFilter w:val="3F01"/>
  <w:doNotTrackMoves/>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docVars>
    <w:docVar w:name="commondata" w:val="eyJoZGlkIjoiMWY5Nzc2ZGNjN2MwOWFhN2ExYmZmNTQ4MzAyNjFmZDUifQ=="/>
  </w:docVars>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semiHidden="0" w:uiPriority="39" w:qFormat="1"/>
    <w:lsdException w:name="toc 2" w:semiHidden="0" w:uiPriority="39" w:qFormat="1"/>
    <w:lsdException w:name="toc 3" w:semiHidden="0" w:uiPriority="39"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semiHidden="0" w:uiPriority="0" w:unhideWhenUsed="0"/>
    <w:lsdException w:name="header" w:semiHidden="0" w:uiPriority="0" w:unhideWhenUsed="0"/>
    <w:lsdException w:name="footer" w:semiHidden="0" w:unhideWhenUsed="0"/>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semiHidden="0" w:uiPriority="0" w:unhideWhenUsed="0"/>
    <w:lsdException w:name="line number" w:uiPriority="0"/>
    <w:lsdException w:name="page number" w:uiPriority="0"/>
    <w:lsdException w:name="endnote reference" w:uiPriority="0"/>
    <w:lsdException w:name="endnote text" w:uiPriority="0"/>
    <w:lsdException w:name="table of authorities" w:semiHidden="0" w:uiPriority="0" w:unhideWhenUsed="0"/>
    <w:lsdException w:name="macro" w:uiPriority="0"/>
    <w:lsdException w:name="toa heading" w:uiPriority="0"/>
    <w:lsdException w:name="List" w:semiHidden="0" w:uiPriority="0" w:unhideWhenUsed="0"/>
    <w:lsdException w:name="List Bullet" w:semiHidden="0" w:uiPriority="0" w:unhideWhenUsed="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qFormat="1"/>
    <w:lsdException w:name="Body Text" w:uiPriority="0"/>
    <w:lsdException w:name="Body Text Indent" w:uiPriority="0"/>
    <w:lsdException w:name="List Continue" w:uiPriority="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semiHidden="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lsdException w:name="annotation subject" w:semiHidden="0" w:uiPriority="0" w:unhideWhenUsed="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59"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10"/>
    <w:qFormat/>
    <w:pPr>
      <w:keepNext/>
      <w:keepLines/>
      <w:ind w:left="420" w:firstLine="321" w:firstLineChars="100"/>
      <w:jc w:val="left"/>
      <w:outlineLvl w:val="0"/>
    </w:pPr>
    <w:rPr>
      <w:rFonts w:ascii="黑体" w:eastAsia="黑体" w:hAnsi="黑体"/>
      <w:b/>
      <w:bCs/>
      <w:kern w:val="44"/>
      <w:sz w:val="32"/>
      <w:szCs w:val="32"/>
    </w:rPr>
  </w:style>
  <w:style w:type="paragraph" w:styleId="Heading2">
    <w:name w:val="heading 2"/>
    <w:basedOn w:val="Normal"/>
    <w:next w:val="Normal"/>
    <w:link w:val="20"/>
    <w:unhideWhenUsed/>
    <w:qFormat/>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0"/>
    <w:unhideWhenUsed/>
    <w:qFormat/>
    <w:pPr>
      <w:keepNext/>
      <w:keepLines/>
      <w:spacing w:before="260" w:after="260" w:line="416" w:lineRule="auto"/>
      <w:outlineLvl w:val="2"/>
    </w:pPr>
    <w:rPr>
      <w:b/>
      <w:bCs/>
      <w:sz w:val="32"/>
      <w:szCs w:val="32"/>
    </w:rPr>
  </w:style>
  <w:style w:type="character" w:default="1" w:styleId="DefaultParagraphFont">
    <w:name w:val="Default Paragraph Font"/>
    <w:uiPriority w:val="1"/>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CommentText">
    <w:name w:val="annotation text"/>
    <w:basedOn w:val="Normal"/>
    <w:link w:val="a3"/>
    <w:pPr>
      <w:jc w:val="left"/>
    </w:pPr>
  </w:style>
  <w:style w:type="paragraph" w:styleId="TOC3">
    <w:name w:val="toc 3"/>
    <w:basedOn w:val="Normal"/>
    <w:next w:val="Normal"/>
    <w:uiPriority w:val="39"/>
    <w:unhideWhenUsed/>
    <w:qFormat/>
    <w:pPr>
      <w:widowControl/>
      <w:spacing w:after="100" w:line="276" w:lineRule="auto"/>
      <w:ind w:left="440"/>
      <w:jc w:val="left"/>
    </w:pPr>
    <w:rPr>
      <w:rFonts w:asciiTheme="minorHAnsi" w:eastAsiaTheme="minorEastAsia" w:hAnsiTheme="minorHAnsi" w:cstheme="minorBidi"/>
      <w:kern w:val="0"/>
      <w:sz w:val="22"/>
      <w:szCs w:val="22"/>
    </w:rPr>
  </w:style>
  <w:style w:type="paragraph" w:styleId="BalloonText">
    <w:name w:val="Balloon Text"/>
    <w:basedOn w:val="Normal"/>
    <w:link w:val="a"/>
    <w:rPr>
      <w:sz w:val="18"/>
      <w:szCs w:val="18"/>
    </w:rPr>
  </w:style>
  <w:style w:type="paragraph" w:styleId="Footer">
    <w:name w:val="footer"/>
    <w:basedOn w:val="Normal"/>
    <w:link w:val="a1"/>
    <w:uiPriority w:val="99"/>
    <w:pPr>
      <w:tabs>
        <w:tab w:val="center" w:pos="4153"/>
        <w:tab w:val="right" w:pos="8306"/>
      </w:tabs>
      <w:snapToGrid w:val="0"/>
      <w:jc w:val="left"/>
    </w:pPr>
    <w:rPr>
      <w:sz w:val="18"/>
      <w:szCs w:val="18"/>
    </w:rPr>
  </w:style>
  <w:style w:type="paragraph" w:styleId="Header">
    <w:name w:val="header"/>
    <w:basedOn w:val="Normal"/>
    <w:link w:val="a0"/>
    <w:pPr>
      <w:pBdr>
        <w:bottom w:val="single" w:sz="6" w:space="1" w:color="auto"/>
      </w:pBdr>
      <w:tabs>
        <w:tab w:val="center" w:pos="4153"/>
        <w:tab w:val="right" w:pos="8306"/>
      </w:tabs>
      <w:snapToGrid w:val="0"/>
      <w:jc w:val="center"/>
    </w:pPr>
    <w:rPr>
      <w:sz w:val="18"/>
      <w:szCs w:val="18"/>
    </w:rPr>
  </w:style>
  <w:style w:type="paragraph" w:styleId="TOC1">
    <w:name w:val="toc 1"/>
    <w:basedOn w:val="Normal"/>
    <w:next w:val="Normal"/>
    <w:uiPriority w:val="39"/>
    <w:unhideWhenUsed/>
    <w:qFormat/>
    <w:pPr>
      <w:widowControl/>
      <w:tabs>
        <w:tab w:val="right" w:leader="dot" w:pos="8296"/>
      </w:tabs>
      <w:spacing w:after="100" w:line="276" w:lineRule="auto"/>
      <w:jc w:val="left"/>
    </w:pPr>
    <w:rPr>
      <w:rFonts w:asciiTheme="minorHAnsi" w:eastAsiaTheme="minorEastAsia" w:hAnsiTheme="minorHAnsi" w:cstheme="minorBidi"/>
      <w:kern w:val="0"/>
      <w:sz w:val="22"/>
      <w:szCs w:val="22"/>
    </w:rPr>
  </w:style>
  <w:style w:type="paragraph" w:styleId="Subtitle">
    <w:name w:val="Subtitle"/>
    <w:basedOn w:val="Normal"/>
    <w:next w:val="Normal"/>
    <w:link w:val="a2"/>
    <w:qFormat/>
    <w:pPr>
      <w:spacing w:before="240" w:after="60" w:line="312" w:lineRule="auto"/>
      <w:jc w:val="center"/>
      <w:outlineLvl w:val="1"/>
    </w:pPr>
    <w:rPr>
      <w:rFonts w:asciiTheme="majorHAnsi" w:hAnsiTheme="majorHAnsi" w:cstheme="majorBidi"/>
      <w:b/>
      <w:bCs/>
      <w:kern w:val="28"/>
      <w:sz w:val="32"/>
      <w:szCs w:val="32"/>
    </w:rPr>
  </w:style>
  <w:style w:type="paragraph" w:styleId="TOC2">
    <w:name w:val="toc 2"/>
    <w:basedOn w:val="Normal"/>
    <w:next w:val="Normal"/>
    <w:uiPriority w:val="39"/>
    <w:unhideWhenUsed/>
    <w:qFormat/>
    <w:pPr>
      <w:widowControl/>
      <w:tabs>
        <w:tab w:val="left" w:pos="1260"/>
        <w:tab w:val="right" w:leader="dot" w:pos="8296"/>
      </w:tabs>
      <w:spacing w:after="100" w:line="360" w:lineRule="exact"/>
      <w:ind w:left="221"/>
      <w:jc w:val="left"/>
    </w:pPr>
    <w:rPr>
      <w:rFonts w:asciiTheme="minorHAnsi" w:eastAsiaTheme="minorEastAsia" w:hAnsiTheme="minorHAnsi" w:cstheme="minorBidi"/>
      <w:kern w:val="0"/>
      <w:sz w:val="22"/>
      <w:szCs w:val="22"/>
    </w:rPr>
  </w:style>
  <w:style w:type="paragraph" w:styleId="NormalWeb">
    <w:name w:val="Normal (Web)"/>
    <w:basedOn w:val="Normal"/>
    <w:uiPriority w:val="99"/>
    <w:unhideWhenUsed/>
    <w:pPr>
      <w:widowControl/>
      <w:spacing w:before="100" w:beforeAutospacing="1" w:after="100" w:afterAutospacing="1"/>
      <w:jc w:val="left"/>
    </w:pPr>
    <w:rPr>
      <w:rFonts w:ascii="宋体" w:hAnsi="宋体" w:cs="宋体"/>
      <w:kern w:val="0"/>
      <w:sz w:val="24"/>
    </w:rPr>
  </w:style>
  <w:style w:type="paragraph" w:styleId="CommentSubject">
    <w:name w:val="annotation subject"/>
    <w:basedOn w:val="CommentText"/>
    <w:next w:val="CommentText"/>
    <w:link w:val="a4"/>
    <w:rPr>
      <w:b/>
      <w:bCs/>
    </w:rPr>
  </w:style>
  <w:style w:type="table" w:styleId="TableGrid">
    <w:name w:val="Table Grid"/>
    <w:basedOn w:val="TableNormal"/>
    <w:uiPriority w:val="5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Pr>
      <w:color w:val="0000FF" w:themeColor="hyperlink"/>
      <w:u w:val="single"/>
    </w:rPr>
  </w:style>
  <w:style w:type="character" w:styleId="CommentReference">
    <w:name w:val="annotation reference"/>
    <w:basedOn w:val="DefaultParagraphFont"/>
    <w:rPr>
      <w:sz w:val="21"/>
      <w:szCs w:val="21"/>
    </w:rPr>
  </w:style>
  <w:style w:type="character" w:customStyle="1" w:styleId="a">
    <w:name w:val="批注框文本 字符"/>
    <w:basedOn w:val="DefaultParagraphFont"/>
    <w:link w:val="BalloonText"/>
    <w:rPr>
      <w:kern w:val="2"/>
      <w:sz w:val="18"/>
      <w:szCs w:val="18"/>
    </w:rPr>
  </w:style>
  <w:style w:type="character" w:customStyle="1" w:styleId="a0">
    <w:name w:val="页眉 字符"/>
    <w:basedOn w:val="DefaultParagraphFont"/>
    <w:link w:val="Header"/>
    <w:rPr>
      <w:kern w:val="2"/>
      <w:sz w:val="18"/>
      <w:szCs w:val="18"/>
    </w:rPr>
  </w:style>
  <w:style w:type="character" w:customStyle="1" w:styleId="a1">
    <w:name w:val="页脚 字符"/>
    <w:basedOn w:val="DefaultParagraphFont"/>
    <w:link w:val="Footer"/>
    <w:uiPriority w:val="99"/>
    <w:rPr>
      <w:kern w:val="2"/>
      <w:sz w:val="18"/>
      <w:szCs w:val="18"/>
    </w:rPr>
  </w:style>
  <w:style w:type="table" w:customStyle="1" w:styleId="1">
    <w:name w:val="网格型1"/>
    <w:basedOn w:val="TableNormal"/>
    <w:uiPriority w:val="5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标题 1 字符"/>
    <w:basedOn w:val="DefaultParagraphFont"/>
    <w:link w:val="Heading1"/>
    <w:rPr>
      <w:rFonts w:ascii="黑体" w:eastAsia="黑体" w:hAnsi="黑体"/>
      <w:b/>
      <w:bCs/>
      <w:kern w:val="44"/>
      <w:sz w:val="32"/>
      <w:szCs w:val="32"/>
    </w:rPr>
  </w:style>
  <w:style w:type="paragraph" w:customStyle="1" w:styleId="TOCHeading">
    <w:name w:val="TOC Heading"/>
    <w:basedOn w:val="Heading1"/>
    <w:next w:val="Normal"/>
    <w:uiPriority w:val="39"/>
    <w:unhideWhenUsed/>
    <w:qFormat/>
    <w:pPr>
      <w:widowControl/>
      <w:spacing w:before="480" w:line="276" w:lineRule="auto"/>
      <w:outlineLvl w:val="9"/>
    </w:pPr>
    <w:rPr>
      <w:rFonts w:asciiTheme="majorHAnsi" w:eastAsiaTheme="majorEastAsia" w:hAnsiTheme="majorHAnsi" w:cstheme="majorBidi"/>
      <w:color w:val="376092" w:themeColor="accent1" w:themeShade="BF"/>
      <w:kern w:val="0"/>
      <w:sz w:val="28"/>
      <w:szCs w:val="28"/>
    </w:rPr>
  </w:style>
  <w:style w:type="paragraph" w:customStyle="1" w:styleId="11">
    <w:name w:val="样式1"/>
    <w:basedOn w:val="Normal"/>
    <w:link w:val="1Char"/>
    <w:qFormat/>
    <w:pPr>
      <w:pBdr>
        <w:bottom w:val="double" w:sz="4" w:space="1" w:color="auto"/>
      </w:pBdr>
      <w:adjustRightInd w:val="0"/>
      <w:snapToGrid w:val="0"/>
      <w:spacing w:line="360" w:lineRule="auto"/>
      <w:jc w:val="center"/>
    </w:pPr>
    <w:rPr>
      <w:rFonts w:eastAsia="仿宋_GB2312"/>
      <w:szCs w:val="21"/>
    </w:rPr>
  </w:style>
  <w:style w:type="character" w:customStyle="1" w:styleId="1Char">
    <w:name w:val="样式1 Char"/>
    <w:link w:val="11"/>
    <w:rPr>
      <w:rFonts w:eastAsia="仿宋_GB2312"/>
      <w:kern w:val="2"/>
      <w:sz w:val="21"/>
      <w:szCs w:val="21"/>
    </w:rPr>
  </w:style>
  <w:style w:type="character" w:customStyle="1" w:styleId="a2">
    <w:name w:val="副标题 字符"/>
    <w:basedOn w:val="DefaultParagraphFont"/>
    <w:link w:val="Subtitle"/>
    <w:rPr>
      <w:rFonts w:asciiTheme="majorHAnsi" w:hAnsiTheme="majorHAnsi" w:cstheme="majorBidi"/>
      <w:b/>
      <w:bCs/>
      <w:kern w:val="28"/>
      <w:sz w:val="32"/>
      <w:szCs w:val="32"/>
    </w:rPr>
  </w:style>
  <w:style w:type="table" w:customStyle="1" w:styleId="2">
    <w:name w:val="网格型2"/>
    <w:basedOn w:val="TableNormal"/>
    <w:uiPriority w:val="59"/>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10">
    <w:name w:val="网格型11"/>
    <w:basedOn w:val="TableNormal"/>
    <w:uiPriority w:val="59"/>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11">
    <w:name w:val="网格型111"/>
    <w:basedOn w:val="TableNormal"/>
    <w:uiPriority w:val="5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网格型3"/>
    <w:basedOn w:val="TableNormal"/>
    <w:uiPriority w:val="59"/>
    <w:rPr>
      <w:rFonts w:asciiTheme="minorHAnsi" w:eastAsiaTheme="minorEastAsia" w:hAnsiTheme="minorHAnsi" w:cstheme="minorBidi"/>
      <w:kern w:val="2"/>
      <w:sz w:val="21"/>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标题 2 字符"/>
    <w:basedOn w:val="DefaultParagraphFont"/>
    <w:link w:val="Heading2"/>
    <w:rPr>
      <w:rFonts w:asciiTheme="majorHAnsi" w:eastAsiaTheme="majorEastAsia" w:hAnsiTheme="majorHAnsi" w:cstheme="majorBidi"/>
      <w:b/>
      <w:bCs/>
      <w:kern w:val="2"/>
      <w:sz w:val="32"/>
      <w:szCs w:val="32"/>
    </w:rPr>
  </w:style>
  <w:style w:type="table" w:customStyle="1" w:styleId="12">
    <w:name w:val="网格型12"/>
    <w:basedOn w:val="TableNormal"/>
    <w:uiPriority w:val="59"/>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112">
    <w:name w:val="网格型112"/>
    <w:basedOn w:val="TableNormal"/>
    <w:uiPriority w:val="59"/>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网格型4"/>
    <w:basedOn w:val="TableNormal"/>
    <w:uiPriority w:val="59"/>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table" w:customStyle="1" w:styleId="5">
    <w:name w:val="网格型5"/>
    <w:basedOn w:val="TableNormal"/>
    <w:uiPriority w:val="59"/>
    <w:rPr>
      <w:rFonts w:ascii="Calibri" w:hAnsi="Calibri" w:cs="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ListParagraph">
    <w:name w:val="List Paragraph"/>
    <w:basedOn w:val="Normal"/>
    <w:uiPriority w:val="34"/>
    <w:qFormat/>
    <w:pPr>
      <w:ind w:firstLine="420" w:firstLineChars="200"/>
    </w:pPr>
  </w:style>
  <w:style w:type="character" w:customStyle="1" w:styleId="a3">
    <w:name w:val="批注文字 字符"/>
    <w:basedOn w:val="DefaultParagraphFont"/>
    <w:link w:val="CommentText"/>
    <w:rPr>
      <w:kern w:val="2"/>
      <w:sz w:val="21"/>
      <w:szCs w:val="24"/>
    </w:rPr>
  </w:style>
  <w:style w:type="character" w:customStyle="1" w:styleId="a4">
    <w:name w:val="批注主题 字符"/>
    <w:basedOn w:val="a3"/>
    <w:link w:val="CommentSubject"/>
    <w:rPr>
      <w:b/>
      <w:bCs/>
      <w:kern w:val="2"/>
      <w:sz w:val="21"/>
      <w:szCs w:val="24"/>
    </w:rPr>
  </w:style>
  <w:style w:type="paragraph" w:customStyle="1" w:styleId="reader-word-layer">
    <w:name w:val="reader-word-layer"/>
    <w:basedOn w:val="Normal"/>
    <w:pPr>
      <w:widowControl/>
      <w:spacing w:before="100" w:beforeAutospacing="1" w:after="100" w:afterAutospacing="1"/>
      <w:jc w:val="left"/>
    </w:pPr>
    <w:rPr>
      <w:rFonts w:ascii="宋体" w:hAnsi="宋体" w:cs="宋体"/>
      <w:kern w:val="0"/>
      <w:sz w:val="24"/>
    </w:rPr>
  </w:style>
  <w:style w:type="character" w:customStyle="1" w:styleId="30">
    <w:name w:val="标题 3 字符"/>
    <w:basedOn w:val="DefaultParagraphFont"/>
    <w:link w:val="Heading3"/>
    <w:rPr>
      <w:b/>
      <w:bCs/>
      <w:kern w:val="2"/>
      <w:sz w:val="32"/>
      <w:szCs w:val="32"/>
    </w:rPr>
  </w:style>
  <w:style w:type="character" w:customStyle="1" w:styleId="bjh-p">
    <w:name w:val="bjh-p"/>
    <w:basedOn w:val="DefaultParagraphFont"/>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footer" Target="footer1.xml" /><Relationship Id="rId11" Type="http://schemas.openxmlformats.org/officeDocument/2006/relationships/image" Target="media/image1.jpeg" /><Relationship Id="rId12" Type="http://schemas.openxmlformats.org/officeDocument/2006/relationships/image" Target="media/image2.jpeg" /><Relationship Id="rId13" Type="http://schemas.openxmlformats.org/officeDocument/2006/relationships/theme" Target="theme/theme1.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header" Target="header1.xml" /><Relationship Id="rId7" Type="http://schemas.openxmlformats.org/officeDocument/2006/relationships/chart" Target="charts/chart1.xml" /><Relationship Id="rId8" Type="http://schemas.openxmlformats.org/officeDocument/2006/relationships/chart" Target="charts/chart2.xml" /><Relationship Id="rId9" Type="http://schemas.openxmlformats.org/officeDocument/2006/relationships/chart" Target="charts/chart3.xml" /></Relationships>
</file>

<file path=word/charts/_rels/chart1.xml.rels>&#65279;<?xml version="1.0" encoding="utf-8" standalone="yes"?><Relationships xmlns="http://schemas.openxmlformats.org/package/2006/relationships"><Relationship Id="rId1" Type="http://schemas.openxmlformats.org/officeDocument/2006/relationships/package" Target="../embeddings/Microsoft_Office_Excel_Worksheet1.xlsx" /></Relationships>
</file>

<file path=word/charts/_rels/chart2.xml.rels>&#65279;<?xml version="1.0" encoding="utf-8" standalone="yes"?><Relationships xmlns="http://schemas.openxmlformats.org/package/2006/relationships"><Relationship Id="rId1" Type="http://schemas.openxmlformats.org/officeDocument/2006/relationships/package" Target="../embeddings/Microsoft_Office_Excel_Worksheet2.xlsx" /></Relationships>
</file>

<file path=word/charts/_rels/chart3.xml.rels>&#65279;<?xml version="1.0" encoding="utf-8" standalone="yes"?><Relationships xmlns="http://schemas.openxmlformats.org/package/2006/relationships"><Relationship Id="rId1" Type="http://schemas.openxmlformats.org/officeDocument/2006/relationships/package" Target="../embeddings/Microsoft_Office_Excel_Worksheet3.xlsx" /></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lang="zh-CN" sz="1400" b="0" i="0" u="none" strike="noStrike" kern="1200" spc="0" baseline="0">
                <a:solidFill>
                  <a:sysClr val="windowText" lastClr="000000"/>
                </a:solidFill>
                <a:latin typeface="+mn-lt"/>
                <a:ea typeface="+mn-ea"/>
                <a:cs typeface="+mn-cs"/>
              </a:defRPr>
            </a:pPr>
            <a:r>
              <a:rPr lang="zh-CN" altLang="en-US" b="0">
                <a:solidFill>
                  <a:sysClr val="windowText" lastClr="000000"/>
                </a:solidFill>
                <a:latin typeface="黑体" panose="02010609060101010101" charset="-122"/>
                <a:ea typeface="黑体" panose="02010609060101010101" charset="-122"/>
              </a:rPr>
              <a:t>图</a:t>
            </a:r>
            <a:r>
              <a:rPr lang="en-US" altLang="zh-CN" b="0">
                <a:solidFill>
                  <a:sysClr val="windowText" lastClr="000000"/>
                </a:solidFill>
                <a:latin typeface="黑体" panose="02010609060101010101" charset="-122"/>
                <a:ea typeface="黑体" panose="02010609060101010101" charset="-122"/>
              </a:rPr>
              <a:t>1-1 </a:t>
            </a:r>
            <a:r>
              <a:rPr lang="zh-CN" altLang="en-US" b="0" baseline="0">
                <a:solidFill>
                  <a:sysClr val="windowText" lastClr="000000"/>
                </a:solidFill>
                <a:latin typeface="黑体" panose="02010609060101010101" charset="-122"/>
                <a:ea typeface="黑体" panose="02010609060101010101" charset="-122"/>
              </a:rPr>
              <a:t> 一级指标得分情况</a:t>
            </a:r>
            <a:endParaRPr lang="zh-CN" altLang="en-US" b="0">
              <a:solidFill>
                <a:sysClr val="windowText" lastClr="000000"/>
              </a:solidFill>
              <a:latin typeface="黑体" panose="02010609060101010101" charset="-122"/>
              <a:ea typeface="黑体" panose="02010609060101010101" charset="-122"/>
            </a:endParaRP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分值</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资金管理水平</c:v>
                </c:pt>
                <c:pt idx="1">
                  <c:v>项目管理水平</c:v>
                </c:pt>
                <c:pt idx="2">
                  <c:v>项目开展绩效</c:v>
                </c:pt>
                <c:pt idx="3">
                  <c:v>自评组织工作</c:v>
                </c:pt>
              </c:strCache>
            </c:strRef>
          </c:cat>
          <c:val>
            <c:numRef>
              <c:f>Sheet1!$B$2:$B$5</c:f>
              <c:numCache>
                <c:formatCode>General</c:formatCode>
                <c:ptCount val="4"/>
                <c:pt idx="0">
                  <c:v>20</c:v>
                </c:pt>
                <c:pt idx="1">
                  <c:v>20</c:v>
                </c:pt>
                <c:pt idx="2">
                  <c:v>50</c:v>
                </c:pt>
                <c:pt idx="3">
                  <c:v>10</c:v>
                </c:pt>
              </c:numCache>
            </c:numRef>
          </c:val>
        </c:ser>
        <c:ser>
          <c:idx val="1"/>
          <c:order val="1"/>
          <c:tx>
            <c:strRef>
              <c:f>Sheet1!$C$1</c:f>
              <c:strCache>
                <c:ptCount val="1"/>
                <c:pt idx="0">
                  <c:v>评价得分</c:v>
                </c:pt>
              </c:strCache>
            </c:strRef>
          </c:tx>
          <c:spPr>
            <a:solidFill>
              <a:schemeClr val="accent2"/>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资金管理水平</c:v>
                </c:pt>
                <c:pt idx="1">
                  <c:v>项目管理水平</c:v>
                </c:pt>
                <c:pt idx="2">
                  <c:v>项目开展绩效</c:v>
                </c:pt>
                <c:pt idx="3">
                  <c:v>自评组织工作</c:v>
                </c:pt>
              </c:strCache>
            </c:strRef>
          </c:cat>
          <c:val>
            <c:numRef>
              <c:f>Sheet1!$C$2:$C$5</c:f>
              <c:numCache>
                <c:formatCode>General</c:formatCode>
                <c:ptCount val="4"/>
                <c:pt idx="0">
                  <c:v>17</c:v>
                </c:pt>
                <c:pt idx="1">
                  <c:v>14.5</c:v>
                </c:pt>
                <c:pt idx="2">
                  <c:v>47</c:v>
                </c:pt>
                <c:pt idx="3">
                  <c:v>6.5</c:v>
                </c:pt>
              </c:numCache>
            </c:numRef>
          </c:val>
        </c:ser>
        <c:dLbls>
          <c:showLegendKey val="0"/>
          <c:showVal val="1"/>
          <c:showCatName val="0"/>
          <c:showSerName val="0"/>
          <c:showPercent val="0"/>
          <c:showBubbleSize val="0"/>
        </c:dLbls>
        <c:gapWidth val="219"/>
        <c:axId val="925668264"/>
        <c:axId val="925667280"/>
      </c:barChart>
      <c:lineChart>
        <c:grouping val="standard"/>
        <c:varyColors val="0"/>
        <c:ser>
          <c:idx val="2"/>
          <c:order val="2"/>
          <c:tx>
            <c:strRef>
              <c:f>Sheet1!$D$1</c:f>
              <c:strCache>
                <c:ptCount val="1"/>
                <c:pt idx="0">
                  <c:v>得分率</c:v>
                </c:pt>
              </c:strCache>
            </c:strRef>
          </c:tx>
          <c:spPr>
            <a:ln w="28575" cap="rnd">
              <a:solidFill>
                <a:schemeClr val="accent3"/>
              </a:solidFill>
              <a:round/>
            </a:ln>
            <a:effectLst/>
          </c:spPr>
          <c:marker>
            <c:symbol val="none"/>
          </c:marker>
          <c:dLbls>
            <c:numFmt formatCode="0.0%" sourceLinked="0"/>
            <c:spPr>
              <a:noFill/>
              <a:ln>
                <a:noFill/>
              </a:ln>
              <a:effectLst/>
            </c:spPr>
            <c:txPr>
              <a:bodyPr rot="0" spcFirstLastPara="1" vertOverflow="ellipsis" vert="horz" wrap="square" lIns="38100" tIns="19050" rIns="38100" bIns="19050" anchor="ctr" anchorCtr="1">
                <a:spAutoFit/>
              </a:bodyPr>
              <a:lstStyle/>
              <a:p>
                <a:pPr>
                  <a:defRPr lang="zh-CN" sz="900" b="0" i="0" u="none" strike="noStrike" kern="1200" baseline="0">
                    <a:solidFill>
                      <a:sysClr val="windowText" lastClr="000000"/>
                    </a:solidFill>
                    <a:latin typeface="+mn-lt"/>
                    <a:ea typeface="+mn-ea"/>
                    <a:cs typeface="+mn-cs"/>
                  </a:defRPr>
                </a:pPr>
              </a:p>
            </c:txPr>
            <c:dLblPos val="r"/>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资金管理水平</c:v>
                </c:pt>
                <c:pt idx="1">
                  <c:v>项目管理水平</c:v>
                </c:pt>
                <c:pt idx="2">
                  <c:v>项目开展绩效</c:v>
                </c:pt>
                <c:pt idx="3">
                  <c:v>自评组织工作</c:v>
                </c:pt>
              </c:strCache>
            </c:strRef>
          </c:cat>
          <c:val>
            <c:numRef>
              <c:f>Sheet1!$D$2:$D$5</c:f>
              <c:numCache>
                <c:formatCode>0%</c:formatCode>
                <c:ptCount val="4"/>
                <c:pt idx="0">
                  <c:v>0.85</c:v>
                </c:pt>
                <c:pt idx="1">
                  <c:v>0.725</c:v>
                </c:pt>
                <c:pt idx="2">
                  <c:v>0.94</c:v>
                </c:pt>
                <c:pt idx="3">
                  <c:v>0.65</c:v>
                </c:pt>
              </c:numCache>
            </c:numRef>
          </c:val>
          <c:smooth val="0"/>
        </c:ser>
        <c:dLbls>
          <c:showLegendKey val="0"/>
          <c:showVal val="1"/>
          <c:showCatName val="0"/>
          <c:showSerName val="0"/>
          <c:showPercent val="0"/>
          <c:showBubbleSize val="0"/>
        </c:dLbls>
        <c:marker val="0"/>
        <c:smooth val="0"/>
        <c:axId val="1144862128"/>
        <c:axId val="1144863440"/>
      </c:lineChart>
      <c:catAx>
        <c:axId val="925668264"/>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crossAx val="925667280"/>
        <c:crosses val="autoZero"/>
        <c:auto val="1"/>
        <c:lblAlgn val="ctr"/>
        <c:lblOffset val="100"/>
        <c:noMultiLvlLbl val="0"/>
      </c:catAx>
      <c:valAx>
        <c:axId val="92566728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crossAx val="925668264"/>
        <c:crosses val="autoZero"/>
        <c:crossBetween val="between"/>
      </c:valAx>
      <c:catAx>
        <c:axId val="1144862128"/>
        <c:scaling>
          <c:orientation val="minMax"/>
        </c:scaling>
        <c:delete val="1"/>
        <c:axPos val="b"/>
        <c:numFmt formatCode="General" sourceLinked="1"/>
        <c:majorTickMark val="out"/>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144863440"/>
        <c:crosses val="autoZero"/>
        <c:auto val="1"/>
        <c:lblAlgn val="ctr"/>
        <c:lblOffset val="100"/>
        <c:noMultiLvlLbl val="0"/>
      </c:catAx>
      <c:valAx>
        <c:axId val="1144863440"/>
        <c:scaling>
          <c:orientation val="minMax"/>
        </c:scaling>
        <c:delete val="0"/>
        <c:axPos val="r"/>
        <c:numFmt formatCode="0%" sourceLinked="1"/>
        <c:majorTickMark val="out"/>
        <c:minorTickMark val="none"/>
        <c:tickLblPos val="nextTo"/>
        <c:spPr>
          <a:noFill/>
          <a:ln>
            <a:noFill/>
          </a:ln>
          <a:effectLst/>
        </c:spPr>
        <c:txPr>
          <a:bodyPr rot="-6000000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crossAx val="1144862128"/>
        <c:crosses val="max"/>
        <c:crossBetween val="between"/>
      </c:valAx>
      <c:spPr>
        <a:noFill/>
        <a:ln>
          <a:noFill/>
        </a:ln>
        <a:effectLst/>
      </c:spPr>
    </c:plotArea>
    <c:legend>
      <c:legendPos val="b"/>
      <c:layout/>
      <c:overlay val="0"/>
      <c:spPr>
        <a:noFill/>
        <a:ln>
          <a:noFill/>
        </a:ln>
        <a:effectLst/>
      </c:spPr>
      <c:txPr>
        <a:bodyPr rot="0" spcFirstLastPara="1" vertOverflow="ellipsis" vert="horz" wrap="square" anchor="ctr" anchorCtr="1"/>
        <a:lstStyle/>
        <a:p>
          <a:pPr>
            <a:defRPr lang="zh-CN" sz="900" b="0" i="0" u="none" strike="noStrike" kern="1200" baseline="0">
              <a:solidFill>
                <a:sysClr val="windowText" lastClr="000000"/>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0" i="0" u="none" strike="noStrike" kern="1200" baseline="0">
                <a:solidFill>
                  <a:schemeClr val="tx1"/>
                </a:solidFill>
                <a:latin typeface="+mn-lt"/>
                <a:ea typeface="+mn-ea"/>
                <a:cs typeface="+mn-cs"/>
              </a:defRPr>
            </a:pPr>
            <a:r>
              <a:rPr lang="zh-CN" altLang="zh-CN" sz="1400" b="0">
                <a:effectLst/>
                <a:latin typeface="黑体" panose="02010609060101010101" charset="-122"/>
                <a:ea typeface="黑体" panose="02010609060101010101" charset="-122"/>
              </a:rPr>
              <a:t>图</a:t>
            </a:r>
            <a:r>
              <a:rPr lang="en-US" altLang="zh-CN" sz="1400" b="0">
                <a:effectLst/>
                <a:latin typeface="黑体" panose="02010609060101010101" charset="-122"/>
                <a:ea typeface="黑体" panose="02010609060101010101" charset="-122"/>
              </a:rPr>
              <a:t>2-1 2021</a:t>
            </a:r>
            <a:r>
              <a:rPr lang="zh-CN" altLang="zh-CN" sz="1400" b="0">
                <a:effectLst/>
                <a:latin typeface="黑体" panose="02010609060101010101" charset="-122"/>
                <a:ea typeface="黑体" panose="02010609060101010101" charset="-122"/>
              </a:rPr>
              <a:t>年江海区地质灾害项目</a:t>
            </a:r>
            <a:r>
              <a:rPr lang="zh-CN" altLang="en-US" sz="1400" b="0">
                <a:effectLst/>
                <a:latin typeface="黑体" panose="02010609060101010101" charset="-122"/>
                <a:ea typeface="黑体" panose="02010609060101010101" charset="-122"/>
              </a:rPr>
              <a:t>资金</a:t>
            </a:r>
            <a:r>
              <a:rPr lang="zh-CN" altLang="zh-CN" sz="1400" b="0">
                <a:effectLst/>
                <a:latin typeface="黑体" panose="02010609060101010101" charset="-122"/>
                <a:ea typeface="黑体" panose="02010609060101010101" charset="-122"/>
              </a:rPr>
              <a:t>安排分布图</a:t>
            </a:r>
            <a:endParaRPr lang="zh-CN" altLang="zh-CN" sz="1400" b="0">
              <a:effectLst/>
              <a:latin typeface="黑体" panose="02010609060101010101" charset="-122"/>
              <a:ea typeface="黑体" panose="02010609060101010101" charset="-122"/>
            </a:endParaRPr>
          </a:p>
        </c:rich>
      </c:tx>
      <c:layout/>
      <c:overlay val="0"/>
    </c:title>
    <c:autoTitleDeleted val="0"/>
    <c:plotArea>
      <c:layout/>
      <c:pieChart>
        <c:varyColors val="1"/>
        <c:ser>
          <c:idx val="0"/>
          <c:order val="0"/>
          <c:tx>
            <c:strRef>
              <c:f>Sheet1!$B$1</c:f>
              <c:strCache>
                <c:ptCount val="1"/>
                <c:pt idx="0">
                  <c:v>销售额</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105947507825668"/>
                  <c:y val="0.173374613003096"/>
                </c:manualLayout>
              </c:layout>
              <c:tx>
                <c:rich>
                  <a:bodyPr rot="0" spcFirstLastPara="1" vertOverflow="ellipsis" vert="horz" wrap="square" lIns="38100" tIns="19050" rIns="38100" bIns="19050" anchor="ctr" anchorCtr="1">
                    <a:spAutoFit/>
                  </a:bodyPr>
                  <a:lstStyle/>
                  <a:p>
                    <a:fld id="{0249295a-49df-4520-9c4c-dc4bfae8c97f}" type="CATEGORYNAME">
                      <a:t>[CATEGORY NAME]</a:t>
                    </a:fld>
                    <a:r>
                      <a:t>,</a:t>
                    </a:r>
                    <a:fld id="{5cf169b7-18d3-4c45-b397-9035e47ab2b9}" type="VALUE">
                      <a:t>[VALUE]</a:t>
                    </a:fld>
                    <a:endParaRPr lang="en-US" altLang="zh-CN" b="0" i="0" u="none" strike="noStrike" baseline="0">
                      <a:latin typeface="Times New Roman" panose="02020603050405020304" charset="0"/>
                      <a:ea typeface="Times New Roman" panose="02020603050405020304" charset="0"/>
                      <a:cs typeface="+mn-ea"/>
                    </a:endParaRP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dLbl>
              <c:idx val="1"/>
              <c:layout>
                <c:manualLayout>
                  <c:x val="0.0866843245846375"/>
                  <c:y val="-0.020639834881321"/>
                </c:manualLayout>
              </c:layout>
              <c:tx>
                <c:rich>
                  <a:bodyPr rot="0" spcFirstLastPara="1" vertOverflow="ellipsis" vert="horz" wrap="square" lIns="38100" tIns="19050" rIns="38100" bIns="19050" anchor="ctr" anchorCtr="1">
                    <a:spAutoFit/>
                  </a:bodyPr>
                  <a:lstStyle/>
                  <a:p>
                    <a:fld id="{9b81f90d-acd9-491f-a459-4ab163581abc}" type="CATEGORYNAME">
                      <a:t>[CATEGORY NAME]</a:t>
                    </a:fld>
                    <a:r>
                      <a:t>,</a:t>
                    </a:r>
                    <a:fld id="{fe3a8f8a-c9c7-4865-bd3d-d81c8f217d09}" type="VALUE">
                      <a:t>[VALUE]</a:t>
                    </a:fld>
                    <a:endParaRPr lang="en-US" altLang="zh-CN" b="0" i="0" u="none" strike="noStrike" baseline="0">
                      <a:latin typeface="Times New Roman" panose="02020603050405020304" charset="0"/>
                      <a:ea typeface="Times New Roman" panose="02020603050405020304" charset="0"/>
                      <a:cs typeface="+mn-ea"/>
                    </a:endParaRP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dLbl>
              <c:idx val="2"/>
              <c:layout>
                <c:manualLayout>
                  <c:x val="0.0484982869797187"/>
                  <c:y val="0.0996813995422534"/>
                </c:manualLayout>
              </c:layout>
              <c:tx>
                <c:rich>
                  <a:bodyPr rot="0" spcFirstLastPara="1" vertOverflow="ellipsis" vert="horz" wrap="square" lIns="38100" tIns="19050" rIns="38100" bIns="19050" anchor="ctr" anchorCtr="1">
                    <a:spAutoFit/>
                  </a:bodyPr>
                  <a:lstStyle/>
                  <a:p>
                    <a:fld id="{eac9296b-ed04-4d1b-9521-c8ef7f638d08}" type="CATEGORYNAME">
                      <a:t>[CATEGORY NAME]</a:t>
                    </a:fld>
                    <a:r>
                      <a:t>,</a:t>
                    </a:r>
                    <a:fld id="{e6ac6804-ca36-4be9-b9d1-2b26c6bf38b8}" type="VALUE">
                      <a:t>[VALUE]</a:t>
                    </a:fld>
                    <a:endParaRPr lang="en-US" altLang="zh-CN" b="0" i="0" u="none" strike="noStrike" baseline="0">
                      <a:latin typeface="Times New Roman" panose="02020603050405020304" charset="0"/>
                      <a:ea typeface="Times New Roman" panose="02020603050405020304" charset="0"/>
                      <a:cs typeface="+mn-ea"/>
                    </a:endParaRP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1"/>
              <c:showBubbleSize val="0"/>
              <c:extLst>
                <c:ext xmlns:c15="http://schemas.microsoft.com/office/drawing/2012/chart" uri="{CE6537A1-D6FC-4f65-9D91-7224C49458BB}">
                  <c15:layout>
                    <c:manualLayout>
                      <c:w val="0.235973994702625"/>
                      <c:h val="0.154324130536315"/>
                    </c:manualLayout>
                  </c15:layout>
                </c:ext>
              </c:extLst>
            </c:dLbl>
            <c:dLbl>
              <c:idx val="3"/>
              <c:layout>
                <c:manualLayout>
                  <c:x val="0.0638092944859138"/>
                  <c:y val="0.014488188976378"/>
                </c:manualLayout>
              </c:layout>
              <c:tx>
                <c:rich>
                  <a:bodyPr rot="0" spcFirstLastPara="1" vertOverflow="ellipsis" vert="horz" wrap="square" lIns="38100" tIns="19050" rIns="38100" bIns="19050" anchor="ctr" anchorCtr="1">
                    <a:noAutofit/>
                  </a:bodyPr>
                  <a:lstStyle/>
                  <a:p>
                    <a:fld id="{97a92c23-e903-440b-825b-eef8f7fc2653}" type="CATEGORYNAME">
                      <a:t>[CATEGORY NAME]</a:t>
                    </a:fld>
                    <a:r>
                      <a:t>,</a:t>
                    </a:r>
                    <a:fld id="{93d88936-8cd6-4835-894e-9014b6f3f9a8}" type="VALUE">
                      <a:t>[VALUE]</a:t>
                    </a:fld>
                    <a:endParaRPr lang="en-US" altLang="zh-CN" b="0" i="0" u="none" strike="noStrike" baseline="0">
                      <a:latin typeface="Times New Roman" panose="02020603050405020304" charset="0"/>
                      <a:ea typeface="Times New Roman" panose="02020603050405020304" charset="0"/>
                      <a:cs typeface="+mn-ea"/>
                    </a:endParaRPr>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lang="zh-CN" sz="900" b="1"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1"/>
              <c:showBubbleSize val="0"/>
              <c:extLst>
                <c:ext xmlns:c15="http://schemas.microsoft.com/office/drawing/2012/chart" uri="{CE6537A1-D6FC-4f65-9D91-7224C49458BB}">
                  <c15:layout>
                    <c:manualLayout>
                      <c:w val="0.272766674692993"/>
                      <c:h val="0.128270808254231"/>
                    </c:manualLayout>
                  </c15:layout>
                </c:ext>
              </c:extLst>
            </c:dLbl>
            <c:numFmt formatCode="General"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江南街道2019年5个地质灾害治理工程未付工程款及2021年3个新增地质灾害点治理工程工程进度款</c:v>
                </c:pt>
                <c:pt idx="1">
                  <c:v>外海街道东南村松仔山地质灾害治理工程工程进度款（年中追加）</c:v>
                </c:pt>
                <c:pt idx="2">
                  <c:v>地质灾害点监测设备</c:v>
                </c:pt>
                <c:pt idx="3">
                  <c:v>地质灾害监测与技术支撑</c:v>
                </c:pt>
              </c:strCache>
            </c:strRef>
          </c:cat>
          <c:val>
            <c:numRef>
              <c:f>Sheet1!$B$2:$B$5</c:f>
              <c:numCache>
                <c:formatCode>General</c:formatCode>
                <c:ptCount val="4"/>
                <c:pt idx="0">
                  <c:v>220</c:v>
                </c:pt>
                <c:pt idx="1">
                  <c:v>400</c:v>
                </c:pt>
                <c:pt idx="2">
                  <c:v>30</c:v>
                </c:pt>
                <c:pt idx="3">
                  <c:v>5</c:v>
                </c:pt>
              </c:numCache>
            </c:numRef>
          </c:val>
        </c:ser>
        <c:dLbls>
          <c:showLegendKey val="0"/>
          <c:showVal val="0"/>
          <c:showCatName val="1"/>
          <c:showSerName val="0"/>
          <c:showPercent val="0"/>
          <c:showBubbleSize val="0"/>
          <c:showLeaderLines val="1"/>
        </c:dLbls>
        <c:firstSliceAng val="0"/>
      </c:pieChart>
      <c:spPr>
        <a:noFill/>
        <a:ln>
          <a:noFill/>
        </a:ln>
        <a:effectLst/>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a:defRPr lang="zh-CN" sz="1800" b="0" i="0" u="none" strike="noStrike" kern="1200" baseline="0">
                <a:solidFill>
                  <a:schemeClr val="tx1"/>
                </a:solidFill>
                <a:latin typeface="+mn-lt"/>
                <a:ea typeface="+mn-ea"/>
                <a:cs typeface="+mn-cs"/>
              </a:defRPr>
            </a:pPr>
            <a:r>
              <a:rPr lang="zh-CN" altLang="zh-CN" sz="1400" b="0">
                <a:effectLst/>
                <a:latin typeface="黑体" panose="02010609060101010101" charset="-122"/>
                <a:ea typeface="黑体" panose="02010609060101010101" charset="-122"/>
              </a:rPr>
              <a:t>图</a:t>
            </a:r>
            <a:r>
              <a:rPr lang="en-US" altLang="zh-CN" sz="1400" b="0">
                <a:effectLst/>
                <a:latin typeface="黑体" panose="02010609060101010101" charset="-122"/>
                <a:ea typeface="黑体" panose="02010609060101010101" charset="-122"/>
              </a:rPr>
              <a:t>2-2 2021</a:t>
            </a:r>
            <a:r>
              <a:rPr lang="zh-CN" altLang="zh-CN" sz="1400" b="0">
                <a:effectLst/>
                <a:latin typeface="黑体" panose="02010609060101010101" charset="-122"/>
                <a:ea typeface="黑体" panose="02010609060101010101" charset="-122"/>
              </a:rPr>
              <a:t>年江海区地质灾害项目</a:t>
            </a:r>
            <a:r>
              <a:rPr lang="zh-CN" altLang="en-US" sz="1400" b="0">
                <a:effectLst/>
                <a:latin typeface="黑体" panose="02010609060101010101" charset="-122"/>
                <a:ea typeface="黑体" panose="02010609060101010101" charset="-122"/>
              </a:rPr>
              <a:t>资金支出</a:t>
            </a:r>
            <a:r>
              <a:rPr lang="zh-CN" altLang="zh-CN" sz="1400" b="0">
                <a:effectLst/>
                <a:latin typeface="黑体" panose="02010609060101010101" charset="-122"/>
                <a:ea typeface="黑体" panose="02010609060101010101" charset="-122"/>
              </a:rPr>
              <a:t>分布图</a:t>
            </a:r>
            <a:endParaRPr lang="zh-CN" altLang="zh-CN" sz="1400" b="0">
              <a:effectLst/>
              <a:latin typeface="黑体" panose="02010609060101010101" charset="-122"/>
              <a:ea typeface="黑体" panose="02010609060101010101" charset="-122"/>
            </a:endParaRPr>
          </a:p>
        </c:rich>
      </c:tx>
      <c:layout/>
      <c:overlay val="0"/>
    </c:title>
    <c:autoTitleDeleted val="0"/>
    <c:plotArea>
      <c:layout/>
      <c:pieChart>
        <c:varyColors val="1"/>
        <c:ser>
          <c:idx val="0"/>
          <c:order val="0"/>
          <c:tx>
            <c:strRef>
              <c:f>Sheet1!$B$1</c:f>
              <c:strCache>
                <c:ptCount val="1"/>
                <c:pt idx="0">
                  <c:v>销售额</c:v>
                </c:pt>
              </c:strCache>
            </c:strRef>
          </c:tx>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dLbl>
              <c:idx val="0"/>
              <c:layout>
                <c:manualLayout>
                  <c:x val="-0.105947507825668"/>
                  <c:y val="0.173374613003096"/>
                </c:manualLayout>
              </c:layout>
              <c:tx>
                <c:rich>
                  <a:bodyPr rot="0" spcFirstLastPara="1" vertOverflow="ellipsis" vert="horz" wrap="square" lIns="38100" tIns="19050" rIns="38100" bIns="19050" anchor="ctr" anchorCtr="1">
                    <a:spAutoFit/>
                  </a:bodyPr>
                  <a:lstStyle/>
                  <a:p>
                    <a:fld id="{504a8a50-d432-4e0e-9a51-0ac42642b83e}" type="CATEGORYNAME">
                      <a:t>[CATEGORY NAME]</a:t>
                    </a:fld>
                    <a:r>
                      <a:t>,</a:t>
                    </a:r>
                    <a:fld id="{da252b1d-497d-44c0-ba23-b7a022a7da44}" type="VALUE">
                      <a:t>[VALUE]</a:t>
                    </a:fld>
                    <a:endParaRPr lang="en-US" altLang="zh-CN" b="0" i="0" u="none" strike="noStrike" baseline="0">
                      <a:latin typeface="Times New Roman" panose="02020603050405020304" charset="0"/>
                      <a:ea typeface="Times New Roman" panose="02020603050405020304" charset="0"/>
                      <a:cs typeface="+mn-ea"/>
                    </a:endParaRP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dLbl>
              <c:idx val="1"/>
              <c:layout>
                <c:manualLayout>
                  <c:x val="0.0866843245846375"/>
                  <c:y val="-0.020639834881321"/>
                </c:manualLayout>
              </c:layout>
              <c:tx>
                <c:rich>
                  <a:bodyPr rot="0" spcFirstLastPara="1" vertOverflow="ellipsis" vert="horz" wrap="square" lIns="38100" tIns="19050" rIns="38100" bIns="19050" anchor="ctr" anchorCtr="1">
                    <a:spAutoFit/>
                  </a:bodyPr>
                  <a:lstStyle/>
                  <a:p>
                    <a:fld id="{87865dda-afd9-4f34-bc69-8f1a3d904bce}" type="CATEGORYNAME">
                      <a:t>[CATEGORY NAME]</a:t>
                    </a:fld>
                    <a:r>
                      <a:t>,</a:t>
                    </a:r>
                    <a:fld id="{ace11753-b499-40a6-878b-f40a57f9d040}" type="VALUE">
                      <a:t>[VALUE]</a:t>
                    </a:fld>
                    <a:endParaRPr lang="en-US" altLang="zh-CN" b="0" i="0" u="none" strike="noStrike" baseline="0">
                      <a:latin typeface="Times New Roman" panose="02020603050405020304" charset="0"/>
                      <a:ea typeface="Times New Roman" panose="02020603050405020304" charset="0"/>
                      <a:cs typeface="+mn-ea"/>
                    </a:endParaRP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1"/>
              <c:showBubbleSize val="0"/>
              <c:extLst>
                <c:ext xmlns:c15="http://schemas.microsoft.com/office/drawing/2012/chart" uri="{CE6537A1-D6FC-4f65-9D91-7224C49458BB}">
                  <c15:layout/>
                </c:ext>
              </c:extLst>
            </c:dLbl>
            <c:dLbl>
              <c:idx val="2"/>
              <c:layout>
                <c:manualLayout>
                  <c:x val="0.0484982869797187"/>
                  <c:y val="0.0996813995422534"/>
                </c:manualLayout>
              </c:layout>
              <c:tx>
                <c:rich>
                  <a:bodyPr rot="0" spcFirstLastPara="1" vertOverflow="ellipsis" vert="horz" wrap="square" lIns="38100" tIns="19050" rIns="38100" bIns="19050" anchor="ctr" anchorCtr="1">
                    <a:spAutoFit/>
                  </a:bodyPr>
                  <a:lstStyle/>
                  <a:p>
                    <a:fld id="{9421e399-78cf-4ae0-8da8-f87fd8b14851}" type="CATEGORYNAME">
                      <a:t>[CATEGORY NAME]</a:t>
                    </a:fld>
                    <a:r>
                      <a:t>,</a:t>
                    </a:r>
                    <a:fld id="{bc2664dc-bd6a-422e-9bf8-beccac8b3e88}" type="VALUE">
                      <a:t>[VALUE]</a:t>
                    </a:fld>
                    <a:endParaRPr lang="en-US" altLang="zh-CN" b="0" i="0" u="none" strike="noStrike" baseline="0">
                      <a:latin typeface="Times New Roman" panose="02020603050405020304" charset="0"/>
                      <a:ea typeface="Times New Roman" panose="02020603050405020304" charset="0"/>
                      <a:cs typeface="+mn-ea"/>
                    </a:endParaRPr>
                  </a:p>
                </c:rich>
              </c:tx>
              <c:numFmt formatCode="0.00%"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1"/>
              <c:showBubbleSize val="0"/>
              <c:extLst>
                <c:ext xmlns:c15="http://schemas.microsoft.com/office/drawing/2012/chart" uri="{CE6537A1-D6FC-4f65-9D91-7224C49458BB}">
                  <c15:layout>
                    <c:manualLayout>
                      <c:w val="0.235973994702625"/>
                      <c:h val="0.154324130536315"/>
                    </c:manualLayout>
                  </c15:layout>
                </c:ext>
              </c:extLst>
            </c:dLbl>
            <c:dLbl>
              <c:idx val="3"/>
              <c:layout>
                <c:manualLayout>
                  <c:x val="0.0638092944859138"/>
                  <c:y val="0.014488188976378"/>
                </c:manualLayout>
              </c:layout>
              <c:tx>
                <c:rich>
                  <a:bodyPr rot="0" spcFirstLastPara="1" vertOverflow="ellipsis" vert="horz" wrap="square" lIns="38100" tIns="19050" rIns="38100" bIns="19050" anchor="ctr" anchorCtr="1">
                    <a:noAutofit/>
                  </a:bodyPr>
                  <a:lstStyle/>
                  <a:p>
                    <a:fld id="{8a797df6-4c65-4325-becf-c8d345fc9d4a}" type="CATEGORYNAME">
                      <a:t>[CATEGORY NAME]</a:t>
                    </a:fld>
                    <a:r>
                      <a:t>,</a:t>
                    </a:r>
                    <a:fld id="{8f07425e-1d09-4af1-a9ac-44635358f5b9}" type="VALUE">
                      <a:t>[VALUE]</a:t>
                    </a:fld>
                    <a:endParaRPr lang="en-US" altLang="zh-CN" b="0" i="0" u="none" strike="noStrike" baseline="0">
                      <a:latin typeface="Times New Roman" panose="02020603050405020304" charset="0"/>
                      <a:ea typeface="Times New Roman" panose="02020603050405020304" charset="0"/>
                      <a:cs typeface="+mn-ea"/>
                    </a:endParaRPr>
                  </a:p>
                </c:rich>
              </c:tx>
              <c:numFmt formatCode="0.00%" sourceLinked="0"/>
              <c:spPr>
                <a:noFill/>
                <a:ln>
                  <a:noFill/>
                </a:ln>
                <a:effectLst/>
              </c:spPr>
              <c:txPr>
                <a:bodyPr rot="0" spcFirstLastPara="1" vertOverflow="ellipsis" vert="horz" wrap="square" lIns="38100" tIns="19050" rIns="38100" bIns="19050" anchor="ctr" anchorCtr="1">
                  <a:noAutofit/>
                </a:bodyPr>
                <a:lstStyle/>
                <a:p>
                  <a:pPr>
                    <a:defRPr lang="zh-CN" sz="900" b="1" i="0" u="none" strike="noStrike" kern="1200" baseline="0">
                      <a:solidFill>
                        <a:schemeClr val="tx1">
                          <a:lumMod val="75000"/>
                          <a:lumOff val="25000"/>
                        </a:schemeClr>
                      </a:solidFill>
                      <a:latin typeface="+mn-lt"/>
                      <a:ea typeface="+mn-ea"/>
                      <a:cs typeface="+mn-cs"/>
                    </a:defRPr>
                  </a:pPr>
                </a:p>
              </c:txPr>
              <c:dLblPos val="bestFit"/>
              <c:showLegendKey val="0"/>
              <c:showVal val="1"/>
              <c:showCatName val="1"/>
              <c:showSerName val="0"/>
              <c:showPercent val="1"/>
              <c:showBubbleSize val="0"/>
              <c:extLst>
                <c:ext xmlns:c15="http://schemas.microsoft.com/office/drawing/2012/chart" uri="{CE6537A1-D6FC-4f65-9D91-7224C49458BB}">
                  <c15:layout>
                    <c:manualLayout>
                      <c:w val="0.272766674692993"/>
                      <c:h val="0.128270808254231"/>
                    </c:manualLayout>
                  </c15:layout>
                </c:ext>
              </c:extLst>
            </c:dLbl>
            <c:numFmt formatCode="General" sourceLinked="0"/>
            <c:spPr>
              <a:noFill/>
              <a:ln>
                <a:noFill/>
              </a:ln>
              <a:effectLst/>
            </c:spPr>
            <c:txPr>
              <a:bodyPr rot="0" spcFirstLastPara="1" vertOverflow="ellipsis" vert="horz" wrap="square" lIns="38100" tIns="19050" rIns="38100" bIns="19050" anchor="ctr" anchorCtr="1">
                <a:spAutoFit/>
              </a:bodyPr>
              <a:lstStyle/>
              <a:p>
                <a:pPr>
                  <a:defRPr lang="zh-CN" sz="900" b="1" i="0" u="none" strike="noStrike" kern="1200" baseline="0">
                    <a:solidFill>
                      <a:schemeClr val="tx1">
                        <a:lumMod val="75000"/>
                        <a:lumOff val="25000"/>
                      </a:schemeClr>
                    </a:solidFill>
                    <a:latin typeface="+mn-lt"/>
                    <a:ea typeface="+mn-ea"/>
                    <a:cs typeface="+mn-cs"/>
                  </a:defRPr>
                </a:pPr>
              </a:p>
            </c:txPr>
            <c:dLblPos val="outEnd"/>
            <c:showLegendKey val="0"/>
            <c:showVal val="1"/>
            <c:showCatName val="1"/>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prstDash val="solid"/>
                      <a:round/>
                    </a:ln>
                    <a:effectLst/>
                  </c:spPr>
                </c15:leaderLines>
              </c:ext>
            </c:extLst>
          </c:dLbls>
          <c:cat>
            <c:strRef>
              <c:f>Sheet1!$A$2:$A$5</c:f>
              <c:strCache>
                <c:ptCount val="4"/>
                <c:pt idx="0">
                  <c:v>江南街道2019年5个地质灾害治理工程未付工程款及2021年3个新增地质灾害点治理工程工程进度款</c:v>
                </c:pt>
                <c:pt idx="1">
                  <c:v>外海街道东南村松仔山地质灾害治理工程工程进度款（年中追加）</c:v>
                </c:pt>
                <c:pt idx="2">
                  <c:v>地质灾害点监测设备</c:v>
                </c:pt>
                <c:pt idx="3">
                  <c:v>地质灾害监测与技术支撑</c:v>
                </c:pt>
              </c:strCache>
            </c:strRef>
          </c:cat>
          <c:val>
            <c:numRef>
              <c:f>Sheet1!$B$2:$B$5</c:f>
              <c:numCache>
                <c:formatCode>General</c:formatCode>
                <c:ptCount val="4"/>
                <c:pt idx="0">
                  <c:v>219.08</c:v>
                </c:pt>
                <c:pt idx="1">
                  <c:v>400</c:v>
                </c:pt>
                <c:pt idx="2">
                  <c:v>29.32</c:v>
                </c:pt>
                <c:pt idx="3">
                  <c:v>5</c:v>
                </c:pt>
              </c:numCache>
            </c:numRef>
          </c:val>
        </c:ser>
        <c:dLbls>
          <c:showLegendKey val="0"/>
          <c:showVal val="0"/>
          <c:showCatName val="1"/>
          <c:showSerName val="0"/>
          <c:showPercent val="0"/>
          <c:showBubbleSize val="0"/>
          <c:showLeaderLines val="1"/>
        </c:dLbls>
        <c:firstSliceAng val="0"/>
      </c:pieChart>
      <c:spPr>
        <a:noFill/>
        <a:ln>
          <a:noFill/>
        </a:ln>
        <a:effectLst/>
      </c:spPr>
    </c:plotArea>
    <c:legend>
      <c:legendPos val="r"/>
      <c:layout/>
      <c:overlay val="0"/>
      <c:txPr>
        <a:bodyPr rot="0" spcFirstLastPara="0" vertOverflow="ellipsis" vert="horz" wrap="square" anchor="ctr" anchorCtr="1"/>
        <a:lstStyle/>
        <a:p>
          <a:pPr>
            <a:defRPr lang="zh-CN" sz="1000" b="0" i="0" u="none" strike="noStrike" kern="1200" baseline="0">
              <a:solidFill>
                <a:schemeClr val="tx1"/>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prstDash val="solid"/>
      <a:round/>
    </a:ln>
    <a:effectLst/>
  </c:spPr>
  <c:txPr>
    <a:bodyPr/>
    <a:lstStyle/>
    <a:p>
      <a:pPr>
        <a:defRPr lang="zh-CN"/>
      </a:pPr>
    </a:p>
  </c:txPr>
  <c:externalData r:id="rId1">
    <c:autoUpdate val="0"/>
  </c:externalData>
</c:chartSpac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9AFA75A-B790-4E95-A6ED-FAF985A3AE77}">
  <ds:schemaRefs/>
</ds:datastoreItem>
</file>

<file path=docProps/app.xml><?xml version="1.0" encoding="utf-8"?>
<Properties xmlns="http://schemas.openxmlformats.org/officeDocument/2006/extended-properties" xmlns:vt="http://schemas.openxmlformats.org/officeDocument/2006/docPropsVTypes">
  <Template>Normal</Template>
  <TotalTime>14694</TotalTime>
  <Pages>38</Pages>
  <Words>15322</Words>
  <Characters>16289</Characters>
  <Application>Microsoft Office Word</Application>
  <DocSecurity>0</DocSecurity>
  <Lines>138</Lines>
  <Paragraphs>39</Paragraphs>
  <ScaleCrop>false</ScaleCrop>
  <Company>china</Company>
  <LinksUpToDate>false</LinksUpToDate>
  <CharactersWithSpaces>16399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第</cp:lastModifiedBy>
  <cp:revision>782</cp:revision>
  <cp:lastPrinted>2022-09-09T06:58:00Z</cp:lastPrinted>
  <dcterms:created xsi:type="dcterms:W3CDTF">2017-07-21T07:43:00Z</dcterms:created>
  <dcterms:modified xsi:type="dcterms:W3CDTF">2022-10-28T02:51:28Z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24D12745D9604C4DA83C7D1506684485</vt:lpwstr>
  </property>
  <property fmtid="{D5CDD505-2E9C-101B-9397-08002B2CF9AE}" pid="3" name="KSOProductBuildVer">
    <vt:lpwstr>2052-11.1.0.12598</vt:lpwstr>
  </property>
</Properties>
</file>