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document.xml" ContentType="application/vnd.openxmlformats-officedocument.wordprocessingml.document.main+xml"/>
  <Override PartName="/word/embeddings/Microsoft_Office_Excel_Worksheet1.xlsx" ContentType="application/vnd.openxmlformats-officedocument.spreadsheetml.shee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3.2.0.0 -->
  <w:body>
    <w:p>
      <w:pPr>
        <w:ind w:firstLine="630" w:firstLineChars="300"/>
        <w:jc w:val="left"/>
        <w:rPr>
          <w:rFonts w:asciiTheme="minorHAnsi" w:eastAsiaTheme="minorEastAsia" w:hAnsiTheme="minorHAnsi" w:cstheme="minorBidi"/>
          <w:b/>
          <w:sz w:val="44"/>
          <w:szCs w:val="44"/>
        </w:rPr>
      </w:pPr>
      <w:bookmarkStart w:id="0" w:name="_Hlk112600258"/>
      <w:bookmarkEnd w:id="0"/>
      <w:bookmarkStart w:id="1" w:name="_Toc486952611"/>
    </w:p>
    <w:p>
      <w:pPr>
        <w:ind w:firstLine="630" w:firstLineChars="300"/>
        <w:jc w:val="left"/>
        <w:rPr>
          <w:rFonts w:asciiTheme="minorHAnsi" w:eastAsiaTheme="minorEastAsia" w:hAnsiTheme="minorHAnsi" w:cstheme="minorBidi"/>
          <w:b/>
          <w:sz w:val="44"/>
          <w:szCs w:val="44"/>
        </w:rPr>
      </w:pPr>
    </w:p>
    <w:p>
      <w:pPr>
        <w:spacing w:line="720" w:lineRule="auto"/>
        <w:ind w:firstLine="630" w:firstLineChars="300"/>
        <w:jc w:val="left"/>
        <w:rPr>
          <w:rFonts w:ascii="楷体" w:eastAsia="楷体" w:hAnsi="楷体" w:cstheme="minorBidi"/>
          <w:b/>
          <w:sz w:val="52"/>
          <w:szCs w:val="52"/>
        </w:rPr>
      </w:pPr>
    </w:p>
    <w:p>
      <w:pPr>
        <w:spacing w:line="720" w:lineRule="auto"/>
        <w:jc w:val="center"/>
        <w:rPr>
          <w:rFonts w:ascii="方正小标宋简体" w:eastAsia="方正小标宋简体" w:hAnsi="楷体" w:cstheme="minorBidi"/>
          <w:b/>
          <w:spacing w:val="-10"/>
          <w:sz w:val="52"/>
          <w:szCs w:val="52"/>
        </w:rPr>
      </w:pPr>
      <w:r>
        <w:rPr>
          <w:rFonts w:ascii="方正小标宋简体" w:eastAsia="方正小标宋简体" w:hAnsi="楷体" w:cstheme="minorBidi" w:hint="eastAsia"/>
          <w:b/>
          <w:spacing w:val="-10"/>
          <w:sz w:val="52"/>
          <w:szCs w:val="52"/>
        </w:rPr>
        <w:t>202</w:t>
      </w:r>
      <w:r>
        <w:rPr>
          <w:rFonts w:ascii="方正小标宋简体" w:eastAsia="方正小标宋简体" w:hAnsi="楷体" w:cstheme="minorBidi"/>
          <w:b/>
          <w:spacing w:val="-10"/>
          <w:sz w:val="52"/>
          <w:szCs w:val="52"/>
        </w:rPr>
        <w:t>1</w:t>
      </w:r>
      <w:r>
        <w:rPr>
          <w:rFonts w:ascii="方正小标宋简体" w:eastAsia="方正小标宋简体" w:hAnsi="楷体" w:cstheme="minorBidi" w:hint="eastAsia"/>
          <w:b/>
          <w:spacing w:val="-10"/>
          <w:sz w:val="52"/>
          <w:szCs w:val="52"/>
        </w:rPr>
        <w:t>年度宣传业务经费（含国防教育）</w:t>
      </w:r>
    </w:p>
    <w:p>
      <w:pPr>
        <w:spacing w:line="720" w:lineRule="auto"/>
        <w:jc w:val="center"/>
        <w:rPr>
          <w:rFonts w:ascii="方正小标宋简体" w:eastAsia="方正小标宋简体" w:hAnsi="楷体" w:cstheme="minorBidi"/>
          <w:b/>
          <w:sz w:val="52"/>
          <w:szCs w:val="52"/>
        </w:rPr>
      </w:pPr>
      <w:r>
        <w:rPr>
          <w:rFonts w:ascii="方正小标宋简体" w:eastAsia="方正小标宋简体" w:hAnsi="楷体" w:cstheme="minorBidi" w:hint="eastAsia"/>
          <w:b/>
          <w:sz w:val="52"/>
          <w:szCs w:val="52"/>
        </w:rPr>
        <w:t>重点绩效评价报告</w:t>
      </w:r>
      <w:bookmarkStart w:id="2" w:name="_GoBack"/>
      <w:bookmarkEnd w:id="2"/>
    </w:p>
    <w:p>
      <w:pPr>
        <w:rPr>
          <w:rFonts w:ascii="黑体" w:eastAsia="黑体" w:hAnsi="黑体"/>
          <w:b/>
          <w:sz w:val="32"/>
          <w:szCs w:val="32"/>
        </w:rPr>
      </w:pPr>
    </w:p>
    <w:p>
      <w:pPr>
        <w:spacing w:line="560" w:lineRule="exact"/>
        <w:jc w:val="center"/>
        <w:rPr>
          <w:rFonts w:ascii="方正小标宋简体" w:eastAsia="方正小标宋简体" w:hAnsi="楷体" w:cstheme="minorBidi"/>
          <w:b/>
          <w:sz w:val="32"/>
        </w:rPr>
      </w:pPr>
    </w:p>
    <w:p>
      <w:pPr>
        <w:spacing w:line="560" w:lineRule="exact"/>
        <w:jc w:val="center"/>
        <w:rPr>
          <w:rFonts w:ascii="仿宋_GB2312" w:eastAsia="仿宋_GB2312" w:hAnsi="楷体" w:cstheme="minorBidi"/>
          <w:b/>
          <w:sz w:val="32"/>
        </w:rPr>
      </w:pPr>
      <w:r>
        <w:rPr>
          <w:rFonts w:ascii="仿宋_GB2312" w:eastAsia="仿宋_GB2312" w:hAnsi="楷体" w:cstheme="minorBidi" w:hint="eastAsia"/>
          <w:b/>
          <w:sz w:val="32"/>
        </w:rPr>
        <w:t>项目主管单位：江海区委宣传部</w:t>
      </w:r>
    </w:p>
    <w:p>
      <w:pPr>
        <w:rPr>
          <w:rFonts w:asciiTheme="minorHAnsi" w:eastAsiaTheme="minorEastAsia" w:hAnsiTheme="minorHAnsi" w:cstheme="minorBidi"/>
          <w:b/>
          <w:sz w:val="44"/>
          <w:szCs w:val="44"/>
        </w:rPr>
      </w:pPr>
    </w:p>
    <w:p>
      <w:pPr>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hint="eastAsia"/>
          <w:b/>
          <w:spacing w:val="-20"/>
          <w:sz w:val="32"/>
          <w:szCs w:val="32"/>
        </w:rPr>
      </w:pPr>
    </w:p>
    <w:p>
      <w:pPr>
        <w:ind w:firstLine="1575" w:firstLineChars="750"/>
        <w:rPr>
          <w:rFonts w:eastAsia="仿宋_GB2312" w:asciiTheme="minorHAnsi" w:hAnsiTheme="minorHAnsi" w:cstheme="minorBidi"/>
          <w:b/>
          <w:spacing w:val="-20"/>
          <w:sz w:val="32"/>
          <w:szCs w:val="32"/>
        </w:rPr>
      </w:pPr>
    </w:p>
    <w:p>
      <w:pPr>
        <w:rPr>
          <w:rFonts w:eastAsia="仿宋_GB2312" w:asciiTheme="minorHAnsi" w:hAnsiTheme="minorHAnsi" w:cstheme="minorBidi"/>
          <w:b/>
          <w:spacing w:val="-20"/>
          <w:sz w:val="32"/>
          <w:szCs w:val="32"/>
        </w:rPr>
      </w:pPr>
    </w:p>
    <w:p>
      <w:pPr>
        <w:spacing w:line="560" w:lineRule="exact"/>
        <w:rPr>
          <w:rFonts w:eastAsia="仿宋_GB2312" w:cstheme="minorBidi"/>
          <w:b/>
          <w:sz w:val="32"/>
          <w:szCs w:val="44"/>
        </w:rPr>
      </w:pPr>
      <w:r>
        <w:rPr>
          <w:rFonts w:eastAsia="仿宋_GB2312" w:cstheme="minorBidi" w:hint="eastAsia"/>
          <w:b/>
          <w:sz w:val="32"/>
          <w:szCs w:val="44"/>
        </w:rPr>
        <w:t>委  托  单  位：江门市江海区财政局</w:t>
      </w:r>
    </w:p>
    <w:p>
      <w:pPr>
        <w:spacing w:line="560" w:lineRule="exact"/>
        <w:rPr>
          <w:rFonts w:eastAsia="仿宋_GB2312" w:cstheme="minorBidi"/>
          <w:b/>
          <w:spacing w:val="-4"/>
          <w:sz w:val="32"/>
          <w:szCs w:val="44"/>
        </w:rPr>
      </w:pPr>
      <w:r>
        <w:rPr>
          <w:rFonts w:eastAsia="仿宋_GB2312" w:cstheme="minorBidi" w:hint="eastAsia"/>
          <w:b/>
          <w:spacing w:val="-4"/>
          <w:sz w:val="32"/>
          <w:szCs w:val="44"/>
        </w:rPr>
        <w:t>第三方评价机构：广东经华资产评估土地房地产估价有限公司</w:t>
      </w:r>
    </w:p>
    <w:p>
      <w:pPr>
        <w:spacing w:line="560" w:lineRule="exact"/>
        <w:ind w:firstLine="420" w:firstLineChars="200"/>
        <w:jc w:val="center"/>
        <w:rPr>
          <w:rFonts w:eastAsia="仿宋_GB2312" w:cstheme="minorBidi"/>
          <w:b/>
          <w:sz w:val="32"/>
          <w:szCs w:val="44"/>
        </w:rPr>
      </w:pPr>
      <w:r>
        <w:rPr>
          <w:rFonts w:eastAsia="仿宋_GB2312" w:cstheme="minorBidi" w:hint="eastAsia"/>
          <w:b/>
          <w:sz w:val="32"/>
          <w:szCs w:val="44"/>
        </w:rPr>
        <w:t>202</w:t>
      </w:r>
      <w:r>
        <w:rPr>
          <w:rFonts w:eastAsia="仿宋_GB2312" w:cstheme="minorBidi"/>
          <w:b/>
          <w:sz w:val="32"/>
          <w:szCs w:val="44"/>
        </w:rPr>
        <w:t>2</w:t>
      </w:r>
      <w:r>
        <w:rPr>
          <w:rFonts w:eastAsia="仿宋_GB2312" w:cstheme="minorBidi" w:hint="eastAsia"/>
          <w:b/>
          <w:sz w:val="32"/>
          <w:szCs w:val="44"/>
        </w:rPr>
        <w:t>年</w:t>
      </w:r>
      <w:r>
        <w:rPr>
          <w:rFonts w:eastAsia="仿宋_GB2312" w:cstheme="minorBidi" w:hint="eastAsia"/>
          <w:b/>
          <w:sz w:val="32"/>
          <w:szCs w:val="44"/>
          <w:lang w:val="en-US" w:eastAsia="zh-CN"/>
        </w:rPr>
        <w:t>10</w:t>
      </w:r>
      <w:r>
        <w:rPr>
          <w:rFonts w:eastAsia="仿宋_GB2312" w:cstheme="minorBidi" w:hint="eastAsia"/>
          <w:b/>
          <w:sz w:val="32"/>
          <w:szCs w:val="44"/>
        </w:rPr>
        <w:t>月</w:t>
      </w:r>
    </w:p>
    <w:p>
      <w:pPr>
        <w:widowControl/>
        <w:spacing w:line="560" w:lineRule="exact"/>
        <w:ind w:firstLine="420" w:firstLineChars="200"/>
        <w:rPr>
          <w:rFonts w:ascii="楷体" w:eastAsia="楷体" w:hAnsi="楷体" w:cs="Arial"/>
          <w:b/>
          <w:kern w:val="0"/>
          <w:sz w:val="30"/>
          <w:szCs w:val="30"/>
        </w:rPr>
        <w:sectPr>
          <w:pgSz w:w="11906" w:h="16838"/>
          <w:pgMar w:top="1440" w:right="1800" w:bottom="1440" w:left="1800" w:header="851" w:footer="992" w:gutter="0"/>
          <w:pgNumType w:start="1"/>
          <w:cols w:num="1" w:space="425"/>
          <w:docGrid w:type="lines" w:linePitch="312" w:charSpace="0"/>
        </w:sectPr>
      </w:pPr>
    </w:p>
    <w:p>
      <w:pPr>
        <w:spacing w:before="156" w:beforeLines="50" w:after="156" w:afterLines="50"/>
        <w:jc w:val="center"/>
        <w:rPr>
          <w:rFonts w:ascii="黑体" w:eastAsia="黑体" w:hAnsi="黑体"/>
          <w:b/>
          <w:sz w:val="32"/>
          <w:szCs w:val="32"/>
        </w:rPr>
      </w:pPr>
      <w:r>
        <w:rPr>
          <w:rFonts w:ascii="黑体" w:eastAsia="黑体" w:hAnsi="黑体" w:hint="eastAsia"/>
          <w:b/>
          <w:sz w:val="32"/>
          <w:szCs w:val="32"/>
        </w:rPr>
        <w:t>摘  要</w:t>
      </w:r>
    </w:p>
    <w:p>
      <w:pPr>
        <w:widowControl/>
        <w:tabs>
          <w:tab w:val="left" w:pos="1239"/>
        </w:tabs>
        <w:spacing w:line="54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宣传业务经费（含国防教育）项目由区委宣传部实施，针对“十四五规划”、“建党100周年”等重大主题以及围绕江海区民生、城建、动工等重大活动开展宣传工作，目的是广泛宣传江海区在推进“三区并进、三业融合”协调发展新格局、坚定不移推动高质量发展、加强保障和改善民生等方面的新举措、新成就。</w:t>
      </w:r>
    </w:p>
    <w:p>
      <w:pPr>
        <w:widowControl/>
        <w:tabs>
          <w:tab w:val="left" w:pos="1239"/>
        </w:tabs>
        <w:spacing w:line="54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 xml:space="preserve">为加强和提升专项的绩效管理水平，提升财政资金配置效率和使用效率，江门市江海区财政局委托广东经华资产评估土地房地产估价有限公司对宣传业务经费（含国防教育）项目开展重点绩效评价。 </w:t>
      </w:r>
      <w:r>
        <w:rPr>
          <w:rFonts w:ascii="楷体" w:eastAsia="楷体" w:hAnsi="楷体" w:cs="Arial"/>
          <w:b/>
          <w:kern w:val="0"/>
          <w:sz w:val="30"/>
          <w:szCs w:val="30"/>
        </w:rPr>
        <w:t xml:space="preserve">    </w:t>
      </w:r>
    </w:p>
    <w:p>
      <w:pPr>
        <w:widowControl/>
        <w:tabs>
          <w:tab w:val="left" w:pos="1239"/>
        </w:tabs>
        <w:spacing w:line="54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2021年度宣传业务经费（含国防教育）年初预算安排资金535.70万元，上年结转资金2.66万元，年中压减0.94万元，年底调减1.85万元，全年预算总安排资金535.57万元，实际支出资金534.95万元。项目综合评价得分为8</w:t>
      </w:r>
      <w:r>
        <w:rPr>
          <w:rFonts w:ascii="楷体" w:eastAsia="楷体" w:hAnsi="楷体" w:cs="Arial"/>
          <w:b/>
          <w:kern w:val="0"/>
          <w:sz w:val="30"/>
          <w:szCs w:val="30"/>
        </w:rPr>
        <w:t>3</w:t>
      </w:r>
      <w:r>
        <w:rPr>
          <w:rFonts w:ascii="楷体" w:eastAsia="楷体" w:hAnsi="楷体" w:cs="Arial" w:hint="eastAsia"/>
          <w:b/>
          <w:kern w:val="0"/>
          <w:sz w:val="30"/>
          <w:szCs w:val="30"/>
        </w:rPr>
        <w:t>分,绩效评价等级为：良。</w:t>
      </w:r>
    </w:p>
    <w:p>
      <w:pPr>
        <w:widowControl/>
        <w:tabs>
          <w:tab w:val="left" w:pos="1239"/>
        </w:tabs>
        <w:spacing w:line="54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总体认为，2</w:t>
      </w:r>
      <w:r>
        <w:rPr>
          <w:rFonts w:ascii="楷体" w:eastAsia="楷体" w:hAnsi="楷体" w:cs="Arial"/>
          <w:b/>
          <w:kern w:val="0"/>
          <w:sz w:val="30"/>
          <w:szCs w:val="30"/>
        </w:rPr>
        <w:t>021</w:t>
      </w:r>
      <w:r>
        <w:rPr>
          <w:rFonts w:ascii="楷体" w:eastAsia="楷体" w:hAnsi="楷体" w:cs="Arial" w:hint="eastAsia"/>
          <w:b/>
          <w:kern w:val="0"/>
          <w:sz w:val="30"/>
          <w:szCs w:val="30"/>
        </w:rPr>
        <w:t>年度宣传业务经费（含国防教育）开展合法合规，资金使用率高，绩效目标总体完成程度较高。主要存在问题：一是项目缺乏专项资金管理办法，资金支出进度与合同条款相符程度不够高；二是项目管理制度不够健全，管理专业水平有待提高；三是个别绩效指标评价标准设置偏低，指标设置尚存完善空间；四是佐证材料不够完整，自评工作组织管理有待提升。针对以上问题，建议：一是制定专项资金管理办法，加强资金管理及制度落实；二是以制度建设和落实为抓手，稳步提升项目管理水平；三是重视绩效目标设置，提高绩效目标设置的科学性；四是增强绩效管理意识，提高自评组织工作质量。</w:t>
      </w:r>
    </w:p>
    <w:p>
      <w:pPr>
        <w:widowControl/>
        <w:spacing w:line="360" w:lineRule="exact"/>
        <w:ind w:firstLine="2415" w:firstLineChars="1150"/>
        <w:jc w:val="left"/>
        <w:rPr>
          <w:rFonts w:ascii="仿宋_GB2312" w:eastAsia="仿宋_GB2312" w:hAnsi="黑体"/>
          <w:b/>
          <w:sz w:val="36"/>
          <w:szCs w:val="36"/>
        </w:rPr>
      </w:pPr>
      <w:r>
        <w:rPr>
          <w:rFonts w:ascii="仿宋_GB2312" w:eastAsia="仿宋_GB2312" w:hAnsi="黑体" w:hint="eastAsia"/>
          <w:b/>
          <w:sz w:val="36"/>
          <w:szCs w:val="36"/>
        </w:rPr>
        <w:t>目  录</w:t>
      </w:r>
    </w:p>
    <w:p>
      <w:pPr>
        <w:widowControl/>
        <w:spacing w:line="360" w:lineRule="exact"/>
        <w:ind w:firstLine="2415" w:firstLineChars="1150"/>
        <w:jc w:val="left"/>
        <w:rPr>
          <w:rFonts w:ascii="仿宋_GB2312" w:eastAsia="仿宋_GB2312" w:hAnsi="黑体"/>
          <w:b/>
          <w:sz w:val="36"/>
          <w:szCs w:val="36"/>
        </w:rPr>
      </w:pPr>
    </w:p>
    <w:p>
      <w:pPr>
        <w:pStyle w:val="TOC1"/>
        <w:spacing w:after="0" w:line="360" w:lineRule="exact"/>
        <w:rPr>
          <w:kern w:val="2"/>
          <w:sz w:val="21"/>
        </w:rPr>
      </w:pPr>
      <w:r>
        <w:rPr>
          <w:rFonts w:hint="eastAsia"/>
          <w:sz w:val="28"/>
          <w:szCs w:val="28"/>
        </w:rPr>
        <w:fldChar w:fldCharType="begin"/>
      </w:r>
      <w:r>
        <w:rPr>
          <w:rFonts w:hint="eastAsia"/>
          <w:sz w:val="28"/>
          <w:szCs w:val="28"/>
        </w:rPr>
        <w:instrText xml:space="preserve"> TOC \o "1-3" \h \z \u </w:instrText>
      </w:r>
      <w:r>
        <w:rPr>
          <w:rFonts w:hint="eastAsia"/>
          <w:sz w:val="28"/>
          <w:szCs w:val="28"/>
        </w:rPr>
        <w:fldChar w:fldCharType="separate"/>
      </w:r>
      <w:r>
        <w:fldChar w:fldCharType="begin"/>
      </w:r>
      <w:r>
        <w:instrText xml:space="preserve"> HYPERLINK \l "_Toc113562253" </w:instrText>
      </w:r>
      <w:r>
        <w:fldChar w:fldCharType="separate"/>
      </w:r>
      <w:r>
        <w:rPr>
          <w:rStyle w:val="Hyperlink"/>
        </w:rPr>
        <w:t>第一部分 绩效报告</w:t>
      </w:r>
      <w:r>
        <w:tab/>
      </w:r>
      <w:r>
        <w:fldChar w:fldCharType="begin"/>
      </w:r>
      <w:r>
        <w:instrText xml:space="preserve"> PAGEREF _Toc113562253 \h </w:instrText>
      </w:r>
      <w:r>
        <w:fldChar w:fldCharType="separate"/>
      </w:r>
      <w:r>
        <w:t>1</w:t>
      </w:r>
      <w:r>
        <w:fldChar w:fldCharType="end"/>
      </w:r>
      <w:r>
        <w:fldChar w:fldCharType="end"/>
      </w:r>
    </w:p>
    <w:p>
      <w:pPr>
        <w:pStyle w:val="TOC1"/>
        <w:spacing w:after="0" w:line="360" w:lineRule="exact"/>
        <w:rPr>
          <w:kern w:val="2"/>
          <w:sz w:val="21"/>
        </w:rPr>
      </w:pPr>
      <w:r>
        <w:fldChar w:fldCharType="begin"/>
      </w:r>
      <w:r>
        <w:instrText xml:space="preserve"> HYPERLINK \l "_Toc113562254" </w:instrText>
      </w:r>
      <w:r>
        <w:fldChar w:fldCharType="separate"/>
      </w:r>
      <w:r>
        <w:rPr>
          <w:rStyle w:val="Hyperlink"/>
        </w:rPr>
        <w:t>一、项目概况</w:t>
      </w:r>
      <w:r>
        <w:tab/>
      </w:r>
      <w:r>
        <w:fldChar w:fldCharType="begin"/>
      </w:r>
      <w:r>
        <w:instrText xml:space="preserve"> PAGEREF _Toc113562254 \h </w:instrText>
      </w:r>
      <w:r>
        <w:fldChar w:fldCharType="separate"/>
      </w:r>
      <w:r>
        <w:t>1</w:t>
      </w:r>
      <w:r>
        <w:fldChar w:fldCharType="end"/>
      </w:r>
      <w:r>
        <w:fldChar w:fldCharType="end"/>
      </w:r>
    </w:p>
    <w:p>
      <w:pPr>
        <w:pStyle w:val="TOC2"/>
        <w:spacing w:after="0"/>
        <w:rPr>
          <w:kern w:val="2"/>
          <w:sz w:val="21"/>
        </w:rPr>
      </w:pPr>
      <w:r>
        <w:fldChar w:fldCharType="begin"/>
      </w:r>
      <w:r>
        <w:instrText xml:space="preserve"> HYPERLINK \l "_Toc113562255" </w:instrText>
      </w:r>
      <w:r>
        <w:fldChar w:fldCharType="separate"/>
      </w:r>
      <w:r>
        <w:rPr>
          <w:rStyle w:val="Hyperlink"/>
          <w:rFonts w:ascii="楷体_GB2312" w:eastAsia="楷体_GB2312" w:hAnsi="仿宋"/>
        </w:rPr>
        <w:t>（一）基本情况</w:t>
      </w:r>
      <w:r>
        <w:tab/>
      </w:r>
      <w:r>
        <w:fldChar w:fldCharType="begin"/>
      </w:r>
      <w:r>
        <w:instrText xml:space="preserve"> PAGEREF _Toc113562255 \h </w:instrText>
      </w:r>
      <w:r>
        <w:fldChar w:fldCharType="separate"/>
      </w:r>
      <w:r>
        <w:t>1</w:t>
      </w:r>
      <w:r>
        <w:fldChar w:fldCharType="end"/>
      </w:r>
      <w:r>
        <w:fldChar w:fldCharType="end"/>
      </w:r>
    </w:p>
    <w:p>
      <w:pPr>
        <w:pStyle w:val="TOC2"/>
        <w:spacing w:after="0"/>
        <w:rPr>
          <w:kern w:val="2"/>
          <w:sz w:val="21"/>
        </w:rPr>
      </w:pPr>
      <w:r>
        <w:fldChar w:fldCharType="begin"/>
      </w:r>
      <w:r>
        <w:instrText xml:space="preserve"> HYPERLINK \l "_Toc113562256" </w:instrText>
      </w:r>
      <w:r>
        <w:fldChar w:fldCharType="separate"/>
      </w:r>
      <w:r>
        <w:rPr>
          <w:rStyle w:val="Hyperlink"/>
          <w:rFonts w:ascii="楷体_GB2312" w:eastAsia="楷体_GB2312" w:hAnsi="仿宋"/>
        </w:rPr>
        <w:t>（二）绩效目标</w:t>
      </w:r>
      <w:r>
        <w:tab/>
      </w:r>
      <w:r>
        <w:fldChar w:fldCharType="begin"/>
      </w:r>
      <w:r>
        <w:instrText xml:space="preserve"> PAGEREF _Toc113562256 \h </w:instrText>
      </w:r>
      <w:r>
        <w:fldChar w:fldCharType="separate"/>
      </w:r>
      <w:r>
        <w:t>3</w:t>
      </w:r>
      <w:r>
        <w:fldChar w:fldCharType="end"/>
      </w:r>
      <w:r>
        <w:fldChar w:fldCharType="end"/>
      </w:r>
    </w:p>
    <w:p>
      <w:pPr>
        <w:pStyle w:val="TOC1"/>
        <w:spacing w:after="0" w:line="360" w:lineRule="exact"/>
        <w:rPr>
          <w:kern w:val="2"/>
          <w:sz w:val="21"/>
        </w:rPr>
      </w:pPr>
      <w:r>
        <w:fldChar w:fldCharType="begin"/>
      </w:r>
      <w:r>
        <w:instrText xml:space="preserve"> HYPERLINK \l "_Toc113562257" </w:instrText>
      </w:r>
      <w:r>
        <w:fldChar w:fldCharType="separate"/>
      </w:r>
      <w:r>
        <w:rPr>
          <w:rStyle w:val="Hyperlink"/>
        </w:rPr>
        <w:t>二、综合评价结论</w:t>
      </w:r>
      <w:r>
        <w:tab/>
      </w:r>
      <w:r>
        <w:fldChar w:fldCharType="begin"/>
      </w:r>
      <w:r>
        <w:instrText xml:space="preserve"> PAGEREF _Toc113562257 \h </w:instrText>
      </w:r>
      <w:r>
        <w:fldChar w:fldCharType="separate"/>
      </w:r>
      <w:r>
        <w:t>4</w:t>
      </w:r>
      <w:r>
        <w:fldChar w:fldCharType="end"/>
      </w:r>
      <w:r>
        <w:fldChar w:fldCharType="end"/>
      </w:r>
    </w:p>
    <w:p>
      <w:pPr>
        <w:pStyle w:val="TOC1"/>
        <w:spacing w:after="0" w:line="360" w:lineRule="exact"/>
        <w:rPr>
          <w:kern w:val="2"/>
          <w:sz w:val="21"/>
        </w:rPr>
      </w:pPr>
      <w:r>
        <w:fldChar w:fldCharType="begin"/>
      </w:r>
      <w:r>
        <w:instrText xml:space="preserve"> HYPERLINK \l "_Toc113562258" </w:instrText>
      </w:r>
      <w:r>
        <w:fldChar w:fldCharType="separate"/>
      </w:r>
      <w:r>
        <w:rPr>
          <w:rStyle w:val="Hyperlink"/>
        </w:rPr>
        <w:t>三、项目绩效分析</w:t>
      </w:r>
      <w:r>
        <w:tab/>
      </w:r>
      <w:r>
        <w:fldChar w:fldCharType="begin"/>
      </w:r>
      <w:r>
        <w:instrText xml:space="preserve"> PAGEREF _Toc113562258 \h </w:instrText>
      </w:r>
      <w:r>
        <w:fldChar w:fldCharType="separate"/>
      </w:r>
      <w:r>
        <w:t>6</w:t>
      </w:r>
      <w:r>
        <w:fldChar w:fldCharType="end"/>
      </w:r>
      <w:r>
        <w:fldChar w:fldCharType="end"/>
      </w:r>
    </w:p>
    <w:p>
      <w:pPr>
        <w:pStyle w:val="TOC2"/>
        <w:spacing w:after="0"/>
        <w:rPr>
          <w:kern w:val="2"/>
          <w:sz w:val="21"/>
        </w:rPr>
      </w:pPr>
      <w:r>
        <w:fldChar w:fldCharType="begin"/>
      </w:r>
      <w:r>
        <w:instrText xml:space="preserve"> HYPERLINK \l "_Toc113562259" </w:instrText>
      </w:r>
      <w:r>
        <w:fldChar w:fldCharType="separate"/>
      </w:r>
      <w:r>
        <w:rPr>
          <w:rStyle w:val="Hyperlink"/>
          <w:rFonts w:ascii="楷体_GB2312" w:eastAsia="楷体_GB2312" w:hAnsi="仿宋"/>
        </w:rPr>
        <w:t>（一）资金管理水平</w:t>
      </w:r>
      <w:r>
        <w:tab/>
      </w:r>
      <w:r>
        <w:fldChar w:fldCharType="begin"/>
      </w:r>
      <w:r>
        <w:instrText xml:space="preserve"> PAGEREF _Toc113562259 \h </w:instrText>
      </w:r>
      <w:r>
        <w:fldChar w:fldCharType="separate"/>
      </w:r>
      <w:r>
        <w:t>6</w:t>
      </w:r>
      <w:r>
        <w:fldChar w:fldCharType="end"/>
      </w:r>
      <w:r>
        <w:fldChar w:fldCharType="end"/>
      </w:r>
    </w:p>
    <w:p>
      <w:pPr>
        <w:pStyle w:val="TOC2"/>
        <w:spacing w:after="0"/>
        <w:rPr>
          <w:kern w:val="2"/>
          <w:sz w:val="21"/>
        </w:rPr>
      </w:pPr>
      <w:r>
        <w:fldChar w:fldCharType="begin"/>
      </w:r>
      <w:r>
        <w:instrText xml:space="preserve"> HYPERLINK \l "_Toc113562260" </w:instrText>
      </w:r>
      <w:r>
        <w:fldChar w:fldCharType="separate"/>
      </w:r>
      <w:r>
        <w:rPr>
          <w:rStyle w:val="Hyperlink"/>
          <w:rFonts w:ascii="楷体_GB2312" w:eastAsia="楷体_GB2312" w:hAnsi="仿宋"/>
        </w:rPr>
        <w:t>（二）项目管理水平</w:t>
      </w:r>
      <w:r>
        <w:tab/>
      </w:r>
      <w:r>
        <w:fldChar w:fldCharType="begin"/>
      </w:r>
      <w:r>
        <w:instrText xml:space="preserve"> PAGEREF _Toc113562260 \h </w:instrText>
      </w:r>
      <w:r>
        <w:fldChar w:fldCharType="separate"/>
      </w:r>
      <w:r>
        <w:t>6</w:t>
      </w:r>
      <w:r>
        <w:fldChar w:fldCharType="end"/>
      </w:r>
      <w:r>
        <w:fldChar w:fldCharType="end"/>
      </w:r>
    </w:p>
    <w:p>
      <w:pPr>
        <w:pStyle w:val="TOC2"/>
        <w:spacing w:after="0"/>
        <w:rPr>
          <w:kern w:val="2"/>
          <w:sz w:val="21"/>
        </w:rPr>
      </w:pPr>
      <w:r>
        <w:fldChar w:fldCharType="begin"/>
      </w:r>
      <w:r>
        <w:instrText xml:space="preserve"> HYPERLINK \l "_Toc113562261" </w:instrText>
      </w:r>
      <w:r>
        <w:fldChar w:fldCharType="separate"/>
      </w:r>
      <w:r>
        <w:rPr>
          <w:rStyle w:val="Hyperlink"/>
          <w:rFonts w:ascii="楷体_GB2312" w:eastAsia="楷体_GB2312" w:hAnsi="仿宋"/>
        </w:rPr>
        <w:t>（三）项目开展绩效</w:t>
      </w:r>
      <w:r>
        <w:tab/>
      </w:r>
      <w:r>
        <w:fldChar w:fldCharType="begin"/>
      </w:r>
      <w:r>
        <w:instrText xml:space="preserve"> PAGEREF _Toc113562261 \h </w:instrText>
      </w:r>
      <w:r>
        <w:fldChar w:fldCharType="separate"/>
      </w:r>
      <w:r>
        <w:t>7</w:t>
      </w:r>
      <w:r>
        <w:fldChar w:fldCharType="end"/>
      </w:r>
      <w:r>
        <w:fldChar w:fldCharType="end"/>
      </w:r>
    </w:p>
    <w:p>
      <w:pPr>
        <w:pStyle w:val="TOC2"/>
        <w:spacing w:after="0"/>
        <w:rPr>
          <w:kern w:val="2"/>
          <w:sz w:val="21"/>
        </w:rPr>
      </w:pPr>
      <w:r>
        <w:fldChar w:fldCharType="begin"/>
      </w:r>
      <w:r>
        <w:instrText xml:space="preserve"> HYPERLINK \l "_Toc113562262" </w:instrText>
      </w:r>
      <w:r>
        <w:fldChar w:fldCharType="separate"/>
      </w:r>
      <w:r>
        <w:rPr>
          <w:rStyle w:val="Hyperlink"/>
          <w:rFonts w:ascii="楷体_GB2312" w:eastAsia="楷体_GB2312" w:hAnsi="仿宋"/>
        </w:rPr>
        <w:t>（四）项目自评组织工作</w:t>
      </w:r>
      <w:r>
        <w:tab/>
      </w:r>
      <w:r>
        <w:fldChar w:fldCharType="begin"/>
      </w:r>
      <w:r>
        <w:instrText xml:space="preserve"> PAGEREF _Toc113562262 \h </w:instrText>
      </w:r>
      <w:r>
        <w:fldChar w:fldCharType="separate"/>
      </w:r>
      <w:r>
        <w:t>7</w:t>
      </w:r>
      <w:r>
        <w:fldChar w:fldCharType="end"/>
      </w:r>
      <w:r>
        <w:fldChar w:fldCharType="end"/>
      </w:r>
    </w:p>
    <w:p>
      <w:pPr>
        <w:pStyle w:val="TOC1"/>
        <w:spacing w:after="0" w:line="360" w:lineRule="exact"/>
        <w:rPr>
          <w:kern w:val="2"/>
          <w:sz w:val="21"/>
        </w:rPr>
      </w:pPr>
      <w:r>
        <w:fldChar w:fldCharType="begin"/>
      </w:r>
      <w:r>
        <w:instrText xml:space="preserve"> HYPERLINK \l "_Toc113562263" </w:instrText>
      </w:r>
      <w:r>
        <w:fldChar w:fldCharType="separate"/>
      </w:r>
      <w:r>
        <w:rPr>
          <w:rStyle w:val="Hyperlink"/>
        </w:rPr>
        <w:t>四、主要绩效</w:t>
      </w:r>
      <w:r>
        <w:tab/>
      </w:r>
      <w:r>
        <w:fldChar w:fldCharType="begin"/>
      </w:r>
      <w:r>
        <w:instrText xml:space="preserve"> PAGEREF _Toc113562263 \h </w:instrText>
      </w:r>
      <w:r>
        <w:fldChar w:fldCharType="separate"/>
      </w:r>
      <w:r>
        <w:t>8</w:t>
      </w:r>
      <w:r>
        <w:fldChar w:fldCharType="end"/>
      </w:r>
      <w:r>
        <w:fldChar w:fldCharType="end"/>
      </w:r>
    </w:p>
    <w:p>
      <w:pPr>
        <w:pStyle w:val="TOC1"/>
        <w:spacing w:after="0" w:line="360" w:lineRule="exact"/>
        <w:rPr>
          <w:kern w:val="2"/>
          <w:sz w:val="21"/>
        </w:rPr>
      </w:pPr>
      <w:r>
        <w:fldChar w:fldCharType="begin"/>
      </w:r>
      <w:r>
        <w:instrText xml:space="preserve"> HYPERLINK \l "_Toc113562264" </w:instrText>
      </w:r>
      <w:r>
        <w:fldChar w:fldCharType="separate"/>
      </w:r>
      <w:r>
        <w:rPr>
          <w:rStyle w:val="Hyperlink"/>
        </w:rPr>
        <w:t>五、存在问题</w:t>
      </w:r>
      <w:r>
        <w:tab/>
      </w:r>
      <w:r>
        <w:fldChar w:fldCharType="begin"/>
      </w:r>
      <w:r>
        <w:instrText xml:space="preserve"> PAGEREF _Toc113562264 \h </w:instrText>
      </w:r>
      <w:r>
        <w:fldChar w:fldCharType="separate"/>
      </w:r>
      <w:r>
        <w:t>9</w:t>
      </w:r>
      <w:r>
        <w:fldChar w:fldCharType="end"/>
      </w:r>
      <w:r>
        <w:fldChar w:fldCharType="end"/>
      </w:r>
    </w:p>
    <w:p>
      <w:pPr>
        <w:pStyle w:val="TOC1"/>
        <w:spacing w:after="0" w:line="360" w:lineRule="exact"/>
        <w:rPr>
          <w:kern w:val="2"/>
          <w:sz w:val="21"/>
        </w:rPr>
      </w:pPr>
      <w:r>
        <w:fldChar w:fldCharType="begin"/>
      </w:r>
      <w:r>
        <w:instrText xml:space="preserve"> HYPERLINK \l "_Toc113562265" </w:instrText>
      </w:r>
      <w:r>
        <w:fldChar w:fldCharType="separate"/>
      </w:r>
      <w:r>
        <w:rPr>
          <w:rStyle w:val="Hyperlink"/>
        </w:rPr>
        <w:t>六、相关建议</w:t>
      </w:r>
      <w:r>
        <w:tab/>
      </w:r>
      <w:r>
        <w:fldChar w:fldCharType="begin"/>
      </w:r>
      <w:r>
        <w:instrText xml:space="preserve"> PAGEREF _Toc113562265 \h </w:instrText>
      </w:r>
      <w:r>
        <w:fldChar w:fldCharType="separate"/>
      </w:r>
      <w:r>
        <w:t>11</w:t>
      </w:r>
      <w:r>
        <w:fldChar w:fldCharType="end"/>
      </w:r>
      <w:r>
        <w:fldChar w:fldCharType="end"/>
      </w:r>
    </w:p>
    <w:p>
      <w:pPr>
        <w:pStyle w:val="TOC1"/>
        <w:spacing w:after="0" w:line="360" w:lineRule="exact"/>
        <w:rPr>
          <w:kern w:val="2"/>
          <w:sz w:val="21"/>
        </w:rPr>
      </w:pPr>
      <w:r>
        <w:fldChar w:fldCharType="begin"/>
      </w:r>
      <w:r>
        <w:instrText xml:space="preserve"> HYPERLINK \l "_Toc113562266" </w:instrText>
      </w:r>
      <w:r>
        <w:fldChar w:fldCharType="separate"/>
      </w:r>
      <w:r>
        <w:rPr>
          <w:rStyle w:val="Hyperlink"/>
        </w:rPr>
        <w:t>第二部分 分析报告</w:t>
      </w:r>
      <w:r>
        <w:tab/>
      </w:r>
      <w:r>
        <w:fldChar w:fldCharType="begin"/>
      </w:r>
      <w:r>
        <w:instrText xml:space="preserve"> PAGEREF _Toc113562266 \h </w:instrText>
      </w:r>
      <w:r>
        <w:fldChar w:fldCharType="separate"/>
      </w:r>
      <w:r>
        <w:t>14</w:t>
      </w:r>
      <w:r>
        <w:fldChar w:fldCharType="end"/>
      </w:r>
      <w:r>
        <w:fldChar w:fldCharType="end"/>
      </w:r>
    </w:p>
    <w:p>
      <w:pPr>
        <w:pStyle w:val="TOC1"/>
        <w:spacing w:after="0" w:line="360" w:lineRule="exact"/>
        <w:rPr>
          <w:kern w:val="2"/>
          <w:sz w:val="21"/>
        </w:rPr>
      </w:pPr>
      <w:r>
        <w:fldChar w:fldCharType="begin"/>
      </w:r>
      <w:r>
        <w:instrText xml:space="preserve"> HYPERLINK \l "_Toc113562267" </w:instrText>
      </w:r>
      <w:r>
        <w:fldChar w:fldCharType="separate"/>
      </w:r>
      <w:r>
        <w:rPr>
          <w:rStyle w:val="Hyperlink"/>
        </w:rPr>
        <w:t>一、基本情况</w:t>
      </w:r>
      <w:r>
        <w:tab/>
      </w:r>
      <w:r>
        <w:fldChar w:fldCharType="begin"/>
      </w:r>
      <w:r>
        <w:instrText xml:space="preserve"> PAGEREF _Toc113562267 \h </w:instrText>
      </w:r>
      <w:r>
        <w:fldChar w:fldCharType="separate"/>
      </w:r>
      <w:r>
        <w:t>14</w:t>
      </w:r>
      <w:r>
        <w:fldChar w:fldCharType="end"/>
      </w:r>
      <w:r>
        <w:fldChar w:fldCharType="end"/>
      </w:r>
    </w:p>
    <w:p>
      <w:pPr>
        <w:pStyle w:val="TOC2"/>
        <w:spacing w:after="0"/>
        <w:rPr>
          <w:kern w:val="2"/>
          <w:sz w:val="21"/>
        </w:rPr>
      </w:pPr>
      <w:r>
        <w:fldChar w:fldCharType="begin"/>
      </w:r>
      <w:r>
        <w:instrText xml:space="preserve"> HYPERLINK \l "_Toc113562268" </w:instrText>
      </w:r>
      <w:r>
        <w:fldChar w:fldCharType="separate"/>
      </w:r>
      <w:r>
        <w:rPr>
          <w:rStyle w:val="Hyperlink"/>
          <w:rFonts w:ascii="楷体_GB2312" w:eastAsia="楷体_GB2312" w:hAnsi="仿宋"/>
        </w:rPr>
        <w:t>（一）专项背景</w:t>
      </w:r>
      <w:r>
        <w:tab/>
      </w:r>
      <w:r>
        <w:fldChar w:fldCharType="begin"/>
      </w:r>
      <w:r>
        <w:instrText xml:space="preserve"> PAGEREF _Toc113562268 \h </w:instrText>
      </w:r>
      <w:r>
        <w:fldChar w:fldCharType="separate"/>
      </w:r>
      <w:r>
        <w:t>14</w:t>
      </w:r>
      <w:r>
        <w:fldChar w:fldCharType="end"/>
      </w:r>
      <w:r>
        <w:fldChar w:fldCharType="end"/>
      </w:r>
    </w:p>
    <w:p>
      <w:pPr>
        <w:pStyle w:val="TOC2"/>
        <w:spacing w:after="0"/>
        <w:rPr>
          <w:kern w:val="2"/>
          <w:sz w:val="21"/>
        </w:rPr>
      </w:pPr>
      <w:r>
        <w:fldChar w:fldCharType="begin"/>
      </w:r>
      <w:r>
        <w:instrText xml:space="preserve"> HYPERLINK \l "_Toc113562269" </w:instrText>
      </w:r>
      <w:r>
        <w:fldChar w:fldCharType="separate"/>
      </w:r>
      <w:r>
        <w:rPr>
          <w:rStyle w:val="Hyperlink"/>
          <w:rFonts w:ascii="楷体_GB2312" w:eastAsia="楷体_GB2312" w:hAnsi="仿宋"/>
        </w:rPr>
        <w:t>（二）资金安排及使用情况</w:t>
      </w:r>
      <w:r>
        <w:tab/>
      </w:r>
      <w:r>
        <w:fldChar w:fldCharType="begin"/>
      </w:r>
      <w:r>
        <w:instrText xml:space="preserve"> PAGEREF _Toc113562269 \h </w:instrText>
      </w:r>
      <w:r>
        <w:fldChar w:fldCharType="separate"/>
      </w:r>
      <w:r>
        <w:t>14</w:t>
      </w:r>
      <w:r>
        <w:fldChar w:fldCharType="end"/>
      </w:r>
      <w:r>
        <w:fldChar w:fldCharType="end"/>
      </w:r>
    </w:p>
    <w:p>
      <w:pPr>
        <w:pStyle w:val="TOC2"/>
        <w:spacing w:after="0"/>
        <w:rPr>
          <w:kern w:val="2"/>
          <w:sz w:val="21"/>
        </w:rPr>
      </w:pPr>
      <w:r>
        <w:fldChar w:fldCharType="begin"/>
      </w:r>
      <w:r>
        <w:instrText xml:space="preserve"> HYPERLINK \l "_Toc113562270" </w:instrText>
      </w:r>
      <w:r>
        <w:fldChar w:fldCharType="separate"/>
      </w:r>
      <w:r>
        <w:rPr>
          <w:rStyle w:val="Hyperlink"/>
          <w:rFonts w:ascii="楷体_GB2312" w:eastAsia="楷体_GB2312" w:hAnsi="仿宋"/>
        </w:rPr>
        <w:t>（三）绩效目标</w:t>
      </w:r>
      <w:r>
        <w:tab/>
      </w:r>
      <w:r>
        <w:fldChar w:fldCharType="begin"/>
      </w:r>
      <w:r>
        <w:instrText xml:space="preserve"> PAGEREF _Toc113562270 \h </w:instrText>
      </w:r>
      <w:r>
        <w:fldChar w:fldCharType="separate"/>
      </w:r>
      <w:r>
        <w:t>17</w:t>
      </w:r>
      <w:r>
        <w:fldChar w:fldCharType="end"/>
      </w:r>
      <w:r>
        <w:fldChar w:fldCharType="end"/>
      </w:r>
    </w:p>
    <w:p>
      <w:pPr>
        <w:pStyle w:val="TOC1"/>
        <w:spacing w:after="0" w:line="360" w:lineRule="exact"/>
        <w:rPr>
          <w:kern w:val="2"/>
          <w:sz w:val="21"/>
        </w:rPr>
      </w:pPr>
      <w:r>
        <w:fldChar w:fldCharType="begin"/>
      </w:r>
      <w:r>
        <w:instrText xml:space="preserve"> HYPERLINK \l "_Toc113562271" </w:instrText>
      </w:r>
      <w:r>
        <w:fldChar w:fldCharType="separate"/>
      </w:r>
      <w:r>
        <w:rPr>
          <w:rStyle w:val="Hyperlink"/>
        </w:rPr>
        <w:t>二、绩效指标分析</w:t>
      </w:r>
      <w:r>
        <w:tab/>
      </w:r>
      <w:r>
        <w:fldChar w:fldCharType="begin"/>
      </w:r>
      <w:r>
        <w:instrText xml:space="preserve"> PAGEREF _Toc113562271 \h </w:instrText>
      </w:r>
      <w:r>
        <w:fldChar w:fldCharType="separate"/>
      </w:r>
      <w:r>
        <w:t>18</w:t>
      </w:r>
      <w:r>
        <w:fldChar w:fldCharType="end"/>
      </w:r>
      <w:r>
        <w:fldChar w:fldCharType="end"/>
      </w:r>
    </w:p>
    <w:p>
      <w:pPr>
        <w:pStyle w:val="TOC2"/>
        <w:spacing w:after="0"/>
        <w:rPr>
          <w:kern w:val="2"/>
          <w:sz w:val="21"/>
        </w:rPr>
      </w:pPr>
      <w:r>
        <w:fldChar w:fldCharType="begin"/>
      </w:r>
      <w:r>
        <w:instrText xml:space="preserve"> HYPERLINK \l "_Toc113562272" </w:instrText>
      </w:r>
      <w:r>
        <w:fldChar w:fldCharType="separate"/>
      </w:r>
      <w:r>
        <w:rPr>
          <w:rStyle w:val="Hyperlink"/>
          <w:rFonts w:ascii="楷体_GB2312" w:eastAsia="楷体_GB2312" w:hAnsi="仿宋"/>
        </w:rPr>
        <w:t>（一）资金管理水平</w:t>
      </w:r>
      <w:r>
        <w:tab/>
      </w:r>
      <w:r>
        <w:fldChar w:fldCharType="begin"/>
      </w:r>
      <w:r>
        <w:instrText xml:space="preserve"> PAGEREF _Toc113562272 \h </w:instrText>
      </w:r>
      <w:r>
        <w:fldChar w:fldCharType="separate"/>
      </w:r>
      <w:r>
        <w:t>18</w:t>
      </w:r>
      <w:r>
        <w:fldChar w:fldCharType="end"/>
      </w:r>
      <w:r>
        <w:fldChar w:fldCharType="end"/>
      </w:r>
    </w:p>
    <w:p>
      <w:pPr>
        <w:pStyle w:val="TOC2"/>
        <w:spacing w:after="0"/>
        <w:rPr>
          <w:kern w:val="2"/>
          <w:sz w:val="21"/>
        </w:rPr>
      </w:pPr>
      <w:r>
        <w:fldChar w:fldCharType="begin"/>
      </w:r>
      <w:r>
        <w:instrText xml:space="preserve"> HYPERLINK \l "_Toc113562273" </w:instrText>
      </w:r>
      <w:r>
        <w:fldChar w:fldCharType="separate"/>
      </w:r>
      <w:r>
        <w:rPr>
          <w:rStyle w:val="Hyperlink"/>
          <w:rFonts w:ascii="楷体_GB2312" w:eastAsia="楷体_GB2312" w:hAnsi="仿宋"/>
        </w:rPr>
        <w:t>（二）项目管理水平</w:t>
      </w:r>
      <w:r>
        <w:tab/>
      </w:r>
      <w:r>
        <w:fldChar w:fldCharType="begin"/>
      </w:r>
      <w:r>
        <w:instrText xml:space="preserve"> PAGEREF _Toc113562273 \h </w:instrText>
      </w:r>
      <w:r>
        <w:fldChar w:fldCharType="separate"/>
      </w:r>
      <w:r>
        <w:t>21</w:t>
      </w:r>
      <w:r>
        <w:fldChar w:fldCharType="end"/>
      </w:r>
      <w:r>
        <w:fldChar w:fldCharType="end"/>
      </w:r>
    </w:p>
    <w:p>
      <w:pPr>
        <w:pStyle w:val="TOC2"/>
        <w:spacing w:after="0"/>
        <w:rPr>
          <w:kern w:val="2"/>
          <w:sz w:val="21"/>
        </w:rPr>
      </w:pPr>
      <w:r>
        <w:fldChar w:fldCharType="begin"/>
      </w:r>
      <w:r>
        <w:instrText xml:space="preserve"> HYPERLINK \l "_Toc113562274" </w:instrText>
      </w:r>
      <w:r>
        <w:fldChar w:fldCharType="separate"/>
      </w:r>
      <w:r>
        <w:rPr>
          <w:rStyle w:val="Hyperlink"/>
          <w:rFonts w:ascii="楷体_GB2312" w:eastAsia="楷体_GB2312" w:hAnsi="仿宋"/>
        </w:rPr>
        <w:t>（三）项目开展绩效</w:t>
      </w:r>
      <w:r>
        <w:tab/>
      </w:r>
      <w:r>
        <w:fldChar w:fldCharType="begin"/>
      </w:r>
      <w:r>
        <w:instrText xml:space="preserve"> PAGEREF _Toc113562274 \h </w:instrText>
      </w:r>
      <w:r>
        <w:fldChar w:fldCharType="separate"/>
      </w:r>
      <w:r>
        <w:t>23</w:t>
      </w:r>
      <w:r>
        <w:fldChar w:fldCharType="end"/>
      </w:r>
      <w:r>
        <w:fldChar w:fldCharType="end"/>
      </w:r>
    </w:p>
    <w:p>
      <w:pPr>
        <w:pStyle w:val="TOC2"/>
        <w:spacing w:after="0"/>
        <w:rPr>
          <w:kern w:val="2"/>
          <w:sz w:val="21"/>
        </w:rPr>
      </w:pPr>
      <w:r>
        <w:fldChar w:fldCharType="begin"/>
      </w:r>
      <w:r>
        <w:instrText xml:space="preserve"> HYPERLINK \l "_Toc113562275" </w:instrText>
      </w:r>
      <w:r>
        <w:fldChar w:fldCharType="separate"/>
      </w:r>
      <w:r>
        <w:rPr>
          <w:rStyle w:val="Hyperlink"/>
          <w:rFonts w:ascii="楷体_GB2312" w:eastAsia="楷体_GB2312" w:hAnsi="仿宋"/>
        </w:rPr>
        <w:t>（四）自评组织工作</w:t>
      </w:r>
      <w:r>
        <w:tab/>
      </w:r>
      <w:r>
        <w:fldChar w:fldCharType="begin"/>
      </w:r>
      <w:r>
        <w:instrText xml:space="preserve"> PAGEREF _Toc113562275 \h </w:instrText>
      </w:r>
      <w:r>
        <w:fldChar w:fldCharType="separate"/>
      </w:r>
      <w:r>
        <w:t>26</w:t>
      </w:r>
      <w:r>
        <w:fldChar w:fldCharType="end"/>
      </w:r>
      <w:r>
        <w:fldChar w:fldCharType="end"/>
      </w:r>
    </w:p>
    <w:p>
      <w:pPr>
        <w:pStyle w:val="TOC1"/>
        <w:spacing w:after="0" w:line="360" w:lineRule="exact"/>
        <w:rPr>
          <w:kern w:val="2"/>
          <w:sz w:val="21"/>
        </w:rPr>
      </w:pPr>
      <w:r>
        <w:fldChar w:fldCharType="begin"/>
      </w:r>
      <w:r>
        <w:instrText xml:space="preserve"> HYPERLINK \l "_Toc113562276" </w:instrText>
      </w:r>
      <w:r>
        <w:fldChar w:fldCharType="separate"/>
      </w:r>
      <w:r>
        <w:rPr>
          <w:rStyle w:val="Hyperlink"/>
        </w:rPr>
        <w:t>第三部分 附件</w:t>
      </w:r>
      <w:r>
        <w:tab/>
      </w:r>
      <w:r>
        <w:fldChar w:fldCharType="begin"/>
      </w:r>
      <w:r>
        <w:instrText xml:space="preserve"> PAGEREF _Toc113562276 \h </w:instrText>
      </w:r>
      <w:r>
        <w:fldChar w:fldCharType="separate"/>
      </w:r>
      <w:r>
        <w:t>27</w:t>
      </w:r>
      <w:r>
        <w:fldChar w:fldCharType="end"/>
      </w:r>
      <w:r>
        <w:fldChar w:fldCharType="end"/>
      </w:r>
    </w:p>
    <w:p>
      <w:pPr>
        <w:pStyle w:val="TOC1"/>
        <w:spacing w:after="0" w:line="360" w:lineRule="exact"/>
        <w:rPr>
          <w:kern w:val="2"/>
          <w:sz w:val="21"/>
        </w:rPr>
      </w:pPr>
      <w:r>
        <w:fldChar w:fldCharType="begin"/>
      </w:r>
      <w:r>
        <w:instrText xml:space="preserve"> HYPERLINK \l "_Toc113562277" </w:instrText>
      </w:r>
      <w:r>
        <w:fldChar w:fldCharType="separate"/>
      </w:r>
      <w:r>
        <w:rPr>
          <w:rStyle w:val="Hyperlink"/>
        </w:rPr>
        <w:t>附件：1.绩效评价体系评分表</w:t>
      </w:r>
      <w:r>
        <w:tab/>
      </w:r>
      <w:r>
        <w:fldChar w:fldCharType="begin"/>
      </w:r>
      <w:r>
        <w:instrText xml:space="preserve"> PAGEREF _Toc113562277 \h </w:instrText>
      </w:r>
      <w:r>
        <w:fldChar w:fldCharType="separate"/>
      </w:r>
      <w:r>
        <w:t>27</w:t>
      </w:r>
      <w:r>
        <w:fldChar w:fldCharType="end"/>
      </w:r>
      <w:r>
        <w:fldChar w:fldCharType="end"/>
      </w:r>
    </w:p>
    <w:p>
      <w:pPr>
        <w:pStyle w:val="TOC1"/>
        <w:spacing w:after="0" w:line="360" w:lineRule="exact"/>
        <w:rPr>
          <w:kern w:val="2"/>
          <w:sz w:val="21"/>
        </w:rPr>
      </w:pPr>
      <w:r>
        <w:fldChar w:fldCharType="begin"/>
      </w:r>
      <w:r>
        <w:instrText xml:space="preserve"> HYPERLINK \l "_Toc113562278" </w:instrText>
      </w:r>
      <w:r>
        <w:fldChar w:fldCharType="separate"/>
      </w:r>
      <w:r>
        <w:rPr>
          <w:rStyle w:val="Hyperlink"/>
        </w:rPr>
        <w:t>附件：2.绩效评价说明</w:t>
      </w:r>
      <w:r>
        <w:tab/>
      </w:r>
      <w:r>
        <w:fldChar w:fldCharType="begin"/>
      </w:r>
      <w:r>
        <w:instrText xml:space="preserve"> PAGEREF _Toc113562278 \h </w:instrText>
      </w:r>
      <w:r>
        <w:fldChar w:fldCharType="separate"/>
      </w:r>
      <w:r>
        <w:t>31</w:t>
      </w:r>
      <w:r>
        <w:fldChar w:fldCharType="end"/>
      </w:r>
      <w:r>
        <w:fldChar w:fldCharType="end"/>
      </w:r>
    </w:p>
    <w:p>
      <w:pPr>
        <w:pStyle w:val="TOC2"/>
        <w:spacing w:after="0"/>
        <w:rPr>
          <w:kern w:val="2"/>
          <w:sz w:val="21"/>
        </w:rPr>
      </w:pPr>
      <w:r>
        <w:fldChar w:fldCharType="begin"/>
      </w:r>
      <w:r>
        <w:instrText xml:space="preserve"> HYPERLINK \l "_Toc113562279" </w:instrText>
      </w:r>
      <w:r>
        <w:fldChar w:fldCharType="separate"/>
      </w:r>
      <w:r>
        <w:rPr>
          <w:rStyle w:val="Hyperlink"/>
          <w:rFonts w:ascii="楷体_GB2312" w:eastAsia="楷体_GB2312" w:hAnsi="仿宋" w:cs="Times New Roman"/>
          <w:lang w:val="zh-CN"/>
        </w:rPr>
        <w:t>（一）评价目的</w:t>
      </w:r>
      <w:r>
        <w:tab/>
      </w:r>
      <w:r>
        <w:fldChar w:fldCharType="begin"/>
      </w:r>
      <w:r>
        <w:instrText xml:space="preserve"> PAGEREF _Toc113562279 \h </w:instrText>
      </w:r>
      <w:r>
        <w:fldChar w:fldCharType="separate"/>
      </w:r>
      <w:r>
        <w:t>31</w:t>
      </w:r>
      <w:r>
        <w:fldChar w:fldCharType="end"/>
      </w:r>
      <w:r>
        <w:fldChar w:fldCharType="end"/>
      </w:r>
    </w:p>
    <w:p>
      <w:pPr>
        <w:pStyle w:val="TOC2"/>
        <w:spacing w:after="0"/>
        <w:rPr>
          <w:kern w:val="2"/>
          <w:sz w:val="21"/>
        </w:rPr>
      </w:pPr>
      <w:r>
        <w:fldChar w:fldCharType="begin"/>
      </w:r>
      <w:r>
        <w:instrText xml:space="preserve"> HYPERLINK \l "_Toc113562280" </w:instrText>
      </w:r>
      <w:r>
        <w:fldChar w:fldCharType="separate"/>
      </w:r>
      <w:r>
        <w:rPr>
          <w:rStyle w:val="Hyperlink"/>
          <w:rFonts w:ascii="楷体_GB2312" w:eastAsia="楷体_GB2312" w:hAnsi="仿宋" w:cs="Times New Roman"/>
          <w:lang w:val="zh-CN"/>
        </w:rPr>
        <w:t>（二）评价依据</w:t>
      </w:r>
      <w:r>
        <w:tab/>
      </w:r>
      <w:r>
        <w:fldChar w:fldCharType="begin"/>
      </w:r>
      <w:r>
        <w:instrText xml:space="preserve"> PAGEREF _Toc113562280 \h </w:instrText>
      </w:r>
      <w:r>
        <w:fldChar w:fldCharType="separate"/>
      </w:r>
      <w:r>
        <w:t>31</w:t>
      </w:r>
      <w:r>
        <w:fldChar w:fldCharType="end"/>
      </w:r>
      <w:r>
        <w:fldChar w:fldCharType="end"/>
      </w:r>
    </w:p>
    <w:p>
      <w:pPr>
        <w:pStyle w:val="TOC2"/>
        <w:spacing w:after="0"/>
        <w:rPr>
          <w:kern w:val="2"/>
          <w:sz w:val="21"/>
        </w:rPr>
      </w:pPr>
      <w:r>
        <w:fldChar w:fldCharType="begin"/>
      </w:r>
      <w:r>
        <w:instrText xml:space="preserve"> HYPERLINK \l "_Toc113562281" </w:instrText>
      </w:r>
      <w:r>
        <w:fldChar w:fldCharType="separate"/>
      </w:r>
      <w:r>
        <w:rPr>
          <w:rStyle w:val="Hyperlink"/>
          <w:rFonts w:ascii="楷体_GB2312" w:eastAsia="楷体_GB2312" w:hAnsi="仿宋" w:cs="Times New Roman"/>
          <w:lang w:val="zh-CN"/>
        </w:rPr>
        <w:t>（三）评价方法</w:t>
      </w:r>
      <w:r>
        <w:tab/>
      </w:r>
      <w:r>
        <w:fldChar w:fldCharType="begin"/>
      </w:r>
      <w:r>
        <w:instrText xml:space="preserve"> PAGEREF _Toc113562281 \h </w:instrText>
      </w:r>
      <w:r>
        <w:fldChar w:fldCharType="separate"/>
      </w:r>
      <w:r>
        <w:t>32</w:t>
      </w:r>
      <w:r>
        <w:fldChar w:fldCharType="end"/>
      </w:r>
      <w:r>
        <w:fldChar w:fldCharType="end"/>
      </w:r>
    </w:p>
    <w:p>
      <w:pPr>
        <w:pStyle w:val="TOC2"/>
        <w:spacing w:after="0"/>
        <w:rPr>
          <w:kern w:val="2"/>
          <w:sz w:val="21"/>
        </w:rPr>
      </w:pPr>
      <w:r>
        <w:fldChar w:fldCharType="begin"/>
      </w:r>
      <w:r>
        <w:instrText xml:space="preserve"> HYPERLINK \l "_Toc113562282" </w:instrText>
      </w:r>
      <w:r>
        <w:fldChar w:fldCharType="separate"/>
      </w:r>
      <w:r>
        <w:rPr>
          <w:rStyle w:val="Hyperlink"/>
          <w:rFonts w:ascii="楷体_GB2312" w:eastAsia="楷体_GB2312" w:hAnsi="仿宋" w:cs="Times New Roman"/>
          <w:lang w:val="zh-CN"/>
        </w:rPr>
        <w:t>（四）评价指标体系</w:t>
      </w:r>
      <w:r>
        <w:tab/>
      </w:r>
      <w:r>
        <w:fldChar w:fldCharType="begin"/>
      </w:r>
      <w:r>
        <w:instrText xml:space="preserve"> PAGEREF _Toc113562282 \h </w:instrText>
      </w:r>
      <w:r>
        <w:fldChar w:fldCharType="separate"/>
      </w:r>
      <w:r>
        <w:t>33</w:t>
      </w:r>
      <w:r>
        <w:fldChar w:fldCharType="end"/>
      </w:r>
      <w:r>
        <w:fldChar w:fldCharType="end"/>
      </w:r>
    </w:p>
    <w:p>
      <w:pPr>
        <w:pStyle w:val="TOC2"/>
        <w:spacing w:after="0"/>
        <w:rPr>
          <w:kern w:val="2"/>
          <w:sz w:val="21"/>
        </w:rPr>
      </w:pPr>
      <w:r>
        <w:fldChar w:fldCharType="begin"/>
      </w:r>
      <w:r>
        <w:instrText xml:space="preserve"> HYPERLINK \l "_Toc113562283" </w:instrText>
      </w:r>
      <w:r>
        <w:fldChar w:fldCharType="separate"/>
      </w:r>
      <w:r>
        <w:rPr>
          <w:rStyle w:val="Hyperlink"/>
          <w:rFonts w:ascii="楷体_GB2312" w:eastAsia="楷体_GB2312" w:hAnsi="仿宋" w:cs="Times New Roman"/>
          <w:lang w:val="zh-CN"/>
        </w:rPr>
        <w:t>（五）评价流程</w:t>
      </w:r>
      <w:r>
        <w:tab/>
      </w:r>
      <w:r>
        <w:fldChar w:fldCharType="begin"/>
      </w:r>
      <w:r>
        <w:instrText xml:space="preserve"> PAGEREF _Toc113562283 \h </w:instrText>
      </w:r>
      <w:r>
        <w:fldChar w:fldCharType="separate"/>
      </w:r>
      <w:r>
        <w:t>34</w:t>
      </w:r>
      <w:r>
        <w:fldChar w:fldCharType="end"/>
      </w:r>
      <w:r>
        <w:fldChar w:fldCharType="end"/>
      </w:r>
    </w:p>
    <w:p>
      <w:pPr>
        <w:pStyle w:val="TOC1"/>
        <w:spacing w:after="0" w:line="360" w:lineRule="exact"/>
        <w:rPr>
          <w:kern w:val="2"/>
          <w:sz w:val="21"/>
        </w:rPr>
      </w:pPr>
      <w:r>
        <w:fldChar w:fldCharType="begin"/>
      </w:r>
      <w:r>
        <w:instrText xml:space="preserve"> HYPERLINK \l "_Toc113562284" </w:instrText>
      </w:r>
      <w:r>
        <w:fldChar w:fldCharType="separate"/>
      </w:r>
      <w:r>
        <w:rPr>
          <w:rStyle w:val="Hyperlink"/>
        </w:rPr>
        <w:t>附件：3. 专家组实地调研照片</w:t>
      </w:r>
      <w:r>
        <w:tab/>
      </w:r>
      <w:r>
        <w:fldChar w:fldCharType="begin"/>
      </w:r>
      <w:r>
        <w:instrText xml:space="preserve"> PAGEREF _Toc113562284 \h </w:instrText>
      </w:r>
      <w:r>
        <w:fldChar w:fldCharType="separate"/>
      </w:r>
      <w:r>
        <w:t>37</w:t>
      </w:r>
      <w:r>
        <w:fldChar w:fldCharType="end"/>
      </w:r>
      <w:r>
        <w:fldChar w:fldCharType="end"/>
      </w:r>
    </w:p>
    <w:p>
      <w:pPr>
        <w:spacing w:line="360" w:lineRule="exact"/>
        <w:outlineLvl w:val="0"/>
        <w:rPr>
          <w:rFonts w:ascii="仿宋_GB2312" w:eastAsia="仿宋_GB2312" w:hAnsi="楷体"/>
          <w:b/>
          <w:bCs/>
          <w:sz w:val="28"/>
          <w:szCs w:val="28"/>
          <w:lang w:val="zh-CN"/>
        </w:rPr>
        <w:sectPr>
          <w:headerReference w:type="default" r:id="rId6"/>
          <w:pgSz w:w="11906" w:h="16838"/>
          <w:pgMar w:top="1440" w:right="1800" w:bottom="1440" w:left="1800" w:header="851" w:footer="992" w:gutter="0"/>
          <w:pgNumType w:start="1"/>
          <w:cols w:num="1" w:space="425"/>
          <w:docGrid w:type="lines" w:linePitch="312" w:charSpace="0"/>
        </w:sectPr>
      </w:pPr>
      <w:r>
        <w:rPr>
          <w:rFonts w:ascii="仿宋_GB2312" w:eastAsia="仿宋_GB2312" w:hAnsi="楷体" w:hint="eastAsia"/>
          <w:b/>
          <w:bCs/>
          <w:sz w:val="28"/>
          <w:szCs w:val="28"/>
          <w:lang w:val="zh-CN"/>
        </w:rPr>
        <w:fldChar w:fldCharType="end"/>
      </w:r>
    </w:p>
    <w:p>
      <w:pPr>
        <w:spacing w:line="460" w:lineRule="exact"/>
      </w:pPr>
    </w:p>
    <w:p>
      <w:pPr>
        <w:pStyle w:val="Heading1"/>
        <w:spacing w:after="156" w:afterLines="50"/>
        <w:ind w:firstLine="442"/>
        <w:jc w:val="center"/>
        <w:rPr>
          <w:sz w:val="44"/>
          <w:szCs w:val="44"/>
        </w:rPr>
      </w:pPr>
      <w:bookmarkEnd w:id="1"/>
      <w:bookmarkStart w:id="3" w:name="_Toc113562253"/>
      <w:bookmarkStart w:id="4" w:name="_Toc486952612"/>
      <w:r>
        <w:rPr>
          <w:rFonts w:hint="eastAsia"/>
          <w:sz w:val="44"/>
          <w:szCs w:val="44"/>
        </w:rPr>
        <w:t>第一部分 绩效报告</w:t>
      </w:r>
      <w:bookmarkEnd w:id="3"/>
    </w:p>
    <w:p>
      <w:pPr>
        <w:rPr>
          <w:rFonts w:ascii="仿宋_GB2312" w:eastAsia="仿宋_GB2312"/>
          <w:sz w:val="11"/>
          <w:szCs w:val="11"/>
        </w:rPr>
      </w:pPr>
    </w:p>
    <w:p>
      <w:pPr>
        <w:pStyle w:val="Heading1"/>
      </w:pPr>
      <w:bookmarkEnd w:id="4"/>
      <w:bookmarkStart w:id="5" w:name="_Toc113562254"/>
      <w:r>
        <w:rPr>
          <w:rFonts w:hint="eastAsia"/>
        </w:rPr>
        <w:t>一、项目概况</w:t>
      </w:r>
      <w:bookmarkEnd w:id="5"/>
      <w:r>
        <w:tab/>
      </w:r>
    </w:p>
    <w:p>
      <w:pPr>
        <w:pStyle w:val="Heading2"/>
        <w:spacing w:before="0" w:after="0" w:line="360" w:lineRule="auto"/>
        <w:ind w:firstLine="420" w:firstLineChars="200"/>
        <w:rPr>
          <w:rFonts w:ascii="楷体_GB2312" w:eastAsia="楷体_GB2312" w:hAnsi="仿宋"/>
        </w:rPr>
      </w:pPr>
      <w:bookmarkStart w:id="6" w:name="_Toc486952613"/>
      <w:bookmarkStart w:id="7" w:name="_Toc113562255"/>
      <w:r>
        <w:rPr>
          <w:rFonts w:ascii="楷体_GB2312" w:eastAsia="楷体_GB2312" w:hAnsi="仿宋" w:hint="eastAsia"/>
        </w:rPr>
        <w:t>（一）</w:t>
      </w:r>
      <w:bookmarkEnd w:id="6"/>
      <w:r>
        <w:rPr>
          <w:rFonts w:ascii="楷体_GB2312" w:eastAsia="楷体_GB2312" w:hAnsi="仿宋" w:hint="eastAsia"/>
        </w:rPr>
        <w:t>基本情况</w:t>
      </w:r>
      <w:bookmarkEnd w:id="7"/>
      <w:bookmarkStart w:id="8" w:name="_Toc486952614"/>
    </w:p>
    <w:p>
      <w:pPr>
        <w:pStyle w:val="ListParagraph"/>
        <w:spacing w:line="360" w:lineRule="auto"/>
        <w:ind w:firstLine="640"/>
        <w:rPr>
          <w:rFonts w:ascii="仿宋_GB2312" w:eastAsia="仿宋_GB2312" w:hAnsi="楷体"/>
          <w:sz w:val="32"/>
          <w:szCs w:val="32"/>
        </w:rPr>
      </w:pPr>
      <w:bookmarkEnd w:id="8"/>
      <w:bookmarkStart w:id="9" w:name="_Hlk112580278"/>
      <w:bookmarkStart w:id="10" w:name="_Hlk113556995"/>
      <w:bookmarkStart w:id="11" w:name="_Toc486952616"/>
      <w:r>
        <w:rPr>
          <w:rFonts w:ascii="仿宋_GB2312" w:eastAsia="仿宋_GB2312" w:hAnsi="楷体" w:hint="eastAsia"/>
          <w:sz w:val="32"/>
          <w:szCs w:val="32"/>
        </w:rPr>
        <w:t>宣传业务经费（含国防教育）项目由区委宣传部实施，针对“十四五规划”、“建党100周年”等重大主题以及围绕江海区民生、城建、动工等重大活动开展宣传工作，目的是广泛宣传江海区在推进“三区并进、三业融合”协调发展新格局、坚定不移推动高质量发展、加强保障和改善民生等方面的新举措、新成就。项目支出主要用于与各类媒体合作进行宣传，采购宣传设备，举办高新新闻奖和优秀通讯员评选、对外交流学习等，项目2021年年初预算安排535.70万元，上年结转资金2.66万元，根据财政对宣传业务经费进行2021年一般性支出压减要求压减0.94万元，2021年底剩余用款计划额度系统批量调减1.85万元，全年预算总安排资金535.57万元，实际支出资金534.95万元，项目整体资金支出率为99.88%。</w:t>
      </w:r>
      <w:bookmarkEnd w:id="9"/>
      <w:r>
        <w:rPr>
          <w:rFonts w:ascii="仿宋_GB2312" w:eastAsia="仿宋_GB2312" w:hAnsi="楷体" w:hint="eastAsia"/>
          <w:sz w:val="32"/>
          <w:szCs w:val="32"/>
        </w:rPr>
        <w:t>具体支出明细详见表1</w:t>
      </w:r>
      <w:r>
        <w:rPr>
          <w:rFonts w:ascii="仿宋_GB2312" w:eastAsia="仿宋_GB2312" w:hAnsi="楷体"/>
          <w:sz w:val="32"/>
          <w:szCs w:val="32"/>
        </w:rPr>
        <w:t>-1</w:t>
      </w:r>
      <w:r>
        <w:rPr>
          <w:rFonts w:ascii="仿宋_GB2312" w:eastAsia="仿宋_GB2312" w:hAnsi="楷体" w:hint="eastAsia"/>
          <w:sz w:val="32"/>
          <w:szCs w:val="32"/>
        </w:rPr>
        <w:t>。</w:t>
      </w:r>
    </w:p>
    <w:p>
      <w:pPr>
        <w:pStyle w:val="ListParagraph"/>
        <w:spacing w:line="360" w:lineRule="auto"/>
        <w:ind w:firstLine="640"/>
        <w:rPr>
          <w:rFonts w:ascii="仿宋_GB2312" w:eastAsia="仿宋_GB2312" w:hAnsi="楷体"/>
          <w:sz w:val="32"/>
          <w:szCs w:val="32"/>
        </w:rPr>
      </w:pPr>
      <w:bookmarkEnd w:id="10"/>
    </w:p>
    <w:p>
      <w:pPr>
        <w:pStyle w:val="ListParagraph"/>
        <w:spacing w:line="360" w:lineRule="auto"/>
        <w:ind w:firstLine="640"/>
        <w:rPr>
          <w:rFonts w:ascii="仿宋_GB2312" w:eastAsia="仿宋_GB2312" w:hAnsi="楷体"/>
          <w:sz w:val="32"/>
          <w:szCs w:val="32"/>
        </w:rPr>
      </w:pPr>
    </w:p>
    <w:p>
      <w:pPr>
        <w:pStyle w:val="ListParagraph"/>
        <w:spacing w:line="360" w:lineRule="auto"/>
        <w:ind w:firstLine="640"/>
        <w:rPr>
          <w:rFonts w:ascii="仿宋_GB2312" w:eastAsia="仿宋_GB2312" w:hAnsi="楷体"/>
          <w:sz w:val="32"/>
          <w:szCs w:val="32"/>
        </w:rPr>
      </w:pPr>
    </w:p>
    <w:p>
      <w:pPr>
        <w:pStyle w:val="ListParagraph"/>
        <w:spacing w:line="360" w:lineRule="auto"/>
        <w:ind w:firstLine="640"/>
        <w:rPr>
          <w:rFonts w:ascii="仿宋_GB2312" w:eastAsia="仿宋_GB2312" w:hAnsi="楷体"/>
          <w:sz w:val="32"/>
          <w:szCs w:val="32"/>
        </w:rPr>
      </w:pPr>
    </w:p>
    <w:p>
      <w:pPr>
        <w:pStyle w:val="ListParagraph"/>
        <w:spacing w:line="360" w:lineRule="auto"/>
        <w:ind w:firstLine="640"/>
        <w:rPr>
          <w:rFonts w:ascii="仿宋_GB2312" w:eastAsia="仿宋_GB2312" w:hAnsi="楷体"/>
          <w:sz w:val="32"/>
          <w:szCs w:val="32"/>
        </w:rPr>
      </w:pPr>
    </w:p>
    <w:p>
      <w:pPr>
        <w:spacing w:line="360" w:lineRule="auto"/>
        <w:jc w:val="center"/>
        <w:rPr>
          <w:rFonts w:ascii="黑体" w:eastAsia="黑体" w:hAnsi="黑体"/>
          <w:sz w:val="28"/>
          <w:szCs w:val="28"/>
        </w:rPr>
      </w:pPr>
      <w:r>
        <w:rPr>
          <w:rFonts w:ascii="黑体" w:eastAsia="黑体" w:hAnsi="黑体" w:hint="eastAsia"/>
          <w:sz w:val="28"/>
          <w:szCs w:val="28"/>
        </w:rPr>
        <w:t>表1-</w:t>
      </w:r>
      <w:r>
        <w:rPr>
          <w:rFonts w:ascii="黑体" w:eastAsia="黑体" w:hAnsi="黑体"/>
          <w:sz w:val="28"/>
          <w:szCs w:val="28"/>
        </w:rPr>
        <w:t>1</w:t>
      </w:r>
      <w:r>
        <w:rPr>
          <w:rFonts w:ascii="黑体" w:eastAsia="黑体" w:hAnsi="黑体" w:hint="eastAsia"/>
          <w:sz w:val="28"/>
          <w:szCs w:val="28"/>
        </w:rPr>
        <w:t xml:space="preserve"> </w:t>
      </w:r>
      <w:r>
        <w:rPr>
          <w:rFonts w:ascii="黑体" w:eastAsia="黑体" w:hAnsi="黑体"/>
          <w:sz w:val="28"/>
          <w:szCs w:val="28"/>
        </w:rPr>
        <w:t>2021年</w:t>
      </w:r>
      <w:bookmarkStart w:id="12" w:name="_Hlk113212262"/>
      <w:r>
        <w:rPr>
          <w:rFonts w:ascii="黑体" w:eastAsia="黑体" w:hAnsi="黑体" w:hint="eastAsia"/>
          <w:sz w:val="28"/>
          <w:szCs w:val="28"/>
        </w:rPr>
        <w:t>宣传业务经费（含国防教育）</w:t>
      </w:r>
      <w:bookmarkEnd w:id="12"/>
      <w:r>
        <w:rPr>
          <w:rFonts w:ascii="黑体" w:eastAsia="黑体" w:hAnsi="黑体" w:hint="eastAsia"/>
          <w:sz w:val="28"/>
          <w:szCs w:val="28"/>
        </w:rPr>
        <w:t>具体支出明细表</w:t>
      </w:r>
    </w:p>
    <w:tbl>
      <w:tblPr>
        <w:tblStyle w:val="TableNormal"/>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877"/>
        <w:gridCol w:w="4486"/>
        <w:gridCol w:w="1639"/>
        <w:gridCol w:w="1333"/>
      </w:tblGrid>
      <w:tr>
        <w:tblPrEx>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47"/>
          <w:jc w:val="center"/>
        </w:trPr>
        <w:tc>
          <w:tcPr>
            <w:tcW w:w="888" w:type="dxa"/>
            <w:shd w:val="clear" w:color="auto" w:fill="F1F1F1" w:themeFill="background1" w:themeFillShade="F2"/>
            <w:vAlign w:val="center"/>
          </w:tcPr>
          <w:p>
            <w:pPr>
              <w:widowControl/>
              <w:jc w:val="center"/>
              <w:rPr>
                <w:rFonts w:ascii="仿宋_GB2312" w:eastAsia="仿宋_GB2312" w:hAnsi="等线" w:cs="宋体"/>
                <w:b/>
                <w:bCs/>
                <w:kern w:val="0"/>
                <w:sz w:val="24"/>
              </w:rPr>
            </w:pPr>
            <w:bookmarkEnd w:id="11"/>
            <w:bookmarkStart w:id="13" w:name="_Toc486952620"/>
            <w:r>
              <w:rPr>
                <w:rFonts w:ascii="仿宋_GB2312" w:eastAsia="仿宋_GB2312" w:hAnsi="等线" w:cs="宋体" w:hint="eastAsia"/>
                <w:b/>
                <w:bCs/>
                <w:kern w:val="0"/>
                <w:sz w:val="24"/>
              </w:rPr>
              <w:t>序号</w:t>
            </w:r>
          </w:p>
        </w:tc>
        <w:tc>
          <w:tcPr>
            <w:tcW w:w="4589"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具体支出内容</w:t>
            </w:r>
          </w:p>
        </w:tc>
        <w:tc>
          <w:tcPr>
            <w:tcW w:w="1658"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支出金额（万元）</w:t>
            </w:r>
          </w:p>
        </w:tc>
        <w:tc>
          <w:tcPr>
            <w:tcW w:w="1344"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资金占比</w:t>
            </w:r>
          </w:p>
        </w:tc>
      </w:tr>
      <w:tr>
        <w:tblPrEx>
          <w:tblW w:w="8335" w:type="dxa"/>
          <w:jc w:val="center"/>
          <w:tblCellMar>
            <w:top w:w="0" w:type="dxa"/>
            <w:left w:w="108" w:type="dxa"/>
            <w:bottom w:w="0" w:type="dxa"/>
            <w:right w:w="108" w:type="dxa"/>
          </w:tblCellMar>
        </w:tblPrEx>
        <w:trPr>
          <w:trHeight w:val="433"/>
          <w:jc w:val="center"/>
        </w:trPr>
        <w:tc>
          <w:tcPr>
            <w:tcW w:w="888"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合计</w:t>
            </w:r>
          </w:p>
        </w:tc>
        <w:tc>
          <w:tcPr>
            <w:tcW w:w="4589"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c>
          <w:tcPr>
            <w:tcW w:w="1658"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534.95</w:t>
            </w:r>
          </w:p>
        </w:tc>
        <w:tc>
          <w:tcPr>
            <w:tcW w:w="1344"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购置办公用品</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0.19%</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培训以及交通食宿</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0.37</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0.07%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3</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公务用餐</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0.03</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0.01%</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4</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图片资料收集及视频制作一批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3</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0.56%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5</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7.39</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1.38%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6</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学习强国推广流量充值服务</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0.37%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7</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第四季系列工作宣传费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8</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活动宣传费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20.15</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3.77%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9</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培训研讨会补贴</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11.95</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2.23%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10</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新闻学会工作经费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10.84</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2.03%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11</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购相机及镜头和空调</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8.71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1.63%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12</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宣传策划费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13</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江海新闻上半年宣传费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14</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高新新闻年度合作费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98</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18.32%</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15</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重点项目策划宣传费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14</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2.62%</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16</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党史学习教育知识长廊宣传费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17</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江海新闻下半年合作经费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18</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高新视频号宣传费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19</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七一特刊宣传费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30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5.61%</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20</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学党史订报费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20.33</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3.80%</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21</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微信代运营费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50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9.35%</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22</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南方日报年度合作费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23</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强国有我宣传费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2.06%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24</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网络安全宣传周活动</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25</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新闻学会工作经费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5.15</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0.96%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26</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触网关爱志愿行动服务活动</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4.44</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0.83%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w:t>
            </w:r>
            <w:r>
              <w:rPr>
                <w:rFonts w:ascii="仿宋_GB2312" w:eastAsia="仿宋_GB2312"/>
                <w:kern w:val="0"/>
                <w:sz w:val="24"/>
              </w:rPr>
              <w:t>7</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拍摄报道宣传费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65.59</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12.26%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kern w:val="0"/>
                <w:sz w:val="24"/>
              </w:rPr>
            </w:pPr>
            <w:r>
              <w:rPr>
                <w:rFonts w:ascii="仿宋_GB2312" w:eastAsia="仿宋_GB2312" w:hint="eastAsia"/>
                <w:kern w:val="0"/>
                <w:sz w:val="24"/>
              </w:rPr>
              <w:t>2</w:t>
            </w:r>
            <w:r>
              <w:rPr>
                <w:rFonts w:ascii="仿宋_GB2312" w:eastAsia="仿宋_GB2312"/>
                <w:kern w:val="0"/>
                <w:sz w:val="24"/>
              </w:rPr>
              <w:t>8</w:t>
            </w:r>
          </w:p>
        </w:tc>
        <w:tc>
          <w:tcPr>
            <w:tcW w:w="4589" w:type="dxa"/>
            <w:shd w:val="clear" w:color="auto" w:fill="auto"/>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打印纸</w:t>
            </w:r>
          </w:p>
        </w:tc>
        <w:tc>
          <w:tcPr>
            <w:tcW w:w="1658" w:type="dxa"/>
            <w:shd w:val="clear" w:color="auto" w:fill="auto"/>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0.19%</w:t>
            </w:r>
          </w:p>
        </w:tc>
      </w:tr>
    </w:tbl>
    <w:p>
      <w:pPr>
        <w:pStyle w:val="Heading2"/>
        <w:spacing w:before="0" w:after="0" w:line="360" w:lineRule="auto"/>
        <w:ind w:firstLine="420" w:firstLineChars="200"/>
        <w:rPr>
          <w:rFonts w:ascii="楷体_GB2312" w:eastAsia="楷体_GB2312" w:hAnsi="仿宋"/>
        </w:rPr>
      </w:pPr>
      <w:bookmarkStart w:id="14" w:name="_Toc113562256"/>
      <w:r>
        <w:rPr>
          <w:rFonts w:ascii="楷体_GB2312" w:eastAsia="楷体_GB2312" w:hAnsi="仿宋" w:hint="eastAsia"/>
        </w:rPr>
        <w:t>（二）绩效目标</w:t>
      </w:r>
      <w:bookmarkEnd w:id="14"/>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1</w:t>
      </w:r>
      <w:r>
        <w:rPr>
          <w:rFonts w:ascii="仿宋_GB2312" w:eastAsia="仿宋_GB2312" w:hAnsi="仿宋" w:cstheme="majorBidi"/>
          <w:bCs/>
          <w:sz w:val="32"/>
          <w:szCs w:val="32"/>
        </w:rPr>
        <w:t>.</w:t>
      </w:r>
      <w:r>
        <w:rPr>
          <w:rFonts w:ascii="仿宋_GB2312" w:eastAsia="仿宋_GB2312" w:hAnsi="仿宋" w:cstheme="majorBidi" w:hint="eastAsia"/>
          <w:bCs/>
          <w:sz w:val="32"/>
          <w:szCs w:val="32"/>
        </w:rPr>
        <w:t>项目年度目标及完成情况</w:t>
      </w:r>
    </w:p>
    <w:p>
      <w:pPr>
        <w:spacing w:line="360" w:lineRule="auto"/>
        <w:ind w:firstLine="420" w:firstLineChars="200"/>
        <w:rPr>
          <w:rFonts w:ascii="黑体" w:eastAsia="黑体" w:hAnsi="黑体"/>
          <w:sz w:val="28"/>
          <w:szCs w:val="28"/>
        </w:rPr>
      </w:pPr>
      <w:r>
        <w:rPr>
          <w:rFonts w:ascii="仿宋_GB2312" w:eastAsia="仿宋_GB2312" w:hAnsi="仿宋" w:hint="eastAsia"/>
          <w:sz w:val="32"/>
          <w:szCs w:val="32"/>
        </w:rPr>
        <w:t>项目年中无调整绩效目标，无未完成的目标，绩效目标完成程度高</w:t>
      </w:r>
      <w:r>
        <w:rPr>
          <w:rFonts w:ascii="仿宋_GB2312" w:eastAsia="仿宋_GB2312" w:hAnsi="仿宋" w:cstheme="majorBidi" w:hint="eastAsia"/>
          <w:bCs/>
          <w:sz w:val="32"/>
          <w:szCs w:val="32"/>
        </w:rPr>
        <w:t>。项目年度目标和目标完成情况详见表1-</w:t>
      </w:r>
      <w:r>
        <w:rPr>
          <w:rFonts w:ascii="仿宋_GB2312" w:eastAsia="仿宋_GB2312" w:hAnsi="仿宋" w:cstheme="majorBidi"/>
          <w:bCs/>
          <w:sz w:val="32"/>
          <w:szCs w:val="32"/>
        </w:rPr>
        <w:t>2</w:t>
      </w:r>
      <w:r>
        <w:rPr>
          <w:rFonts w:ascii="仿宋_GB2312" w:eastAsia="仿宋_GB2312" w:hAnsi="仿宋" w:cstheme="majorBidi" w:hint="eastAsia"/>
          <w:bCs/>
          <w:sz w:val="32"/>
          <w:szCs w:val="32"/>
        </w:rPr>
        <w:t>。</w:t>
      </w:r>
    </w:p>
    <w:p>
      <w:pPr>
        <w:spacing w:line="360" w:lineRule="auto"/>
        <w:jc w:val="center"/>
        <w:rPr>
          <w:rFonts w:ascii="黑体" w:eastAsia="黑体" w:hAnsi="黑体"/>
          <w:sz w:val="28"/>
          <w:szCs w:val="28"/>
        </w:rPr>
      </w:pPr>
      <w:r>
        <w:rPr>
          <w:rFonts w:ascii="黑体" w:eastAsia="黑体" w:hAnsi="黑体" w:hint="eastAsia"/>
          <w:sz w:val="28"/>
          <w:szCs w:val="28"/>
        </w:rPr>
        <w:t>表1-</w:t>
      </w:r>
      <w:r>
        <w:rPr>
          <w:rFonts w:ascii="黑体" w:eastAsia="黑体" w:hAnsi="黑体"/>
          <w:sz w:val="28"/>
          <w:szCs w:val="28"/>
        </w:rPr>
        <w:t>2 2021年</w:t>
      </w:r>
      <w:r>
        <w:rPr>
          <w:rFonts w:ascii="黑体" w:eastAsia="黑体" w:hAnsi="黑体" w:hint="eastAsia"/>
          <w:sz w:val="28"/>
          <w:szCs w:val="28"/>
        </w:rPr>
        <w:t>宣传业务经费（含国防教育）年度目标及目标完成情况表</w:t>
      </w:r>
    </w:p>
    <w:tbl>
      <w:tblPr>
        <w:tblStyle w:val="TableNormal"/>
        <w:tblW w:w="8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811"/>
        <w:gridCol w:w="3251"/>
        <w:gridCol w:w="3236"/>
        <w:gridCol w:w="1002"/>
      </w:tblGrid>
      <w:tr>
        <w:tblPrEx>
          <w:tblW w:w="8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cantSplit/>
          <w:trHeight w:val="637"/>
          <w:jc w:val="center"/>
        </w:trPr>
        <w:tc>
          <w:tcPr>
            <w:tcW w:w="811"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bookmarkEnd w:id="13"/>
            <w:r>
              <w:rPr>
                <w:rFonts w:ascii="仿宋_GB2312" w:eastAsia="仿宋_GB2312" w:cs="仿宋_GB2312" w:hint="eastAsia"/>
                <w:b/>
                <w:bCs/>
                <w:kern w:val="0"/>
                <w:sz w:val="24"/>
              </w:rPr>
              <w:t>目标</w:t>
            </w:r>
          </w:p>
        </w:tc>
        <w:tc>
          <w:tcPr>
            <w:tcW w:w="3251"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年度目标</w:t>
            </w:r>
          </w:p>
        </w:tc>
        <w:tc>
          <w:tcPr>
            <w:tcW w:w="3236"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目标完成情况</w:t>
            </w:r>
          </w:p>
        </w:tc>
        <w:tc>
          <w:tcPr>
            <w:tcW w:w="1002" w:type="dxa"/>
            <w:tcBorders>
              <w:tl2br w:val="nil"/>
              <w:tr2bl w:val="nil"/>
            </w:tcBorders>
            <w:shd w:val="clear" w:color="auto" w:fill="F1F1F1" w:themeFill="background1" w:themeFillShade="F2"/>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完成情况说明</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cs="仿宋_GB2312" w:hint="eastAsia"/>
                <w:kern w:val="0"/>
                <w:sz w:val="24"/>
              </w:rPr>
              <w:t>目标一</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通过在《江门日报》刊载1</w:t>
            </w:r>
            <w:r>
              <w:rPr>
                <w:rFonts w:ascii="仿宋_GB2312" w:eastAsia="仿宋_GB2312" w:cs="仿宋_GB2312"/>
                <w:kern w:val="0"/>
                <w:sz w:val="24"/>
              </w:rPr>
              <w:t>00</w:t>
            </w:r>
            <w:r>
              <w:rPr>
                <w:rFonts w:ascii="仿宋_GB2312" w:eastAsia="仿宋_GB2312" w:cs="仿宋_GB2312" w:hint="eastAsia"/>
                <w:kern w:val="0"/>
                <w:sz w:val="24"/>
              </w:rPr>
              <w:t>个版面、与《南方日报》、《南方都市报》等省级媒体合作策划7个专题报道，强化正面宣传</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《江门日报》刊载1</w:t>
            </w:r>
            <w:r>
              <w:rPr>
                <w:rFonts w:ascii="仿宋_GB2312" w:eastAsia="仿宋_GB2312" w:cs="仿宋_GB2312"/>
                <w:kern w:val="0"/>
                <w:sz w:val="24"/>
              </w:rPr>
              <w:t>20</w:t>
            </w:r>
            <w:r>
              <w:rPr>
                <w:rFonts w:ascii="仿宋_GB2312" w:eastAsia="仿宋_GB2312" w:cs="仿宋_GB2312" w:hint="eastAsia"/>
                <w:kern w:val="0"/>
                <w:sz w:val="24"/>
              </w:rPr>
              <w:t>个版面、与《南方日报》、《南方都市报》等省级媒体合作策划7个专题报道，达到强化正面宣传</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目标二</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为建党100周年等重大活动布置大型宣传画30个、横幅2000条、宣传栏50块，营造浓厚的社会宣传氛围</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为建党100周年等重大活动布置大型宣传画30个、横幅2000条、宣传栏50块，营造浓厚的社会宣传氛围</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目标三</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委托江门日报社运营推广“江门高新”微信公众号，全年推送约1400条微信稿件，通过新媒体宣传形式不断扩大江海声音</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委托江门日报社运营推广“江门高新”微信公众号，全年推送约</w:t>
            </w:r>
            <w:r>
              <w:rPr>
                <w:rFonts w:ascii="仿宋_GB2312" w:eastAsia="仿宋_GB2312" w:cs="仿宋_GB2312"/>
                <w:kern w:val="0"/>
                <w:sz w:val="24"/>
              </w:rPr>
              <w:t>1955</w:t>
            </w:r>
            <w:r>
              <w:rPr>
                <w:rFonts w:ascii="仿宋_GB2312" w:eastAsia="仿宋_GB2312" w:cs="仿宋_GB2312" w:hint="eastAsia"/>
                <w:kern w:val="0"/>
                <w:sz w:val="24"/>
              </w:rPr>
              <w:t>条微信稿件，通过新媒体宣传形式不断扩大江海声音</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目标四</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通过交流学习、举办高新新闻奖和优秀通讯员评选活动、增加硬件配置等，加强软硬件建设</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通过交流学习、举办高新新闻奖和优秀通讯员评选活动、增加硬件配置等，加强软硬件建设</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bl>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bCs/>
          <w:sz w:val="32"/>
          <w:szCs w:val="32"/>
        </w:rPr>
        <w:t>2.</w:t>
      </w:r>
      <w:r>
        <w:rPr>
          <w:rFonts w:ascii="仿宋_GB2312" w:eastAsia="仿宋_GB2312" w:hAnsi="仿宋" w:cstheme="majorBidi" w:hint="eastAsia"/>
          <w:bCs/>
          <w:sz w:val="32"/>
          <w:szCs w:val="32"/>
        </w:rPr>
        <w:t>项目绩效指标完成情况</w:t>
      </w:r>
    </w:p>
    <w:p>
      <w:pPr>
        <w:spacing w:line="160" w:lineRule="atLeast"/>
        <w:ind w:firstLine="570"/>
        <w:rPr>
          <w:rFonts w:ascii="仿宋_GB2312" w:eastAsia="仿宋_GB2312" w:hAnsi="仿宋" w:cstheme="majorBidi"/>
          <w:bCs/>
          <w:sz w:val="32"/>
          <w:szCs w:val="32"/>
        </w:rPr>
      </w:pPr>
      <w:r>
        <w:rPr>
          <w:rFonts w:ascii="仿宋_GB2312" w:eastAsia="仿宋_GB2312" w:hAnsi="仿宋" w:cstheme="majorBidi" w:hint="eastAsia"/>
          <w:bCs/>
          <w:sz w:val="32"/>
          <w:szCs w:val="32"/>
        </w:rPr>
        <w:t>项目设置的产出数量指标完成程度高；质量指标、时效指标、社会效益指标和满意度指标的完成情况缺乏相关佐证材料，完成质量较难考量；个别指标评价标准设置偏低；绩效指标总体完成程度较高。项目绩效指标完成情况详见表1</w:t>
      </w:r>
      <w:r>
        <w:rPr>
          <w:rFonts w:ascii="仿宋_GB2312" w:eastAsia="仿宋_GB2312" w:hAnsi="仿宋" w:cstheme="majorBidi"/>
          <w:bCs/>
          <w:sz w:val="32"/>
          <w:szCs w:val="32"/>
        </w:rPr>
        <w:t>-3</w:t>
      </w:r>
      <w:r>
        <w:rPr>
          <w:rFonts w:ascii="仿宋_GB2312" w:eastAsia="仿宋_GB2312" w:hAnsi="仿宋" w:cstheme="majorBidi" w:hint="eastAsia"/>
          <w:bCs/>
          <w:sz w:val="32"/>
          <w:szCs w:val="32"/>
        </w:rPr>
        <w:t>。</w:t>
      </w: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1</w:t>
      </w:r>
      <w:r>
        <w:rPr>
          <w:rFonts w:ascii="黑体" w:eastAsia="黑体" w:hAnsi="黑体" w:hint="eastAsia"/>
          <w:sz w:val="28"/>
          <w:szCs w:val="28"/>
        </w:rPr>
        <w:t>-</w:t>
      </w:r>
      <w:r>
        <w:rPr>
          <w:rFonts w:ascii="黑体" w:eastAsia="黑体" w:hAnsi="黑体"/>
          <w:sz w:val="28"/>
          <w:szCs w:val="28"/>
        </w:rPr>
        <w:t>3</w:t>
      </w:r>
      <w:r>
        <w:rPr>
          <w:rFonts w:ascii="黑体" w:eastAsia="黑体" w:hAnsi="黑体" w:hint="eastAsia"/>
          <w:sz w:val="28"/>
          <w:szCs w:val="28"/>
        </w:rPr>
        <w:t xml:space="preserve"> </w:t>
      </w:r>
      <w:r>
        <w:rPr>
          <w:rFonts w:ascii="黑体" w:eastAsia="黑体" w:hAnsi="黑体"/>
          <w:sz w:val="28"/>
          <w:szCs w:val="28"/>
        </w:rPr>
        <w:t>2021年</w:t>
      </w:r>
      <w:r>
        <w:rPr>
          <w:rFonts w:ascii="黑体" w:eastAsia="黑体" w:hAnsi="黑体" w:hint="eastAsia"/>
          <w:sz w:val="28"/>
          <w:szCs w:val="28"/>
        </w:rPr>
        <w:t>宣传业务经费（含国防教育）绩效指标完成情况</w:t>
      </w:r>
    </w:p>
    <w:tbl>
      <w:tblPr>
        <w:tblStyle w:val="TableNormal"/>
        <w:tblW w:w="8335" w:type="dxa"/>
        <w:jc w:val="center"/>
        <w:tblCellMar>
          <w:top w:w="0" w:type="dxa"/>
          <w:left w:w="108" w:type="dxa"/>
          <w:bottom w:w="0" w:type="dxa"/>
          <w:right w:w="108" w:type="dxa"/>
        </w:tblCellMar>
      </w:tblPr>
      <w:tblGrid>
        <w:gridCol w:w="838"/>
        <w:gridCol w:w="1316"/>
        <w:gridCol w:w="2681"/>
        <w:gridCol w:w="1207"/>
        <w:gridCol w:w="1203"/>
        <w:gridCol w:w="1090"/>
      </w:tblGrid>
      <w:tr>
        <w:tblPrEx>
          <w:tblW w:w="8335" w:type="dxa"/>
          <w:jc w:val="center"/>
          <w:tblCellMar>
            <w:top w:w="0" w:type="dxa"/>
            <w:left w:w="108" w:type="dxa"/>
            <w:bottom w:w="0" w:type="dxa"/>
            <w:right w:w="108" w:type="dxa"/>
          </w:tblCellMar>
        </w:tblPrEx>
        <w:trPr>
          <w:trHeight w:val="727"/>
          <w:jc w:val="center"/>
        </w:trPr>
        <w:tc>
          <w:tcPr>
            <w:tcW w:w="838" w:type="dxa"/>
            <w:tcBorders>
              <w:top w:val="single" w:sz="4" w:space="0" w:color="000000"/>
              <w:left w:val="single" w:sz="4" w:space="0" w:color="000000"/>
              <w:bottom w:val="single" w:sz="4" w:space="0" w:color="auto"/>
              <w:right w:val="single" w:sz="4" w:space="0" w:color="000000"/>
            </w:tcBorders>
            <w:shd w:val="clear" w:color="auto" w:fill="F1F1F1" w:themeFill="background1" w:themeFillShade="F2"/>
            <w:vAlign w:val="center"/>
          </w:tcPr>
          <w:p>
            <w:pPr>
              <w:widowControl/>
              <w:jc w:val="center"/>
              <w:rPr>
                <w:rFonts w:ascii="仿宋_GB2312" w:eastAsia="仿宋_GB2312"/>
                <w:b/>
                <w:bCs/>
                <w:sz w:val="24"/>
              </w:rPr>
            </w:pPr>
            <w:r>
              <w:rPr>
                <w:rFonts w:ascii="仿宋_GB2312" w:eastAsia="仿宋_GB2312" w:hint="eastAsia"/>
                <w:b/>
                <w:bCs/>
                <w:sz w:val="24"/>
              </w:rPr>
              <w:t>一级指标</w:t>
            </w:r>
          </w:p>
        </w:tc>
        <w:tc>
          <w:tcPr>
            <w:tcW w:w="1316"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hint="eastAsia"/>
                <w:b/>
                <w:bCs/>
                <w:sz w:val="24"/>
              </w:rPr>
              <w:t>二级指标</w:t>
            </w:r>
          </w:p>
        </w:tc>
        <w:tc>
          <w:tcPr>
            <w:tcW w:w="2681" w:type="dxa"/>
            <w:tcBorders>
              <w:top w:val="single" w:sz="4" w:space="0" w:color="000000"/>
              <w:left w:val="single" w:sz="4" w:space="0" w:color="000000"/>
              <w:bottom w:val="single" w:sz="4" w:space="0" w:color="auto"/>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指标名称</w:t>
            </w:r>
          </w:p>
        </w:tc>
        <w:tc>
          <w:tcPr>
            <w:tcW w:w="1207"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年度申报指标值</w:t>
            </w:r>
          </w:p>
        </w:tc>
        <w:tc>
          <w:tcPr>
            <w:tcW w:w="1203"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实际完成指标值</w:t>
            </w:r>
          </w:p>
        </w:tc>
        <w:tc>
          <w:tcPr>
            <w:tcW w:w="1090"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cs="仿宋_GB2312"/>
                <w:b/>
                <w:bCs/>
                <w:kern w:val="0"/>
                <w:sz w:val="24"/>
              </w:rPr>
            </w:pPr>
            <w:r>
              <w:rPr>
                <w:rFonts w:ascii="仿宋_GB2312" w:eastAsia="仿宋_GB2312" w:cs="仿宋_GB2312" w:hint="eastAsia"/>
                <w:b/>
                <w:bCs/>
                <w:kern w:val="0"/>
                <w:sz w:val="24"/>
              </w:rPr>
              <w:t>完成情况说明</w:t>
            </w:r>
          </w:p>
        </w:tc>
      </w:tr>
      <w:tr>
        <w:tblPrEx>
          <w:tblW w:w="8335" w:type="dxa"/>
          <w:jc w:val="center"/>
          <w:tblCellMar>
            <w:top w:w="0" w:type="dxa"/>
            <w:left w:w="108" w:type="dxa"/>
            <w:bottom w:w="0" w:type="dxa"/>
            <w:right w:w="108" w:type="dxa"/>
          </w:tblCellMar>
        </w:tblPrEx>
        <w:trPr>
          <w:trHeight w:val="550"/>
          <w:jc w:val="center"/>
        </w:trPr>
        <w:tc>
          <w:tcPr>
            <w:tcW w:w="838"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sz w:val="24"/>
              </w:rPr>
            </w:pPr>
            <w:r>
              <w:rPr>
                <w:rFonts w:ascii="仿宋_GB2312" w:eastAsia="仿宋_GB2312" w:hint="eastAsia"/>
                <w:kern w:val="0"/>
                <w:sz w:val="24"/>
              </w:rPr>
              <w:t>产出指标</w:t>
            </w:r>
          </w:p>
        </w:tc>
        <w:tc>
          <w:tcPr>
            <w:tcW w:w="1316"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数量指标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《江门日报》宣传报道数量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100个整版</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w:t>
            </w:r>
            <w:r>
              <w:rPr>
                <w:rFonts w:ascii="仿宋_GB2312" w:eastAsia="仿宋_GB2312"/>
                <w:kern w:val="0"/>
                <w:sz w:val="24"/>
              </w:rPr>
              <w:t>2</w:t>
            </w:r>
            <w:r>
              <w:rPr>
                <w:rFonts w:ascii="仿宋_GB2312" w:eastAsia="仿宋_GB2312" w:hint="eastAsia"/>
                <w:kern w:val="0"/>
                <w:sz w:val="24"/>
              </w:rPr>
              <w:t>0个整版</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江门电视台报道数量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50期节目</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50期节目</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省级媒体报道数量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7个版</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7个版</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其他各级各类媒体宣传专题报道数量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9篇</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9篇</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新媒体运营发布数量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1400条微信推送链接</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w:t>
            </w:r>
            <w:r>
              <w:rPr>
                <w:rFonts w:ascii="仿宋_GB2312" w:eastAsia="仿宋_GB2312"/>
                <w:kern w:val="0"/>
                <w:sz w:val="24"/>
              </w:rPr>
              <w:t>955</w:t>
            </w:r>
            <w:r>
              <w:rPr>
                <w:rFonts w:ascii="仿宋_GB2312" w:eastAsia="仿宋_GB2312" w:hint="eastAsia"/>
                <w:kern w:val="0"/>
                <w:sz w:val="24"/>
              </w:rPr>
              <w:t>条微信推送链接</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大型宣传画数量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30个</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30个</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宣传横幅数量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2000条</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2000条</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制作宣传片数量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1个</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1个</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宣传栏更新数量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50块</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50块</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质量指标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单位宣传覆盖率</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100%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100%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“江门高新”点击量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≥70万次</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4</w:t>
            </w:r>
            <w:r>
              <w:rPr>
                <w:rFonts w:ascii="仿宋_GB2312" w:eastAsia="仿宋_GB2312" w:hAnsi="宋体" w:cs="宋体"/>
                <w:color w:val="000000"/>
                <w:kern w:val="0"/>
                <w:sz w:val="24"/>
              </w:rPr>
              <w:t>20</w:t>
            </w:r>
            <w:r>
              <w:rPr>
                <w:rFonts w:ascii="仿宋_GB2312" w:eastAsia="仿宋_GB2312" w:hAnsi="宋体" w:cs="宋体" w:hint="eastAsia"/>
                <w:color w:val="000000"/>
                <w:kern w:val="0"/>
                <w:sz w:val="24"/>
              </w:rPr>
              <w:t>万次</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bottom w:val="single" w:sz="4" w:space="0" w:color="auto"/>
              <w:right w:val="single" w:sz="4" w:space="0" w:color="000000"/>
            </w:tcBorders>
            <w:vAlign w:val="center"/>
          </w:tcPr>
          <w:p>
            <w:pPr>
              <w:widowControl/>
              <w:wordWrap w:val="0"/>
              <w:jc w:val="center"/>
              <w:rPr>
                <w:rFonts w:ascii="仿宋_GB2312" w:eastAsia="仿宋_GB2312"/>
                <w:sz w:val="24"/>
              </w:rPr>
            </w:pPr>
          </w:p>
        </w:tc>
        <w:tc>
          <w:tcPr>
            <w:tcW w:w="1316" w:type="dxa"/>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时效指标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color w:val="000000"/>
                <w:kern w:val="0"/>
                <w:sz w:val="24"/>
              </w:rPr>
            </w:pPr>
            <w:r>
              <w:rPr>
                <w:rFonts w:ascii="仿宋_GB2312" w:eastAsia="仿宋_GB2312" w:hAnsi="宋体" w:cs="宋体" w:hint="eastAsia"/>
                <w:color w:val="000000"/>
                <w:kern w:val="0"/>
                <w:sz w:val="24"/>
              </w:rPr>
              <w:t>《江门日报》宣传报道及时性</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color w:val="000000"/>
                <w:kern w:val="0"/>
                <w:sz w:val="24"/>
              </w:rPr>
            </w:pPr>
            <w:r>
              <w:rPr>
                <w:rFonts w:ascii="仿宋_GB2312" w:eastAsia="仿宋_GB2312" w:hAnsi="宋体" w:cs="宋体" w:hint="eastAsia"/>
                <w:color w:val="000000"/>
                <w:kern w:val="0"/>
                <w:sz w:val="24"/>
              </w:rPr>
              <w:t>100%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color w:val="000000"/>
                <w:kern w:val="0"/>
                <w:sz w:val="24"/>
              </w:rPr>
            </w:pPr>
            <w:r>
              <w:rPr>
                <w:rFonts w:ascii="仿宋_GB2312" w:eastAsia="仿宋_GB2312" w:hAnsi="宋体" w:cs="宋体" w:hint="eastAsia"/>
                <w:color w:val="000000"/>
                <w:kern w:val="0"/>
                <w:sz w:val="24"/>
              </w:rPr>
              <w:t>100%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val="restart"/>
            <w:tcBorders>
              <w:top w:val="single" w:sz="4" w:space="0" w:color="auto"/>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效益</w:t>
            </w:r>
          </w:p>
          <w:p>
            <w:pPr>
              <w:widowControl/>
              <w:wordWrap w:val="0"/>
              <w:jc w:val="center"/>
              <w:rPr>
                <w:rFonts w:ascii="仿宋_GB2312" w:eastAsia="仿宋_GB2312"/>
                <w:kern w:val="0"/>
                <w:sz w:val="24"/>
              </w:rPr>
            </w:pPr>
            <w:r>
              <w:rPr>
                <w:rFonts w:ascii="仿宋_GB2312" w:eastAsia="仿宋_GB2312" w:hint="eastAsia"/>
                <w:kern w:val="0"/>
                <w:sz w:val="24"/>
              </w:rPr>
              <w:t>指标</w:t>
            </w:r>
          </w:p>
        </w:tc>
        <w:tc>
          <w:tcPr>
            <w:tcW w:w="1316" w:type="dxa"/>
            <w:vMerge w:val="restart"/>
            <w:tcBorders>
              <w:top w:val="single" w:sz="4" w:space="0" w:color="auto"/>
              <w:left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社会效益</w:t>
            </w:r>
          </w:p>
          <w:p>
            <w:pPr>
              <w:widowControl/>
              <w:jc w:val="center"/>
              <w:rPr>
                <w:rFonts w:ascii="仿宋_GB2312" w:eastAsia="仿宋_GB2312"/>
                <w:kern w:val="0"/>
                <w:sz w:val="24"/>
              </w:rPr>
            </w:pPr>
            <w:r>
              <w:rPr>
                <w:rFonts w:ascii="仿宋_GB2312" w:eastAsia="仿宋_GB2312" w:hint="eastAsia"/>
                <w:kern w:val="0"/>
                <w:sz w:val="24"/>
              </w:rPr>
              <w:t>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政策知晓率</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80%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80%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p>
        </w:tc>
        <w:tc>
          <w:tcPr>
            <w:tcW w:w="1316" w:type="dxa"/>
            <w:vMerge/>
            <w:tcBorders>
              <w:left w:val="single" w:sz="4" w:space="0" w:color="000000"/>
              <w:bottom w:val="single" w:sz="4" w:space="0" w:color="auto"/>
              <w:right w:val="single" w:sz="4" w:space="0" w:color="000000"/>
            </w:tcBorders>
            <w:vAlign w:val="center"/>
          </w:tcPr>
          <w:p>
            <w:pPr>
              <w:widowControl/>
              <w:jc w:val="center"/>
              <w:rPr>
                <w:rFonts w:ascii="仿宋_GB2312" w:eastAsia="仿宋_GB2312"/>
                <w:kern w:val="0"/>
                <w:sz w:val="24"/>
              </w:rPr>
            </w:pPr>
          </w:p>
        </w:tc>
        <w:tc>
          <w:tcPr>
            <w:tcW w:w="2681"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横幅信息更新及时性</w:t>
            </w:r>
          </w:p>
        </w:tc>
        <w:tc>
          <w:tcPr>
            <w:tcW w:w="1207"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100%</w:t>
            </w:r>
          </w:p>
        </w:tc>
        <w:tc>
          <w:tcPr>
            <w:tcW w:w="1203"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100%</w:t>
            </w:r>
          </w:p>
        </w:tc>
        <w:tc>
          <w:tcPr>
            <w:tcW w:w="1090"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274"/>
          <w:jc w:val="center"/>
        </w:trPr>
        <w:tc>
          <w:tcPr>
            <w:tcW w:w="838"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sz w:val="24"/>
              </w:rPr>
            </w:pPr>
            <w:r>
              <w:rPr>
                <w:rFonts w:ascii="仿宋_GB2312" w:eastAsia="仿宋_GB2312" w:hint="eastAsia"/>
                <w:sz w:val="24"/>
              </w:rPr>
              <w:t>满意度指标</w:t>
            </w:r>
          </w:p>
        </w:tc>
        <w:tc>
          <w:tcPr>
            <w:tcW w:w="1316"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服务对象</w:t>
            </w:r>
          </w:p>
          <w:p>
            <w:pPr>
              <w:widowControl/>
              <w:wordWrap w:val="0"/>
              <w:jc w:val="center"/>
              <w:rPr>
                <w:rFonts w:ascii="仿宋_GB2312" w:eastAsia="仿宋_GB2312"/>
                <w:kern w:val="0"/>
                <w:sz w:val="24"/>
              </w:rPr>
            </w:pPr>
            <w:r>
              <w:rPr>
                <w:rFonts w:ascii="仿宋_GB2312" w:eastAsia="仿宋_GB2312" w:hint="eastAsia"/>
                <w:kern w:val="0"/>
                <w:sz w:val="24"/>
              </w:rPr>
              <w:t>满意度指标</w:t>
            </w:r>
          </w:p>
        </w:tc>
        <w:tc>
          <w:tcPr>
            <w:tcW w:w="2681"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群众满意度</w:t>
            </w:r>
          </w:p>
        </w:tc>
        <w:tc>
          <w:tcPr>
            <w:tcW w:w="1207"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80%</w:t>
            </w:r>
          </w:p>
        </w:tc>
        <w:tc>
          <w:tcPr>
            <w:tcW w:w="1203"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Ansi="宋体" w:cs="宋体" w:hint="eastAsia"/>
                <w:color w:val="000000"/>
                <w:kern w:val="0"/>
                <w:sz w:val="24"/>
              </w:rPr>
              <w:t>80%</w:t>
            </w:r>
          </w:p>
        </w:tc>
        <w:tc>
          <w:tcPr>
            <w:tcW w:w="1090"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bl>
    <w:p>
      <w:pPr>
        <w:spacing w:line="360" w:lineRule="auto"/>
        <w:ind w:firstLine="420" w:firstLineChars="200"/>
        <w:rPr>
          <w:rFonts w:ascii="楷体_GB2312" w:eastAsia="楷体_GB2312" w:hAnsi="仿宋" w:cstheme="majorBidi"/>
          <w:b/>
          <w:bCs/>
          <w:sz w:val="32"/>
          <w:szCs w:val="32"/>
        </w:rPr>
      </w:pPr>
    </w:p>
    <w:p>
      <w:pPr>
        <w:pStyle w:val="Heading1"/>
      </w:pPr>
      <w:bookmarkStart w:id="15" w:name="_Toc113562257"/>
      <w:r>
        <w:rPr>
          <w:rFonts w:hint="eastAsia"/>
        </w:rPr>
        <w:t>二、综合评价结论</w:t>
      </w:r>
      <w:bookmarkEnd w:id="15"/>
    </w:p>
    <w:p>
      <w:pPr>
        <w:spacing w:line="360" w:lineRule="auto"/>
        <w:ind w:firstLine="420" w:firstLineChars="200"/>
        <w:rPr>
          <w:rFonts w:ascii="仿宋_GB2312" w:eastAsia="仿宋_GB2312" w:hAnsi="仿宋" w:cs="Arial"/>
          <w:kern w:val="0"/>
          <w:sz w:val="32"/>
          <w:szCs w:val="32"/>
        </w:rPr>
      </w:pPr>
      <w:bookmarkStart w:id="16" w:name="_Hlk113556960"/>
      <w:r>
        <w:rPr>
          <w:rFonts w:ascii="仿宋_GB2312" w:eastAsia="仿宋_GB2312" w:hAnsi="仿宋" w:hint="eastAsia"/>
          <w:sz w:val="32"/>
          <w:szCs w:val="32"/>
        </w:rPr>
        <w:t>通过自评材料分析和实地调研，结合资金管理水平、项目管理水平、项目开展绩效、自评组织工作四方面综合对项目资金使用进行比较分析，评价工作组认为：总体上，2021年宣传业务经费（含国防教育）专项支出取得了一定成效，项目在资金管理水平和项目开展绩效方面的表现相对较好，资金使用率高，绩效目标完成程度高，而在项目管理水平和自评组织工作方面的表现相对较差，主要存在问题是：项目专项资金管理办法不完善，资金支出进度与合同条款相符程度不够高；项目管理制度不够健全，管理专业水平有待提高；个别绩效指标评价标准设置偏低，指标设置尚存完善空间；佐证材料不够完整，自评工作组织管理有待提升。</w:t>
      </w:r>
      <w:bookmarkEnd w:id="16"/>
      <w:r>
        <w:rPr>
          <w:rFonts w:ascii="仿宋_GB2312" w:eastAsia="仿宋_GB2312" w:hAnsi="仿宋" w:hint="eastAsia"/>
          <w:sz w:val="32"/>
          <w:szCs w:val="32"/>
        </w:rPr>
        <w:t>本次</w:t>
      </w:r>
      <w:r>
        <w:rPr>
          <w:rFonts w:ascii="仿宋_GB2312" w:eastAsia="仿宋_GB2312" w:hAnsi="仿宋" w:cs="Arial" w:hint="eastAsia"/>
          <w:kern w:val="0"/>
          <w:sz w:val="32"/>
          <w:szCs w:val="32"/>
        </w:rPr>
        <w:t>项目综合评价得分为8</w:t>
      </w:r>
      <w:r>
        <w:rPr>
          <w:rFonts w:ascii="仿宋_GB2312" w:eastAsia="仿宋_GB2312" w:hAnsi="仿宋" w:cs="Arial"/>
          <w:kern w:val="0"/>
          <w:sz w:val="32"/>
          <w:szCs w:val="32"/>
        </w:rPr>
        <w:t>3</w:t>
      </w:r>
      <w:r>
        <w:rPr>
          <w:rFonts w:ascii="仿宋_GB2312" w:eastAsia="仿宋_GB2312" w:hAnsi="仿宋" w:cs="Arial" w:hint="eastAsia"/>
          <w:kern w:val="0"/>
          <w:sz w:val="32"/>
          <w:szCs w:val="32"/>
        </w:rPr>
        <w:t>分，评价等级为“良”。评价得分情况详见表1</w:t>
      </w:r>
      <w:r>
        <w:rPr>
          <w:rFonts w:ascii="仿宋_GB2312" w:eastAsia="仿宋_GB2312" w:hAnsi="仿宋" w:cs="Arial"/>
          <w:kern w:val="0"/>
          <w:sz w:val="32"/>
          <w:szCs w:val="32"/>
        </w:rPr>
        <w:t>-4</w:t>
      </w:r>
      <w:r>
        <w:rPr>
          <w:rFonts w:ascii="仿宋_GB2312" w:eastAsia="仿宋_GB2312" w:hAnsi="仿宋" w:cs="Arial" w:hint="eastAsia"/>
          <w:kern w:val="0"/>
          <w:sz w:val="32"/>
          <w:szCs w:val="32"/>
        </w:rPr>
        <w:t>、图1</w:t>
      </w:r>
      <w:r>
        <w:rPr>
          <w:rFonts w:ascii="仿宋_GB2312" w:eastAsia="仿宋_GB2312" w:hAnsi="仿宋" w:cs="Arial"/>
          <w:kern w:val="0"/>
          <w:sz w:val="32"/>
          <w:szCs w:val="32"/>
        </w:rPr>
        <w:t>-1</w:t>
      </w:r>
      <w:r>
        <w:rPr>
          <w:rFonts w:ascii="仿宋_GB2312" w:eastAsia="仿宋_GB2312" w:hAnsi="仿宋" w:cs="Arial" w:hint="eastAsia"/>
          <w:kern w:val="0"/>
          <w:sz w:val="32"/>
          <w:szCs w:val="32"/>
        </w:rPr>
        <w:t>。</w:t>
      </w:r>
    </w:p>
    <w:p>
      <w:pPr>
        <w:spacing w:line="360" w:lineRule="auto"/>
        <w:ind w:firstLine="420" w:firstLineChars="200"/>
        <w:jc w:val="center"/>
        <w:rPr>
          <w:rFonts w:ascii="黑体" w:eastAsia="黑体" w:hAnsi="黑体"/>
          <w:sz w:val="28"/>
          <w:szCs w:val="28"/>
        </w:rPr>
      </w:pPr>
      <w:r>
        <w:rPr>
          <w:rFonts w:ascii="黑体" w:eastAsia="黑体" w:hAnsi="黑体" w:hint="eastAsia"/>
          <w:sz w:val="28"/>
          <w:szCs w:val="28"/>
        </w:rPr>
        <w:t>表1</w:t>
      </w:r>
      <w:r>
        <w:rPr>
          <w:rFonts w:ascii="黑体" w:eastAsia="黑体" w:hAnsi="黑体"/>
          <w:sz w:val="28"/>
          <w:szCs w:val="28"/>
        </w:rPr>
        <w:t xml:space="preserve">-4 </w:t>
      </w:r>
      <w:r>
        <w:rPr>
          <w:rFonts w:ascii="黑体" w:eastAsia="黑体" w:hAnsi="黑体" w:hint="eastAsia"/>
          <w:sz w:val="28"/>
          <w:szCs w:val="28"/>
        </w:rPr>
        <w:t>评价得分情况总表</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130"/>
        <w:gridCol w:w="2130"/>
        <w:gridCol w:w="2131"/>
        <w:gridCol w:w="2131"/>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2130" w:type="dxa"/>
            <w:shd w:val="clear" w:color="auto" w:fill="F1F1F1" w:themeFill="background1" w:themeFillShade="F2"/>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评价因素</w:t>
            </w:r>
          </w:p>
        </w:tc>
        <w:tc>
          <w:tcPr>
            <w:tcW w:w="2130" w:type="dxa"/>
            <w:shd w:val="clear" w:color="auto" w:fill="F1F1F1" w:themeFill="background1" w:themeFillShade="F2"/>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分值</w:t>
            </w:r>
          </w:p>
        </w:tc>
        <w:tc>
          <w:tcPr>
            <w:tcW w:w="2131" w:type="dxa"/>
            <w:shd w:val="clear" w:color="auto" w:fill="F1F1F1" w:themeFill="background1" w:themeFillShade="F2"/>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评价得分</w:t>
            </w:r>
          </w:p>
        </w:tc>
        <w:tc>
          <w:tcPr>
            <w:tcW w:w="2131" w:type="dxa"/>
            <w:shd w:val="clear" w:color="auto" w:fill="F1F1F1" w:themeFill="background1" w:themeFillShade="F2"/>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得分率</w:t>
            </w:r>
          </w:p>
        </w:tc>
      </w:tr>
      <w:tr>
        <w:tblPrEx>
          <w:tblW w:w="0" w:type="auto"/>
          <w:tblInd w:w="0" w:type="dxa"/>
          <w:tblCellMar>
            <w:top w:w="0" w:type="dxa"/>
            <w:left w:w="108" w:type="dxa"/>
            <w:bottom w:w="0" w:type="dxa"/>
            <w:right w:w="108" w:type="dxa"/>
          </w:tblCellMar>
        </w:tblPrEx>
        <w:tc>
          <w:tcPr>
            <w:tcW w:w="2130" w:type="dxa"/>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评价总分</w:t>
            </w:r>
          </w:p>
        </w:tc>
        <w:tc>
          <w:tcPr>
            <w:tcW w:w="2130" w:type="dxa"/>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1</w:t>
            </w:r>
            <w:r>
              <w:rPr>
                <w:rFonts w:ascii="仿宋_GB2312" w:eastAsia="仿宋_GB2312" w:hAnsi="仿宋" w:cs="Arial"/>
                <w:b/>
                <w:bCs/>
                <w:kern w:val="0"/>
                <w:sz w:val="24"/>
              </w:rPr>
              <w:t>00</w:t>
            </w:r>
          </w:p>
        </w:tc>
        <w:tc>
          <w:tcPr>
            <w:tcW w:w="2131" w:type="dxa"/>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8</w:t>
            </w:r>
            <w:r>
              <w:rPr>
                <w:rFonts w:ascii="仿宋_GB2312" w:eastAsia="仿宋_GB2312" w:hAnsi="仿宋" w:cs="Arial"/>
                <w:b/>
                <w:bCs/>
                <w:kern w:val="0"/>
                <w:sz w:val="24"/>
              </w:rPr>
              <w:t>3</w:t>
            </w:r>
          </w:p>
        </w:tc>
        <w:tc>
          <w:tcPr>
            <w:tcW w:w="2131" w:type="dxa"/>
          </w:tcPr>
          <w:p>
            <w:pPr>
              <w:spacing w:line="360" w:lineRule="auto"/>
              <w:jc w:val="center"/>
              <w:rPr>
                <w:rFonts w:ascii="仿宋_GB2312" w:eastAsia="仿宋_GB2312" w:hAnsi="仿宋" w:cs="Arial"/>
                <w:b/>
                <w:bCs/>
                <w:kern w:val="0"/>
                <w:sz w:val="24"/>
              </w:rPr>
            </w:pPr>
            <w:r>
              <w:rPr>
                <w:rFonts w:ascii="仿宋_GB2312" w:eastAsia="仿宋_GB2312" w:hAnsi="仿宋" w:cs="Arial" w:hint="eastAsia"/>
                <w:b/>
                <w:bCs/>
                <w:kern w:val="0"/>
                <w:sz w:val="24"/>
              </w:rPr>
              <w:t>8</w:t>
            </w:r>
            <w:r>
              <w:rPr>
                <w:rFonts w:ascii="仿宋_GB2312" w:eastAsia="仿宋_GB2312" w:hAnsi="仿宋" w:cs="Arial"/>
                <w:b/>
                <w:bCs/>
                <w:kern w:val="0"/>
                <w:sz w:val="24"/>
              </w:rPr>
              <w:t>3%</w:t>
            </w:r>
          </w:p>
        </w:tc>
      </w:tr>
      <w:tr>
        <w:tblPrEx>
          <w:tblW w:w="0" w:type="auto"/>
          <w:tblInd w:w="0" w:type="dxa"/>
          <w:tblCellMar>
            <w:top w:w="0" w:type="dxa"/>
            <w:left w:w="108" w:type="dxa"/>
            <w:bottom w:w="0" w:type="dxa"/>
            <w:right w:w="108" w:type="dxa"/>
          </w:tblCellMar>
        </w:tblPrEx>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资金管理水平</w:t>
            </w:r>
          </w:p>
        </w:tc>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2</w:t>
            </w:r>
            <w:r>
              <w:rPr>
                <w:rFonts w:ascii="仿宋_GB2312" w:eastAsia="仿宋_GB2312" w:hAnsi="仿宋" w:cs="Arial"/>
                <w:kern w:val="0"/>
                <w:sz w:val="24"/>
              </w:rPr>
              <w:t>0</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kern w:val="0"/>
                <w:sz w:val="24"/>
              </w:rPr>
              <w:t>17</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kern w:val="0"/>
                <w:sz w:val="24"/>
              </w:rPr>
              <w:t>85%</w:t>
            </w:r>
          </w:p>
        </w:tc>
      </w:tr>
      <w:tr>
        <w:tblPrEx>
          <w:tblW w:w="0" w:type="auto"/>
          <w:tblInd w:w="0" w:type="dxa"/>
          <w:tblCellMar>
            <w:top w:w="0" w:type="dxa"/>
            <w:left w:w="108" w:type="dxa"/>
            <w:bottom w:w="0" w:type="dxa"/>
            <w:right w:w="108" w:type="dxa"/>
          </w:tblCellMar>
        </w:tblPrEx>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项目管理水平</w:t>
            </w:r>
          </w:p>
        </w:tc>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2</w:t>
            </w:r>
            <w:r>
              <w:rPr>
                <w:rFonts w:ascii="仿宋_GB2312" w:eastAsia="仿宋_GB2312" w:hAnsi="仿宋" w:cs="Arial"/>
                <w:kern w:val="0"/>
                <w:sz w:val="24"/>
              </w:rPr>
              <w:t>0</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kern w:val="0"/>
                <w:sz w:val="24"/>
              </w:rPr>
              <w:t>13.5</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kern w:val="0"/>
                <w:sz w:val="24"/>
              </w:rPr>
              <w:t>67.5%</w:t>
            </w:r>
          </w:p>
        </w:tc>
      </w:tr>
      <w:tr>
        <w:tblPrEx>
          <w:tblW w:w="0" w:type="auto"/>
          <w:tblInd w:w="0" w:type="dxa"/>
          <w:tblCellMar>
            <w:top w:w="0" w:type="dxa"/>
            <w:left w:w="108" w:type="dxa"/>
            <w:bottom w:w="0" w:type="dxa"/>
            <w:right w:w="108" w:type="dxa"/>
          </w:tblCellMar>
        </w:tblPrEx>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项目开展绩效</w:t>
            </w:r>
          </w:p>
        </w:tc>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5</w:t>
            </w:r>
            <w:r>
              <w:rPr>
                <w:rFonts w:ascii="仿宋_GB2312" w:eastAsia="仿宋_GB2312" w:hAnsi="仿宋" w:cs="Arial"/>
                <w:kern w:val="0"/>
                <w:sz w:val="24"/>
              </w:rPr>
              <w:t>0</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4</w:t>
            </w:r>
            <w:r>
              <w:rPr>
                <w:rFonts w:ascii="仿宋_GB2312" w:eastAsia="仿宋_GB2312" w:hAnsi="仿宋" w:cs="Arial"/>
                <w:kern w:val="0"/>
                <w:sz w:val="24"/>
              </w:rPr>
              <w:t>6</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kern w:val="0"/>
                <w:sz w:val="24"/>
              </w:rPr>
              <w:t>92%</w:t>
            </w:r>
          </w:p>
        </w:tc>
      </w:tr>
      <w:tr>
        <w:tblPrEx>
          <w:tblW w:w="0" w:type="auto"/>
          <w:tblInd w:w="0" w:type="dxa"/>
          <w:tblCellMar>
            <w:top w:w="0" w:type="dxa"/>
            <w:left w:w="108" w:type="dxa"/>
            <w:bottom w:w="0" w:type="dxa"/>
            <w:right w:w="108" w:type="dxa"/>
          </w:tblCellMar>
        </w:tblPrEx>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自评组织工作</w:t>
            </w:r>
          </w:p>
        </w:tc>
        <w:tc>
          <w:tcPr>
            <w:tcW w:w="2130"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1</w:t>
            </w:r>
            <w:r>
              <w:rPr>
                <w:rFonts w:ascii="仿宋_GB2312" w:eastAsia="仿宋_GB2312" w:hAnsi="仿宋" w:cs="Arial"/>
                <w:kern w:val="0"/>
                <w:sz w:val="24"/>
              </w:rPr>
              <w:t>0</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6</w:t>
            </w:r>
            <w:r>
              <w:rPr>
                <w:rFonts w:ascii="仿宋_GB2312" w:eastAsia="仿宋_GB2312" w:hAnsi="仿宋" w:cs="Arial"/>
                <w:kern w:val="0"/>
                <w:sz w:val="24"/>
              </w:rPr>
              <w:t>.5</w:t>
            </w:r>
          </w:p>
        </w:tc>
        <w:tc>
          <w:tcPr>
            <w:tcW w:w="2131" w:type="dxa"/>
          </w:tcPr>
          <w:p>
            <w:pPr>
              <w:spacing w:line="360" w:lineRule="auto"/>
              <w:jc w:val="center"/>
              <w:rPr>
                <w:rFonts w:ascii="仿宋_GB2312" w:eastAsia="仿宋_GB2312" w:hAnsi="仿宋" w:cs="Arial"/>
                <w:kern w:val="0"/>
                <w:sz w:val="24"/>
              </w:rPr>
            </w:pPr>
            <w:r>
              <w:rPr>
                <w:rFonts w:ascii="仿宋_GB2312" w:eastAsia="仿宋_GB2312" w:hAnsi="仿宋" w:cs="Arial" w:hint="eastAsia"/>
                <w:kern w:val="0"/>
                <w:sz w:val="24"/>
              </w:rPr>
              <w:t>6</w:t>
            </w:r>
            <w:r>
              <w:rPr>
                <w:rFonts w:ascii="仿宋_GB2312" w:eastAsia="仿宋_GB2312" w:hAnsi="仿宋" w:cs="Arial"/>
                <w:kern w:val="0"/>
                <w:sz w:val="24"/>
              </w:rPr>
              <w:t>5%</w:t>
            </w:r>
          </w:p>
        </w:tc>
      </w:tr>
    </w:tbl>
    <w:p>
      <w:pPr>
        <w:jc w:val="center"/>
        <w:rPr>
          <w:rFonts w:ascii="仿宋_GB2312" w:eastAsia="仿宋_GB2312" w:hAnsi="仿宋"/>
          <w:sz w:val="32"/>
          <w:szCs w:val="32"/>
        </w:rPr>
      </w:pPr>
    </w:p>
    <w:p>
      <w:pPr>
        <w:jc w:val="center"/>
        <w:rPr>
          <w:rFonts w:ascii="黑体" w:eastAsia="黑体" w:hAnsi="黑体" w:cs="Arial"/>
          <w:kern w:val="0"/>
          <w:sz w:val="28"/>
          <w:szCs w:val="28"/>
        </w:rPr>
      </w:pPr>
      <w:r>
        <w:rPr>
          <w:rFonts w:ascii="黑体" w:eastAsia="黑体" w:hAnsi="黑体" w:cs="Arial"/>
          <w:kern w:val="0"/>
          <w:sz w:val="28"/>
          <w:szCs w:val="28"/>
        </w:rPr>
        <w:drawing>
          <wp:inline distT="0" distB="0" distL="0" distR="0">
            <wp:extent cx="5274310" cy="3076575"/>
            <wp:effectExtent l="0" t="0" r="2540" b="9525"/>
            <wp:docPr id="8"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pPr>
        <w:pStyle w:val="Heading1"/>
      </w:pPr>
    </w:p>
    <w:p>
      <w:pPr>
        <w:pStyle w:val="Heading1"/>
      </w:pPr>
      <w:bookmarkStart w:id="17" w:name="_Toc113562258"/>
      <w:r>
        <w:rPr>
          <w:rFonts w:hint="eastAsia"/>
        </w:rPr>
        <w:t>三、项目绩效分析</w:t>
      </w:r>
      <w:bookmarkEnd w:id="17"/>
    </w:p>
    <w:p>
      <w:pPr>
        <w:pStyle w:val="Heading2"/>
        <w:spacing w:before="0" w:after="0" w:line="360" w:lineRule="auto"/>
        <w:ind w:firstLine="420" w:firstLineChars="200"/>
        <w:rPr>
          <w:rFonts w:ascii="楷体_GB2312" w:eastAsia="楷体_GB2312" w:hAnsi="仿宋"/>
        </w:rPr>
      </w:pPr>
      <w:bookmarkStart w:id="18" w:name="_Toc113562259"/>
      <w:bookmarkStart w:id="19" w:name="_Hlk113262876"/>
      <w:r>
        <w:rPr>
          <w:rFonts w:ascii="楷体_GB2312" w:eastAsia="楷体_GB2312" w:hAnsi="仿宋" w:hint="eastAsia"/>
        </w:rPr>
        <w:t>（一）资金管理水平</w:t>
      </w:r>
      <w:bookmarkEnd w:id="18"/>
    </w:p>
    <w:p>
      <w:pPr>
        <w:ind w:firstLine="420" w:firstLineChars="200"/>
        <w:rPr>
          <w:rFonts w:ascii="仿宋_GB2312" w:eastAsia="仿宋_GB2312" w:hAnsi="仿宋" w:cstheme="majorBidi"/>
          <w:bCs/>
          <w:sz w:val="32"/>
          <w:szCs w:val="32"/>
        </w:rPr>
      </w:pPr>
      <w:r>
        <w:rPr>
          <w:rFonts w:ascii="仿宋_GB2312" w:eastAsia="仿宋_GB2312" w:hAnsi="仿宋" w:hint="eastAsia"/>
          <w:sz w:val="32"/>
          <w:szCs w:val="32"/>
        </w:rPr>
        <w:t>项目资金管理水平指标满分20分，综合评价得分1</w:t>
      </w:r>
      <w:r>
        <w:rPr>
          <w:rFonts w:ascii="仿宋_GB2312" w:eastAsia="仿宋_GB2312" w:hAnsi="仿宋"/>
          <w:sz w:val="32"/>
          <w:szCs w:val="32"/>
        </w:rPr>
        <w:t>7</w:t>
      </w:r>
      <w:r>
        <w:rPr>
          <w:rFonts w:ascii="仿宋_GB2312" w:eastAsia="仿宋_GB2312" w:hAnsi="仿宋" w:hint="eastAsia"/>
          <w:sz w:val="32"/>
          <w:szCs w:val="32"/>
        </w:rPr>
        <w:t>分，得分率</w:t>
      </w:r>
      <w:r>
        <w:rPr>
          <w:rFonts w:ascii="仿宋_GB2312" w:eastAsia="仿宋_GB2312" w:hAnsi="仿宋"/>
          <w:sz w:val="32"/>
          <w:szCs w:val="32"/>
        </w:rPr>
        <w:t>85</w:t>
      </w:r>
      <w:r>
        <w:rPr>
          <w:rFonts w:ascii="仿宋_GB2312" w:eastAsia="仿宋_GB2312" w:hAnsi="仿宋" w:hint="eastAsia"/>
          <w:sz w:val="32"/>
          <w:szCs w:val="32"/>
        </w:rPr>
        <w:t>%。</w:t>
      </w:r>
      <w:r>
        <w:rPr>
          <w:rFonts w:ascii="仿宋_GB2312" w:eastAsia="仿宋_GB2312" w:hAnsi="楷体" w:hint="eastAsia"/>
          <w:sz w:val="32"/>
          <w:szCs w:val="32"/>
        </w:rPr>
        <w:t>项目整体资金支出率为</w:t>
      </w:r>
      <w:r>
        <w:rPr>
          <w:rFonts w:ascii="仿宋_GB2312" w:eastAsia="仿宋_GB2312" w:hAnsi="楷体"/>
          <w:sz w:val="32"/>
          <w:szCs w:val="32"/>
        </w:rPr>
        <w:t>99.88%,</w:t>
      </w:r>
      <w:r>
        <w:rPr>
          <w:rFonts w:ascii="仿宋_GB2312" w:eastAsia="仿宋_GB2312" w:hAnsi="楷体" w:hint="eastAsia"/>
          <w:sz w:val="32"/>
          <w:szCs w:val="32"/>
        </w:rPr>
        <w:t>资金使用率高</w:t>
      </w:r>
      <w:r>
        <w:rPr>
          <w:rFonts w:ascii="仿宋_GB2312" w:eastAsia="仿宋_GB2312" w:hAnsi="仿宋" w:cstheme="majorBidi" w:hint="eastAsia"/>
          <w:bCs/>
          <w:sz w:val="32"/>
          <w:szCs w:val="32"/>
        </w:rPr>
        <w:t>。项目单位内部财务管理制度较健全,</w:t>
      </w:r>
      <w:r>
        <w:rPr>
          <w:rFonts w:ascii="仿宋_GB2312" w:eastAsia="仿宋_GB2312" w:hAnsi="仿宋" w:cs="Arial" w:hint="eastAsia"/>
          <w:kern w:val="0"/>
          <w:sz w:val="32"/>
          <w:szCs w:val="32"/>
        </w:rPr>
        <w:t xml:space="preserve"> 能够有效控制成本，资金使用较规范，整体支出内容构成较合理。存在的不足主要有：一是</w:t>
      </w:r>
      <w:r>
        <w:rPr>
          <w:rFonts w:ascii="仿宋_GB2312" w:eastAsia="仿宋_GB2312" w:hAnsi="仿宋" w:hint="eastAsia"/>
          <w:sz w:val="32"/>
          <w:szCs w:val="32"/>
        </w:rPr>
        <w:t>未针对项目科学合理制定专项资金管理办法，财务管理制度指标扣</w:t>
      </w:r>
      <w:r>
        <w:rPr>
          <w:rFonts w:ascii="仿宋_GB2312" w:eastAsia="仿宋_GB2312" w:hAnsi="仿宋"/>
          <w:sz w:val="32"/>
          <w:szCs w:val="32"/>
        </w:rPr>
        <w:t>2</w:t>
      </w:r>
      <w:r>
        <w:rPr>
          <w:rFonts w:ascii="仿宋_GB2312" w:eastAsia="仿宋_GB2312" w:hAnsi="仿宋" w:hint="eastAsia"/>
          <w:sz w:val="32"/>
          <w:szCs w:val="32"/>
        </w:rPr>
        <w:t>分；二是</w:t>
      </w:r>
      <w:r>
        <w:rPr>
          <w:rFonts w:ascii="仿宋_GB2312" w:eastAsia="仿宋_GB2312" w:hAnsi="仿宋" w:cs="Arial" w:hint="eastAsia"/>
          <w:kern w:val="0"/>
          <w:sz w:val="32"/>
          <w:szCs w:val="32"/>
        </w:rPr>
        <w:t>部分项目资金支出进度与合同有关规定的相符程度不够高，资金管理及制度落实情况指标扣1分</w:t>
      </w:r>
      <w:r>
        <w:rPr>
          <w:rFonts w:ascii="仿宋_GB2312" w:eastAsia="仿宋_GB2312" w:hAnsi="仿宋" w:hint="eastAsia"/>
          <w:sz w:val="32"/>
          <w:szCs w:val="32"/>
        </w:rPr>
        <w:t>。</w:t>
      </w:r>
    </w:p>
    <w:p>
      <w:pPr>
        <w:pStyle w:val="Heading2"/>
        <w:spacing w:before="0" w:after="0" w:line="360" w:lineRule="auto"/>
        <w:ind w:firstLine="420" w:firstLineChars="200"/>
        <w:rPr>
          <w:rFonts w:ascii="楷体_GB2312" w:eastAsia="楷体_GB2312" w:hAnsi="仿宋"/>
        </w:rPr>
      </w:pPr>
      <w:bookmarkStart w:id="20" w:name="_Toc113562260"/>
      <w:r>
        <w:rPr>
          <w:rFonts w:ascii="楷体_GB2312" w:eastAsia="楷体_GB2312" w:hAnsi="仿宋" w:hint="eastAsia"/>
        </w:rPr>
        <w:t>（二）项目管理水平</w:t>
      </w:r>
      <w:bookmarkEnd w:id="20"/>
    </w:p>
    <w:p>
      <w:pPr>
        <w:spacing w:line="360" w:lineRule="auto"/>
        <w:ind w:firstLine="660"/>
        <w:rPr>
          <w:rFonts w:ascii="仿宋_GB2312" w:eastAsia="仿宋_GB2312" w:hAnsi="仿宋"/>
          <w:bCs/>
          <w:sz w:val="32"/>
          <w:szCs w:val="32"/>
        </w:rPr>
      </w:pPr>
      <w:r>
        <w:rPr>
          <w:rFonts w:ascii="仿宋_GB2312" w:eastAsia="仿宋_GB2312" w:hAnsi="仿宋" w:hint="eastAsia"/>
          <w:sz w:val="32"/>
          <w:szCs w:val="32"/>
        </w:rPr>
        <w:t>项目管理水平指标满分20分，综合评价得分1</w:t>
      </w:r>
      <w:r>
        <w:rPr>
          <w:rFonts w:ascii="仿宋_GB2312" w:eastAsia="仿宋_GB2312" w:hAnsi="仿宋"/>
          <w:sz w:val="32"/>
          <w:szCs w:val="32"/>
        </w:rPr>
        <w:t>3.5</w:t>
      </w:r>
      <w:r>
        <w:rPr>
          <w:rFonts w:ascii="仿宋_GB2312" w:eastAsia="仿宋_GB2312" w:hAnsi="仿宋" w:hint="eastAsia"/>
          <w:sz w:val="32"/>
          <w:szCs w:val="32"/>
        </w:rPr>
        <w:t>分，得分率</w:t>
      </w:r>
      <w:r>
        <w:rPr>
          <w:rFonts w:ascii="仿宋_GB2312" w:eastAsia="仿宋_GB2312" w:hAnsi="仿宋"/>
          <w:sz w:val="32"/>
          <w:szCs w:val="32"/>
        </w:rPr>
        <w:t>67.5</w:t>
      </w:r>
      <w:r>
        <w:rPr>
          <w:rFonts w:ascii="仿宋_GB2312" w:eastAsia="仿宋_GB2312" w:hAnsi="仿宋" w:hint="eastAsia"/>
          <w:sz w:val="32"/>
          <w:szCs w:val="32"/>
        </w:rPr>
        <w:t>%。</w:t>
      </w:r>
      <w:r>
        <w:rPr>
          <w:rFonts w:ascii="仿宋_GB2312" w:eastAsia="仿宋_GB2312" w:hAnsi="仿宋" w:cs="Arial" w:hint="eastAsia"/>
          <w:kern w:val="0"/>
          <w:sz w:val="32"/>
          <w:szCs w:val="32"/>
        </w:rPr>
        <w:t>项目有成立管理科室，资金压减、调减有按照规定办理相关审批手续，</w:t>
      </w:r>
      <w:r>
        <w:rPr>
          <w:rFonts w:ascii="仿宋_GB2312" w:eastAsia="仿宋_GB2312" w:hAnsi="仿宋" w:hint="eastAsia"/>
          <w:bCs/>
          <w:sz w:val="32"/>
          <w:szCs w:val="32"/>
        </w:rPr>
        <w:t>项目年初申报实施项目均按照计划开展，完成计划量100%，另外增加完成了“党学习教育知识长廊宣传”、“强国有我宣传”等项目，项目完成情况较好。存在的不足主要有：一是项目实施方案不够具体，实施管理相关制度不够健全，项目管理情况指标扣2</w:t>
      </w:r>
      <w:r>
        <w:rPr>
          <w:rFonts w:ascii="仿宋_GB2312" w:eastAsia="仿宋_GB2312" w:hAnsi="仿宋"/>
          <w:bCs/>
          <w:sz w:val="32"/>
          <w:szCs w:val="32"/>
        </w:rPr>
        <w:t>.5</w:t>
      </w:r>
      <w:r>
        <w:rPr>
          <w:rFonts w:ascii="仿宋_GB2312" w:eastAsia="仿宋_GB2312" w:hAnsi="仿宋" w:hint="eastAsia"/>
          <w:bCs/>
          <w:sz w:val="32"/>
          <w:szCs w:val="32"/>
        </w:rPr>
        <w:t>分；二是</w:t>
      </w:r>
      <w:bookmarkStart w:id="21" w:name="_Hlk113215511"/>
      <w:r>
        <w:rPr>
          <w:rFonts w:ascii="仿宋_GB2312" w:eastAsia="仿宋_GB2312" w:hAnsi="仿宋" w:hint="eastAsia"/>
          <w:bCs/>
          <w:sz w:val="32"/>
          <w:szCs w:val="32"/>
        </w:rPr>
        <w:t>缺乏部分完工检查或验收的佐证材料</w:t>
      </w:r>
      <w:bookmarkEnd w:id="21"/>
      <w:r>
        <w:rPr>
          <w:rFonts w:ascii="仿宋_GB2312" w:eastAsia="仿宋_GB2312" w:hAnsi="仿宋" w:hint="eastAsia"/>
          <w:bCs/>
          <w:sz w:val="32"/>
          <w:szCs w:val="32"/>
        </w:rPr>
        <w:t>，部分项目完成质量难以考量，项目完成情况指标扣1分；三是无总结项目开展的影响因素及改进情况，项目实施与改进情况指标扣</w:t>
      </w:r>
      <w:r>
        <w:rPr>
          <w:rFonts w:ascii="仿宋_GB2312" w:eastAsia="仿宋_GB2312" w:hAnsi="仿宋"/>
          <w:bCs/>
          <w:sz w:val="32"/>
          <w:szCs w:val="32"/>
        </w:rPr>
        <w:t>3</w:t>
      </w:r>
      <w:r>
        <w:rPr>
          <w:rFonts w:ascii="仿宋_GB2312" w:eastAsia="仿宋_GB2312" w:hAnsi="仿宋" w:hint="eastAsia"/>
          <w:bCs/>
          <w:sz w:val="32"/>
          <w:szCs w:val="32"/>
        </w:rPr>
        <w:t>分。</w:t>
      </w:r>
    </w:p>
    <w:p>
      <w:pPr>
        <w:pStyle w:val="Heading2"/>
        <w:spacing w:before="0" w:after="0" w:line="360" w:lineRule="auto"/>
        <w:ind w:firstLine="420" w:firstLineChars="200"/>
        <w:rPr>
          <w:rFonts w:ascii="楷体_GB2312" w:eastAsia="楷体_GB2312" w:hAnsi="仿宋"/>
        </w:rPr>
      </w:pPr>
      <w:bookmarkStart w:id="22" w:name="_Toc113562261"/>
      <w:r>
        <w:rPr>
          <w:rFonts w:ascii="楷体_GB2312" w:eastAsia="楷体_GB2312" w:hAnsi="仿宋" w:hint="eastAsia"/>
        </w:rPr>
        <w:t>（三）项目开展绩效</w:t>
      </w:r>
      <w:bookmarkEnd w:id="22"/>
    </w:p>
    <w:p>
      <w:pPr>
        <w:ind w:firstLine="420" w:firstLineChars="200"/>
        <w:rPr>
          <w:rFonts w:ascii="仿宋_GB2312" w:eastAsia="仿宋_GB2312" w:hAnsi="仿宋"/>
          <w:sz w:val="32"/>
          <w:szCs w:val="32"/>
        </w:rPr>
      </w:pPr>
      <w:r>
        <w:rPr>
          <w:rFonts w:ascii="仿宋_GB2312" w:eastAsia="仿宋_GB2312" w:hAnsi="仿宋" w:hint="eastAsia"/>
          <w:sz w:val="32"/>
          <w:szCs w:val="32"/>
        </w:rPr>
        <w:t>项目开展绩效指标满分</w:t>
      </w:r>
      <w:r>
        <w:rPr>
          <w:rFonts w:ascii="仿宋_GB2312" w:eastAsia="仿宋_GB2312" w:hAnsi="仿宋"/>
          <w:sz w:val="32"/>
          <w:szCs w:val="32"/>
        </w:rPr>
        <w:t>5</w:t>
      </w:r>
      <w:r>
        <w:rPr>
          <w:rFonts w:ascii="仿宋_GB2312" w:eastAsia="仿宋_GB2312" w:hAnsi="仿宋" w:hint="eastAsia"/>
          <w:sz w:val="32"/>
          <w:szCs w:val="32"/>
        </w:rPr>
        <w:t>0分，综合评价得分</w:t>
      </w:r>
      <w:r>
        <w:rPr>
          <w:rFonts w:ascii="仿宋_GB2312" w:eastAsia="仿宋_GB2312" w:hAnsi="仿宋"/>
          <w:sz w:val="32"/>
          <w:szCs w:val="32"/>
        </w:rPr>
        <w:t>46</w:t>
      </w:r>
      <w:r>
        <w:rPr>
          <w:rFonts w:ascii="仿宋_GB2312" w:eastAsia="仿宋_GB2312" w:hAnsi="仿宋" w:hint="eastAsia"/>
          <w:sz w:val="32"/>
          <w:szCs w:val="32"/>
        </w:rPr>
        <w:t>分，得分率</w:t>
      </w:r>
      <w:r>
        <w:rPr>
          <w:rFonts w:ascii="仿宋_GB2312" w:eastAsia="仿宋_GB2312" w:hAnsi="仿宋"/>
          <w:sz w:val="32"/>
          <w:szCs w:val="32"/>
        </w:rPr>
        <w:t>92</w:t>
      </w:r>
      <w:r>
        <w:rPr>
          <w:rFonts w:ascii="仿宋_GB2312" w:eastAsia="仿宋_GB2312" w:hAnsi="仿宋" w:hint="eastAsia"/>
          <w:sz w:val="32"/>
          <w:szCs w:val="32"/>
        </w:rPr>
        <w:t>%。</w:t>
      </w:r>
      <w:bookmarkStart w:id="23" w:name="_Hlk112677561"/>
      <w:r>
        <w:rPr>
          <w:rFonts w:ascii="仿宋_GB2312" w:eastAsia="仿宋_GB2312" w:hAnsi="仿宋" w:cstheme="majorBidi" w:hint="eastAsia"/>
          <w:bCs/>
          <w:sz w:val="32"/>
          <w:szCs w:val="32"/>
        </w:rPr>
        <w:t>项目评价指标设置能够运用定量指标与定性指标相结合，也结合项目特点设置了个性化的评价指标</w:t>
      </w:r>
      <w:bookmarkEnd w:id="23"/>
      <w:r>
        <w:rPr>
          <w:rFonts w:ascii="仿宋_GB2312" w:eastAsia="仿宋_GB2312" w:hAnsi="仿宋" w:cstheme="majorBidi" w:hint="eastAsia"/>
          <w:bCs/>
          <w:sz w:val="32"/>
          <w:szCs w:val="32"/>
        </w:rPr>
        <w:t>；项目年中无调整绩效目标，无未完成的目标，绩效目标完成程度高，绩效指标总体完成程度较高</w:t>
      </w:r>
      <w:r>
        <w:rPr>
          <w:rFonts w:ascii="仿宋_GB2312" w:eastAsia="仿宋_GB2312" w:hAnsi="仿宋" w:hint="eastAsia"/>
          <w:sz w:val="32"/>
          <w:szCs w:val="32"/>
        </w:rPr>
        <w:t>。存在的不足主要有：一是个别绩效指标评价标准设置偏低，指标设置尚存完善空间，</w:t>
      </w:r>
      <w:r>
        <w:rPr>
          <w:rFonts w:ascii="仿宋_GB2312" w:eastAsia="仿宋_GB2312" w:hAnsi="仿宋" w:cstheme="majorBidi" w:hint="eastAsia"/>
          <w:bCs/>
          <w:sz w:val="32"/>
          <w:szCs w:val="32"/>
        </w:rPr>
        <w:t>评价指标体系的科学性和合理性指标扣2分；二是</w:t>
      </w:r>
      <w:r>
        <w:rPr>
          <w:rFonts w:ascii="仿宋_GB2312" w:eastAsia="仿宋_GB2312" w:hAnsi="仿宋" w:hint="eastAsia"/>
          <w:sz w:val="32"/>
          <w:szCs w:val="32"/>
        </w:rPr>
        <w:t>质量指标、时效指标、社会效益指标和满意度指标的完成情况缺乏相关佐证材料，绩效目标的完成程度指标扣</w:t>
      </w:r>
      <w:r>
        <w:rPr>
          <w:rFonts w:ascii="仿宋_GB2312" w:eastAsia="仿宋_GB2312" w:hAnsi="仿宋"/>
          <w:sz w:val="32"/>
          <w:szCs w:val="32"/>
        </w:rPr>
        <w:t>2</w:t>
      </w:r>
      <w:r>
        <w:rPr>
          <w:rFonts w:ascii="仿宋_GB2312" w:eastAsia="仿宋_GB2312" w:hAnsi="仿宋" w:hint="eastAsia"/>
          <w:sz w:val="32"/>
          <w:szCs w:val="32"/>
        </w:rPr>
        <w:t>分。</w:t>
      </w:r>
    </w:p>
    <w:p>
      <w:pPr>
        <w:pStyle w:val="Heading2"/>
        <w:spacing w:before="0" w:after="0" w:line="360" w:lineRule="auto"/>
        <w:ind w:firstLine="420" w:firstLineChars="200"/>
        <w:rPr>
          <w:rFonts w:ascii="楷体_GB2312" w:eastAsia="楷体_GB2312" w:hAnsi="仿宋"/>
        </w:rPr>
      </w:pPr>
      <w:bookmarkStart w:id="24" w:name="_Toc113562262"/>
      <w:r>
        <w:rPr>
          <w:rFonts w:ascii="楷体_GB2312" w:eastAsia="楷体_GB2312" w:hAnsi="仿宋" w:hint="eastAsia"/>
        </w:rPr>
        <w:t>（四）项目自评组织工作</w:t>
      </w:r>
      <w:bookmarkEnd w:id="24"/>
    </w:p>
    <w:p>
      <w:pPr>
        <w:ind w:firstLine="420" w:firstLineChars="200"/>
        <w:rPr>
          <w:rFonts w:ascii="仿宋_GB2312" w:eastAsia="仿宋_GB2312" w:hAnsi="楷体"/>
          <w:sz w:val="32"/>
          <w:szCs w:val="32"/>
        </w:rPr>
      </w:pPr>
      <w:r>
        <w:rPr>
          <w:rFonts w:ascii="仿宋_GB2312" w:eastAsia="仿宋_GB2312" w:hAnsi="仿宋" w:hint="eastAsia"/>
          <w:sz w:val="32"/>
          <w:szCs w:val="32"/>
        </w:rPr>
        <w:t>项目自评组织工作指标满分</w:t>
      </w:r>
      <w:r>
        <w:rPr>
          <w:rFonts w:ascii="仿宋_GB2312" w:eastAsia="仿宋_GB2312" w:hAnsi="仿宋"/>
          <w:sz w:val="32"/>
          <w:szCs w:val="32"/>
        </w:rPr>
        <w:t>10</w:t>
      </w:r>
      <w:r>
        <w:rPr>
          <w:rFonts w:ascii="仿宋_GB2312" w:eastAsia="仿宋_GB2312" w:hAnsi="仿宋" w:hint="eastAsia"/>
          <w:sz w:val="32"/>
          <w:szCs w:val="32"/>
        </w:rPr>
        <w:t>分，综合评价得分</w:t>
      </w:r>
      <w:r>
        <w:rPr>
          <w:rFonts w:ascii="仿宋_GB2312" w:eastAsia="仿宋_GB2312" w:hAnsi="仿宋"/>
          <w:sz w:val="32"/>
          <w:szCs w:val="32"/>
        </w:rPr>
        <w:t>6.5</w:t>
      </w:r>
      <w:r>
        <w:rPr>
          <w:rFonts w:ascii="仿宋_GB2312" w:eastAsia="仿宋_GB2312" w:hAnsi="仿宋" w:hint="eastAsia"/>
          <w:sz w:val="32"/>
          <w:szCs w:val="32"/>
        </w:rPr>
        <w:t>分，得分率</w:t>
      </w:r>
      <w:r>
        <w:rPr>
          <w:rFonts w:ascii="仿宋_GB2312" w:eastAsia="仿宋_GB2312" w:hAnsi="仿宋"/>
          <w:sz w:val="32"/>
          <w:szCs w:val="32"/>
        </w:rPr>
        <w:t>65</w:t>
      </w:r>
      <w:r>
        <w:rPr>
          <w:rFonts w:ascii="仿宋_GB2312" w:eastAsia="仿宋_GB2312" w:hAnsi="仿宋" w:hint="eastAsia"/>
          <w:sz w:val="32"/>
          <w:szCs w:val="32"/>
        </w:rPr>
        <w:t>%。</w:t>
      </w:r>
      <w:r>
        <w:rPr>
          <w:rFonts w:ascii="仿宋_GB2312" w:eastAsia="仿宋_GB2312" w:hAnsi="楷体" w:hint="eastAsia"/>
          <w:sz w:val="32"/>
          <w:szCs w:val="32"/>
        </w:rPr>
        <w:t>项目单位提供的自评表内容填报基本清晰，佐证材料不够完整，自评工作整体质量一般，自评工作质量指标扣1</w:t>
      </w:r>
      <w:r>
        <w:rPr>
          <w:rFonts w:ascii="仿宋_GB2312" w:eastAsia="仿宋_GB2312" w:hAnsi="楷体"/>
          <w:sz w:val="32"/>
          <w:szCs w:val="32"/>
        </w:rPr>
        <w:t>.5</w:t>
      </w:r>
      <w:r>
        <w:rPr>
          <w:rFonts w:ascii="仿宋_GB2312" w:eastAsia="仿宋_GB2312" w:hAnsi="楷体" w:hint="eastAsia"/>
          <w:sz w:val="32"/>
          <w:szCs w:val="32"/>
        </w:rPr>
        <w:t>分。项目单位对自评工作的重视程度不够高，</w:t>
      </w:r>
      <w:r>
        <w:rPr>
          <w:rFonts w:eastAsia="仿宋_GB2312" w:hint="eastAsia"/>
          <w:sz w:val="32"/>
          <w:szCs w:val="20"/>
        </w:rPr>
        <w:t>无通过自评总结经验以及提出下一步改进工作的意见和建议，自评工作态度指标</w:t>
      </w:r>
      <w:r>
        <w:rPr>
          <w:rFonts w:ascii="仿宋_GB2312" w:eastAsia="仿宋_GB2312" w:hAnsi="楷体" w:hint="eastAsia"/>
          <w:sz w:val="32"/>
          <w:szCs w:val="32"/>
        </w:rPr>
        <w:t>扣</w:t>
      </w:r>
      <w:r>
        <w:rPr>
          <w:rFonts w:ascii="仿宋_GB2312" w:eastAsia="仿宋_GB2312" w:hAnsi="楷体"/>
          <w:sz w:val="32"/>
          <w:szCs w:val="32"/>
        </w:rPr>
        <w:t>2</w:t>
      </w:r>
      <w:r>
        <w:rPr>
          <w:rFonts w:ascii="仿宋_GB2312" w:eastAsia="仿宋_GB2312" w:hAnsi="楷体" w:hint="eastAsia"/>
          <w:sz w:val="32"/>
          <w:szCs w:val="32"/>
        </w:rPr>
        <w:t>分。</w:t>
      </w:r>
    </w:p>
    <w:p>
      <w:pPr>
        <w:ind w:firstLine="420" w:firstLineChars="200"/>
        <w:rPr>
          <w:rFonts w:ascii="仿宋_GB2312" w:eastAsia="仿宋_GB2312" w:hAnsi="楷体"/>
          <w:sz w:val="24"/>
        </w:rPr>
      </w:pPr>
    </w:p>
    <w:p>
      <w:pPr>
        <w:pStyle w:val="Heading1"/>
      </w:pPr>
      <w:bookmarkEnd w:id="19"/>
      <w:bookmarkStart w:id="25" w:name="_Toc113562263"/>
      <w:r>
        <w:rPr>
          <w:rFonts w:hint="eastAsia"/>
        </w:rPr>
        <w:t>四、主要绩效</w:t>
      </w:r>
      <w:bookmarkEnd w:id="25"/>
    </w:p>
    <w:p>
      <w:pPr>
        <w:ind w:firstLine="420" w:firstLineChars="200"/>
        <w:rPr>
          <w:rFonts w:ascii="楷体_GB2312" w:eastAsia="楷体_GB2312"/>
          <w:b/>
          <w:kern w:val="0"/>
          <w:sz w:val="32"/>
          <w:szCs w:val="32"/>
        </w:rPr>
      </w:pPr>
      <w:r>
        <w:rPr>
          <w:rFonts w:ascii="楷体_GB2312" w:eastAsia="楷体_GB2312" w:hint="eastAsia"/>
          <w:b/>
          <w:kern w:val="0"/>
          <w:sz w:val="32"/>
          <w:szCs w:val="32"/>
        </w:rPr>
        <w:t>（一）宣传舆论正面有力再上新台阶，政务信息发布渠道矩阵进一步拓宽</w:t>
      </w:r>
    </w:p>
    <w:p>
      <w:pPr>
        <w:ind w:firstLine="660"/>
        <w:rPr>
          <w:rFonts w:ascii="仿宋_GB2312" w:eastAsia="仿宋_GB2312" w:hAnsi="楷体"/>
          <w:sz w:val="32"/>
          <w:szCs w:val="32"/>
        </w:rPr>
      </w:pPr>
      <w:r>
        <w:rPr>
          <w:rFonts w:ascii="仿宋_GB2312" w:eastAsia="仿宋_GB2312" w:hAnsi="楷体" w:hint="eastAsia"/>
          <w:sz w:val="32"/>
          <w:szCs w:val="32"/>
        </w:rPr>
        <w:t>区委宣传部围绕庆祝中国共产党成立100周年、党史学习教育、创建文明城市、重大项目动工（投产）、疫情防控等主题开展宣传工作。2021年为建党1</w:t>
      </w:r>
      <w:r>
        <w:rPr>
          <w:rFonts w:ascii="仿宋_GB2312" w:eastAsia="仿宋_GB2312" w:hAnsi="楷体"/>
          <w:sz w:val="32"/>
          <w:szCs w:val="32"/>
        </w:rPr>
        <w:t>00</w:t>
      </w:r>
      <w:r>
        <w:rPr>
          <w:rFonts w:ascii="仿宋_GB2312" w:eastAsia="仿宋_GB2312" w:hAnsi="楷体" w:hint="eastAsia"/>
          <w:sz w:val="32"/>
          <w:szCs w:val="32"/>
        </w:rPr>
        <w:t>周年等重大活动布置大型宣传画3</w:t>
      </w:r>
      <w:r>
        <w:rPr>
          <w:rFonts w:ascii="仿宋_GB2312" w:eastAsia="仿宋_GB2312" w:hAnsi="楷体"/>
          <w:sz w:val="32"/>
          <w:szCs w:val="32"/>
        </w:rPr>
        <w:t>0</w:t>
      </w:r>
      <w:r>
        <w:rPr>
          <w:rFonts w:ascii="仿宋_GB2312" w:eastAsia="仿宋_GB2312" w:hAnsi="楷体" w:hint="eastAsia"/>
          <w:sz w:val="32"/>
          <w:szCs w:val="32"/>
        </w:rPr>
        <w:t>个、横幅2</w:t>
      </w:r>
      <w:r>
        <w:rPr>
          <w:rFonts w:ascii="仿宋_GB2312" w:eastAsia="仿宋_GB2312" w:hAnsi="楷体"/>
          <w:sz w:val="32"/>
          <w:szCs w:val="32"/>
        </w:rPr>
        <w:t>000</w:t>
      </w:r>
      <w:r>
        <w:rPr>
          <w:rFonts w:ascii="仿宋_GB2312" w:eastAsia="仿宋_GB2312" w:hAnsi="楷体" w:hint="eastAsia"/>
          <w:sz w:val="32"/>
          <w:szCs w:val="32"/>
        </w:rPr>
        <w:t>条、宣传栏5</w:t>
      </w:r>
      <w:r>
        <w:rPr>
          <w:rFonts w:ascii="仿宋_GB2312" w:eastAsia="仿宋_GB2312" w:hAnsi="楷体"/>
          <w:sz w:val="32"/>
          <w:szCs w:val="32"/>
        </w:rPr>
        <w:t>0</w:t>
      </w:r>
      <w:r>
        <w:rPr>
          <w:rFonts w:ascii="仿宋_GB2312" w:eastAsia="仿宋_GB2312" w:hAnsi="楷体" w:hint="eastAsia"/>
          <w:sz w:val="32"/>
          <w:szCs w:val="32"/>
        </w:rPr>
        <w:t>块，营造了浓厚的社会宣传氛围；在《江门日报》刊载1</w:t>
      </w:r>
      <w:r>
        <w:rPr>
          <w:rFonts w:ascii="仿宋_GB2312" w:eastAsia="仿宋_GB2312" w:hAnsi="楷体"/>
          <w:sz w:val="32"/>
          <w:szCs w:val="32"/>
        </w:rPr>
        <w:t>20</w:t>
      </w:r>
      <w:r>
        <w:rPr>
          <w:rFonts w:ascii="仿宋_GB2312" w:eastAsia="仿宋_GB2312" w:hAnsi="楷体" w:hint="eastAsia"/>
          <w:sz w:val="32"/>
          <w:szCs w:val="32"/>
        </w:rPr>
        <w:t>个版面、与《南方日报》、《南方都市报》等省级媒体合作策划7个专题报道，达到强化正面宣传；委托江门日报社运营推广“江门高新”微信公众号，全年推送约1</w:t>
      </w:r>
      <w:r>
        <w:rPr>
          <w:rFonts w:ascii="仿宋_GB2312" w:eastAsia="仿宋_GB2312" w:hAnsi="楷体"/>
          <w:sz w:val="32"/>
          <w:szCs w:val="32"/>
        </w:rPr>
        <w:t>955</w:t>
      </w:r>
      <w:r>
        <w:rPr>
          <w:rFonts w:ascii="仿宋_GB2312" w:eastAsia="仿宋_GB2312" w:hAnsi="楷体" w:hint="eastAsia"/>
          <w:sz w:val="32"/>
          <w:szCs w:val="32"/>
        </w:rPr>
        <w:t>条微信稿件，通过新媒体宣传形式不断扩大江海声音。其中新华社“七一”重要讲话精神在基层专题采访的“下沙蝶变”登上新华网等中央媒体；南方都市报微信公众号推出江海条漫展示江海区城市品质提升成效，阅读量达到12万；“强国有我”万人传诵青春誓词的新闻登上学习强国全国平台；《民主激活高质量发展》《下沙蝶变系列》《高新区（江海区）文明创建赢得“民心金牌”》等报道被全国人大、新华社、中国高新杂志等国家级媒体转赞、关注。</w:t>
      </w:r>
    </w:p>
    <w:p>
      <w:pPr>
        <w:ind w:firstLine="420" w:firstLineChars="200"/>
        <w:rPr>
          <w:rFonts w:ascii="仿宋_GB2312" w:eastAsia="仿宋_GB2312" w:hAnsi="仿宋" w:cs="Arial"/>
          <w:kern w:val="0"/>
          <w:sz w:val="32"/>
          <w:szCs w:val="32"/>
        </w:rPr>
      </w:pPr>
      <w:r>
        <w:rPr>
          <w:rFonts w:ascii="仿宋_GB2312" w:eastAsia="仿宋_GB2312" w:hAnsi="楷体" w:hint="eastAsia"/>
          <w:sz w:val="32"/>
          <w:szCs w:val="32"/>
        </w:rPr>
        <w:t>新开通“江门高新”视频号、“江海发布”微信公众号，</w:t>
      </w:r>
      <w:bookmarkStart w:id="26" w:name="_Hlk113294292"/>
      <w:r>
        <w:rPr>
          <w:rFonts w:ascii="仿宋_GB2312" w:eastAsia="仿宋_GB2312" w:hAnsi="楷体" w:hint="eastAsia"/>
          <w:sz w:val="32"/>
          <w:szCs w:val="32"/>
        </w:rPr>
        <w:t>进一步拓宽政务信息发布渠道矩阵</w:t>
      </w:r>
      <w:bookmarkEnd w:id="26"/>
      <w:r>
        <w:rPr>
          <w:rFonts w:ascii="仿宋_GB2312" w:eastAsia="仿宋_GB2312" w:hAnsi="楷体" w:hint="eastAsia"/>
          <w:sz w:val="32"/>
          <w:szCs w:val="32"/>
        </w:rPr>
        <w:t>。2</w:t>
      </w:r>
      <w:r>
        <w:rPr>
          <w:rFonts w:ascii="仿宋_GB2312" w:eastAsia="仿宋_GB2312" w:hAnsi="楷体"/>
          <w:sz w:val="32"/>
          <w:szCs w:val="32"/>
        </w:rPr>
        <w:t>021</w:t>
      </w:r>
      <w:r>
        <w:rPr>
          <w:rFonts w:ascii="仿宋_GB2312" w:eastAsia="仿宋_GB2312" w:hAnsi="楷体" w:hint="eastAsia"/>
          <w:sz w:val="32"/>
          <w:szCs w:val="32"/>
        </w:rPr>
        <w:t>年以来，在“江门高新”视频号、抖音账号“看江海”发布短视频近150条。</w:t>
      </w:r>
    </w:p>
    <w:p>
      <w:pPr>
        <w:ind w:firstLine="420" w:firstLineChars="200"/>
        <w:rPr>
          <w:rFonts w:ascii="楷体_GB2312" w:eastAsia="楷体_GB2312"/>
          <w:b/>
          <w:kern w:val="0"/>
          <w:sz w:val="32"/>
          <w:szCs w:val="32"/>
        </w:rPr>
      </w:pPr>
      <w:bookmarkStart w:id="27" w:name="_Hlk112395090"/>
      <w:bookmarkStart w:id="28" w:name="_Hlk73725122"/>
      <w:r>
        <w:rPr>
          <w:rFonts w:ascii="楷体_GB2312" w:eastAsia="楷体_GB2312" w:hint="eastAsia"/>
          <w:b/>
          <w:kern w:val="0"/>
          <w:sz w:val="32"/>
          <w:szCs w:val="32"/>
        </w:rPr>
        <w:t>（二）</w:t>
      </w:r>
      <w:bookmarkEnd w:id="27"/>
      <w:r>
        <w:rPr>
          <w:rFonts w:ascii="楷体_GB2312" w:eastAsia="楷体_GB2312" w:hint="eastAsia"/>
          <w:b/>
          <w:kern w:val="0"/>
          <w:sz w:val="32"/>
          <w:szCs w:val="32"/>
        </w:rPr>
        <w:t>党史学习教育有序推进</w:t>
      </w:r>
    </w:p>
    <w:p>
      <w:pPr>
        <w:ind w:firstLine="420" w:firstLineChars="200"/>
        <w:rPr>
          <w:rFonts w:ascii="仿宋_GB2312" w:eastAsia="仿宋_GB2312" w:hAnsi="仿宋" w:cs="Arial"/>
          <w:kern w:val="0"/>
          <w:sz w:val="32"/>
          <w:szCs w:val="32"/>
        </w:rPr>
      </w:pPr>
      <w:bookmarkEnd w:id="28"/>
      <w:bookmarkStart w:id="29" w:name="_Toc486952628"/>
      <w:r>
        <w:rPr>
          <w:rFonts w:ascii="仿宋_GB2312" w:eastAsia="仿宋_GB2312" w:hAnsi="楷体" w:hint="eastAsia"/>
          <w:sz w:val="32"/>
          <w:szCs w:val="32"/>
        </w:rPr>
        <w:t>开展党史学习教育以来，宣传部牵头组建区委党史学习教育领导小组办公室，先后召开区委党史学习教育领导小组会议6次、区党史学习教育工作推进会8次，举办了红色电影月、“红色光辉”党史知识长廊、打造沉浸式党史学习教育体验馆、全市率先开展“强国有我”万人传诵青春誓词、“青少年心向党”课本剧文化节等活动，策划了江海党建刊物、我为群众办实事主题案例集，统筹推进党史学习教育的各项工作。</w:t>
      </w:r>
    </w:p>
    <w:p>
      <w:pPr>
        <w:ind w:firstLine="420" w:firstLineChars="200"/>
        <w:rPr>
          <w:rFonts w:ascii="仿宋_GB2312" w:eastAsia="仿宋_GB2312" w:hAnsi="仿宋" w:cs="Arial"/>
          <w:kern w:val="0"/>
          <w:sz w:val="24"/>
        </w:rPr>
      </w:pPr>
    </w:p>
    <w:p>
      <w:pPr>
        <w:pStyle w:val="Heading1"/>
      </w:pPr>
      <w:bookmarkStart w:id="30" w:name="_Toc113562264"/>
      <w:r>
        <w:rPr>
          <w:rFonts w:hint="eastAsia"/>
        </w:rPr>
        <w:t>五、存在问题</w:t>
      </w:r>
      <w:bookmarkEnd w:id="30"/>
    </w:p>
    <w:p>
      <w:pPr>
        <w:ind w:firstLine="420" w:firstLineChars="200"/>
        <w:rPr>
          <w:rFonts w:ascii="楷体_GB2312" w:eastAsia="楷体_GB2312"/>
          <w:b/>
          <w:kern w:val="0"/>
          <w:sz w:val="32"/>
          <w:szCs w:val="32"/>
        </w:rPr>
      </w:pPr>
      <w:r>
        <w:rPr>
          <w:rFonts w:ascii="楷体_GB2312" w:eastAsia="楷体_GB2312" w:hint="eastAsia"/>
          <w:b/>
          <w:kern w:val="0"/>
          <w:sz w:val="32"/>
          <w:szCs w:val="32"/>
        </w:rPr>
        <w:t>（一）</w:t>
      </w:r>
      <w:bookmarkStart w:id="31" w:name="_Hlk75772873"/>
      <w:r>
        <w:rPr>
          <w:rFonts w:ascii="楷体_GB2312" w:eastAsia="楷体_GB2312" w:hint="eastAsia"/>
          <w:b/>
          <w:kern w:val="0"/>
          <w:sz w:val="32"/>
          <w:szCs w:val="32"/>
        </w:rPr>
        <w:t>专项资金管理办法不完善，资金支出进度与合同条款相符程度不够高</w:t>
      </w:r>
    </w:p>
    <w:p>
      <w:pPr>
        <w:ind w:firstLine="420" w:firstLineChars="200"/>
        <w:rPr>
          <w:rFonts w:ascii="仿宋_GB2312" w:eastAsia="仿宋_GB2312" w:hAnsi="仿宋"/>
          <w:sz w:val="32"/>
          <w:szCs w:val="32"/>
        </w:rPr>
      </w:pPr>
      <w:bookmarkStart w:id="32" w:name="_Hlk113555490"/>
      <w:r>
        <w:rPr>
          <w:rFonts w:ascii="仿宋_GB2312" w:eastAsia="仿宋_GB2312" w:hAnsi="仿宋" w:cstheme="majorBidi" w:hint="eastAsia"/>
          <w:bCs/>
          <w:sz w:val="32"/>
          <w:szCs w:val="32"/>
        </w:rPr>
        <w:t>项目单位未针对该项目科学合理制定专项资金管理办法，部分项目如“重点项目策划宣传费”、“宣传策划费”的资金支出时间超过合同签订支付时限，项目资金支出进度与合同条款相符程度不够高。</w:t>
      </w:r>
    </w:p>
    <w:p>
      <w:pPr>
        <w:ind w:firstLine="420" w:firstLineChars="200"/>
        <w:rPr>
          <w:rFonts w:ascii="楷体_GB2312" w:eastAsia="楷体_GB2312"/>
          <w:b/>
          <w:kern w:val="0"/>
          <w:sz w:val="32"/>
          <w:szCs w:val="32"/>
        </w:rPr>
      </w:pPr>
      <w:bookmarkEnd w:id="32"/>
      <w:r>
        <w:rPr>
          <w:rFonts w:ascii="楷体_GB2312" w:eastAsia="楷体_GB2312" w:hint="eastAsia"/>
          <w:b/>
          <w:kern w:val="0"/>
          <w:sz w:val="32"/>
          <w:szCs w:val="32"/>
        </w:rPr>
        <w:t>（二）项目管理制度不够健全，</w:t>
      </w:r>
      <w:bookmarkEnd w:id="31"/>
      <w:r>
        <w:rPr>
          <w:rFonts w:ascii="楷体_GB2312" w:eastAsia="楷体_GB2312" w:hint="eastAsia"/>
          <w:b/>
          <w:kern w:val="0"/>
          <w:sz w:val="32"/>
          <w:szCs w:val="32"/>
        </w:rPr>
        <w:t>管理水平有待提高</w:t>
      </w:r>
    </w:p>
    <w:p>
      <w:pPr>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一是项目实施方案不够具体，仅明确了每季度完成的绩效目标，未明确项目实施组织形式等内容，不利于项目工作的具体落实。</w:t>
      </w:r>
    </w:p>
    <w:p>
      <w:pPr>
        <w:ind w:firstLine="420" w:firstLineChars="200"/>
        <w:rPr>
          <w:rFonts w:ascii="仿宋_GB2312" w:eastAsia="仿宋_GB2312" w:hAnsi="仿宋"/>
          <w:sz w:val="32"/>
          <w:szCs w:val="32"/>
        </w:rPr>
      </w:pPr>
      <w:r>
        <w:rPr>
          <w:rFonts w:ascii="仿宋_GB2312" w:eastAsia="仿宋_GB2312" w:hAnsi="仿宋" w:cstheme="majorBidi" w:hint="eastAsia"/>
          <w:bCs/>
          <w:sz w:val="32"/>
          <w:szCs w:val="32"/>
        </w:rPr>
        <w:t>二是项目单位未针对该专项制定建立</w:t>
      </w:r>
      <w:r>
        <w:rPr>
          <w:rFonts w:ascii="仿宋_GB2312" w:eastAsia="仿宋_GB2312" w:hAnsi="仿宋" w:hint="eastAsia"/>
          <w:sz w:val="32"/>
          <w:szCs w:val="32"/>
        </w:rPr>
        <w:t>项目实施管理办法或保障措施，不利于项目实施过程中风险的控制。</w:t>
      </w:r>
    </w:p>
    <w:p>
      <w:pPr>
        <w:ind w:firstLine="420" w:firstLineChars="200"/>
        <w:rPr>
          <w:rFonts w:ascii="仿宋_GB2312" w:eastAsia="仿宋_GB2312" w:hAnsi="仿宋"/>
          <w:sz w:val="32"/>
          <w:szCs w:val="32"/>
        </w:rPr>
      </w:pPr>
      <w:r>
        <w:rPr>
          <w:rFonts w:ascii="仿宋_GB2312" w:eastAsia="仿宋_GB2312" w:hAnsi="仿宋" w:hint="eastAsia"/>
          <w:sz w:val="32"/>
          <w:szCs w:val="32"/>
        </w:rPr>
        <w:t>三是</w:t>
      </w:r>
      <w:r>
        <w:rPr>
          <w:rFonts w:ascii="仿宋_GB2312" w:eastAsia="仿宋_GB2312" w:hAnsi="仿宋" w:hint="eastAsia"/>
          <w:bCs/>
          <w:sz w:val="32"/>
          <w:szCs w:val="32"/>
        </w:rPr>
        <w:t>部分项目缺乏相关完工检查或验收的佐证材料，不利于绩效评价项目完成的质量情况</w:t>
      </w:r>
      <w:r>
        <w:rPr>
          <w:rFonts w:ascii="仿宋_GB2312" w:eastAsia="仿宋_GB2312" w:hAnsi="仿宋" w:hint="eastAsia"/>
          <w:sz w:val="32"/>
          <w:szCs w:val="32"/>
        </w:rPr>
        <w:t>。</w:t>
      </w:r>
    </w:p>
    <w:p>
      <w:pPr>
        <w:ind w:firstLine="420" w:firstLineChars="200"/>
        <w:rPr>
          <w:rFonts w:ascii="仿宋_GB2312" w:eastAsia="仿宋_GB2312" w:hAnsi="仿宋"/>
          <w:sz w:val="32"/>
          <w:szCs w:val="32"/>
        </w:rPr>
      </w:pPr>
      <w:r>
        <w:rPr>
          <w:rFonts w:ascii="仿宋_GB2312" w:eastAsia="仿宋_GB2312" w:hAnsi="仿宋" w:hint="eastAsia"/>
          <w:sz w:val="32"/>
          <w:szCs w:val="32"/>
        </w:rPr>
        <w:t>四是合同管理严谨性方面有待加强。个别合同存在没有填写签署日期的情况，合同履行过程中容易由此引发纠纷，造成不必要的损失。</w:t>
      </w:r>
    </w:p>
    <w:p>
      <w:pPr>
        <w:ind w:firstLine="420" w:firstLineChars="200"/>
        <w:rPr>
          <w:rFonts w:ascii="仿宋_GB2312" w:eastAsia="仿宋_GB2312" w:hAnsi="仿宋"/>
          <w:sz w:val="32"/>
          <w:szCs w:val="32"/>
        </w:rPr>
      </w:pPr>
      <w:r>
        <w:rPr>
          <w:rFonts w:ascii="仿宋_GB2312" w:eastAsia="仿宋_GB2312" w:hAnsi="仿宋" w:hint="eastAsia"/>
          <w:sz w:val="32"/>
          <w:szCs w:val="32"/>
        </w:rPr>
        <w:t>五是未对项目开展的影响因素以及改进情况进行总结，不利于下一步工作的开展。</w:t>
      </w:r>
    </w:p>
    <w:p>
      <w:pPr>
        <w:ind w:firstLine="420" w:firstLineChars="200"/>
        <w:rPr>
          <w:rFonts w:ascii="楷体_GB2312" w:eastAsia="楷体_GB2312"/>
          <w:b/>
          <w:kern w:val="0"/>
          <w:sz w:val="32"/>
          <w:szCs w:val="32"/>
        </w:rPr>
      </w:pPr>
      <w:r>
        <w:rPr>
          <w:rFonts w:ascii="楷体_GB2312" w:eastAsia="楷体_GB2312" w:hint="eastAsia"/>
          <w:b/>
          <w:kern w:val="0"/>
          <w:sz w:val="32"/>
          <w:szCs w:val="32"/>
        </w:rPr>
        <w:t>（三）个别绩效指标评价标准设置偏低，指标设置尚存完善空间</w:t>
      </w:r>
    </w:p>
    <w:p>
      <w:pPr>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在绩效指标设置方面，项目绩效指标设置能够运用定量指标与定性指标相结合，也结合项目特点设置了个性化的绩效指标，但指标设置的完整性稍有不足，未能全面反映项目实施效果。个别指标评价标准设置偏低，如政策知晓率设置为80%，而江门市预算绩效指标体系汇编（2020年版）该指标为≥90，又如群众满意度设置为80%，而江门市预算绩效指标体系汇编（2020年版）该指标为≥95。</w:t>
      </w:r>
    </w:p>
    <w:p>
      <w:pPr>
        <w:ind w:firstLine="420" w:firstLineChars="200"/>
        <w:rPr>
          <w:rFonts w:ascii="楷体_GB2312" w:eastAsia="楷体_GB2312"/>
          <w:b/>
          <w:kern w:val="0"/>
          <w:sz w:val="32"/>
          <w:szCs w:val="32"/>
        </w:rPr>
      </w:pPr>
      <w:r>
        <w:rPr>
          <w:rFonts w:ascii="楷体_GB2312" w:eastAsia="楷体_GB2312" w:hint="eastAsia"/>
          <w:b/>
          <w:kern w:val="0"/>
          <w:sz w:val="32"/>
          <w:szCs w:val="32"/>
        </w:rPr>
        <w:t>（四）佐证材料完整性不够高，自评工作组织管理有待提升</w:t>
      </w:r>
    </w:p>
    <w:p>
      <w:pPr>
        <w:ind w:firstLine="420" w:firstLineChars="200"/>
        <w:rPr>
          <w:rFonts w:eastAsia="仿宋_GB2312"/>
          <w:sz w:val="32"/>
          <w:szCs w:val="20"/>
        </w:rPr>
      </w:pPr>
      <w:r>
        <w:rPr>
          <w:rFonts w:eastAsia="仿宋_GB2312" w:hint="eastAsia"/>
          <w:sz w:val="32"/>
          <w:szCs w:val="20"/>
        </w:rPr>
        <w:t>一是质量指标、时效指标、社会效益指标和满意度指标的完成情况以及</w:t>
      </w:r>
      <w:r>
        <w:rPr>
          <w:rFonts w:ascii="仿宋_GB2312" w:eastAsia="仿宋_GB2312" w:hAnsi="仿宋" w:hint="eastAsia"/>
          <w:bCs/>
          <w:sz w:val="32"/>
          <w:szCs w:val="32"/>
        </w:rPr>
        <w:t>部分项目完工检查验收情况缺乏佐证材料，</w:t>
      </w:r>
      <w:r>
        <w:rPr>
          <w:rFonts w:eastAsia="仿宋_GB2312" w:hint="eastAsia"/>
          <w:sz w:val="32"/>
          <w:szCs w:val="20"/>
        </w:rPr>
        <w:t>佐证材料完整性不够高。</w:t>
      </w:r>
    </w:p>
    <w:p>
      <w:pPr>
        <w:ind w:firstLine="420" w:firstLineChars="200"/>
        <w:rPr>
          <w:rFonts w:eastAsia="仿宋_GB2312"/>
          <w:sz w:val="32"/>
          <w:szCs w:val="20"/>
        </w:rPr>
      </w:pPr>
      <w:r>
        <w:rPr>
          <w:rFonts w:eastAsia="仿宋_GB2312" w:hint="eastAsia"/>
          <w:sz w:val="32"/>
          <w:szCs w:val="20"/>
        </w:rPr>
        <w:t>二是项目单位对自评组织工作的重视程度不够高，无通过自评总结经验以及提出下一步改进工作的意见和建议，自评工作组织管理有待提升。</w:t>
      </w:r>
    </w:p>
    <w:p>
      <w:pPr>
        <w:rPr>
          <w:rFonts w:eastAsia="仿宋_GB2312"/>
          <w:sz w:val="24"/>
          <w:szCs w:val="16"/>
        </w:rPr>
      </w:pPr>
    </w:p>
    <w:p>
      <w:pPr>
        <w:pStyle w:val="Heading1"/>
      </w:pPr>
      <w:bookmarkStart w:id="33" w:name="_Toc113562265"/>
      <w:r>
        <w:rPr>
          <w:rFonts w:hint="eastAsia"/>
        </w:rPr>
        <w:t>六、相关建议</w:t>
      </w:r>
      <w:bookmarkEnd w:id="29"/>
      <w:bookmarkEnd w:id="33"/>
    </w:p>
    <w:p>
      <w:pPr>
        <w:ind w:firstLine="420" w:firstLineChars="200"/>
        <w:rPr>
          <w:rFonts w:ascii="楷体_GB2312" w:eastAsia="楷体_GB2312"/>
          <w:b/>
          <w:kern w:val="0"/>
          <w:sz w:val="32"/>
          <w:szCs w:val="32"/>
        </w:rPr>
      </w:pPr>
      <w:bookmarkStart w:id="34" w:name="_Toc43281458"/>
      <w:bookmarkStart w:id="35" w:name="_Toc74936077"/>
      <w:bookmarkStart w:id="36" w:name="_Toc75018718"/>
      <w:bookmarkStart w:id="37" w:name="_Toc75195219"/>
      <w:r>
        <w:rPr>
          <w:rFonts w:ascii="楷体_GB2312" w:eastAsia="楷体_GB2312" w:hint="eastAsia"/>
          <w:b/>
          <w:kern w:val="0"/>
          <w:sz w:val="32"/>
          <w:szCs w:val="32"/>
        </w:rPr>
        <w:t>（一）</w:t>
      </w:r>
      <w:bookmarkStart w:id="38" w:name="_Hlk75772913"/>
      <w:r>
        <w:rPr>
          <w:rFonts w:ascii="楷体_GB2312" w:eastAsia="楷体_GB2312" w:hint="eastAsia"/>
          <w:b/>
          <w:kern w:val="0"/>
          <w:sz w:val="32"/>
          <w:szCs w:val="32"/>
        </w:rPr>
        <w:t>充分发掘并有效利用宣传效果显著的传播方式，提高宣传效果</w:t>
      </w:r>
    </w:p>
    <w:p>
      <w:pPr>
        <w:ind w:firstLine="420" w:firstLineChars="200"/>
        <w:rPr>
          <w:rFonts w:eastAsia="仿宋_GB2312"/>
          <w:sz w:val="32"/>
          <w:szCs w:val="20"/>
        </w:rPr>
      </w:pPr>
      <w:r>
        <w:rPr>
          <w:rFonts w:eastAsia="仿宋_GB2312" w:hint="eastAsia"/>
          <w:sz w:val="32"/>
          <w:szCs w:val="20"/>
        </w:rPr>
        <w:t>除传统宣传方式外，要充分发掘并有效利用新的媒体传播方式，主动发掘新的受众群体多的传播形式，比如可在区内各单位、企业、学校等展开专题知识竞赛，联动文联及各艺术团体，以国家新政策、新去向进行专题的宣传，提高宣传效果。</w:t>
      </w:r>
    </w:p>
    <w:p>
      <w:pPr>
        <w:ind w:firstLine="420" w:firstLineChars="200"/>
        <w:rPr>
          <w:rFonts w:ascii="楷体_GB2312" w:eastAsia="楷体_GB2312"/>
          <w:b/>
          <w:spacing w:val="-4"/>
          <w:kern w:val="0"/>
          <w:sz w:val="32"/>
          <w:szCs w:val="32"/>
        </w:rPr>
      </w:pPr>
      <w:r>
        <w:rPr>
          <w:rFonts w:ascii="楷体_GB2312" w:eastAsia="楷体_GB2312" w:hint="eastAsia"/>
          <w:b/>
          <w:spacing w:val="-4"/>
          <w:kern w:val="0"/>
          <w:sz w:val="32"/>
          <w:szCs w:val="32"/>
        </w:rPr>
        <w:t>（二）制定专项资金管理办法，加强资金管理及制度落实</w:t>
      </w:r>
    </w:p>
    <w:p>
      <w:pPr>
        <w:ind w:firstLine="420" w:firstLineChars="200"/>
        <w:rPr>
          <w:rFonts w:eastAsia="仿宋_GB2312"/>
          <w:sz w:val="32"/>
          <w:szCs w:val="20"/>
        </w:rPr>
      </w:pPr>
      <w:r>
        <w:rPr>
          <w:rFonts w:eastAsia="仿宋_GB2312" w:hint="eastAsia"/>
          <w:sz w:val="32"/>
          <w:szCs w:val="20"/>
        </w:rPr>
        <w:t>建议项目单位针对该项目制定专项资金管理办法，</w:t>
      </w:r>
      <w:bookmarkStart w:id="39" w:name="_Hlk113555932"/>
      <w:r>
        <w:rPr>
          <w:rFonts w:eastAsia="仿宋_GB2312" w:hint="eastAsia"/>
          <w:sz w:val="32"/>
          <w:szCs w:val="20"/>
        </w:rPr>
        <w:t>加强资金管理及制度落实</w:t>
      </w:r>
      <w:bookmarkEnd w:id="39"/>
      <w:r>
        <w:rPr>
          <w:rFonts w:eastAsia="仿宋_GB2312" w:hint="eastAsia"/>
          <w:sz w:val="32"/>
          <w:szCs w:val="20"/>
        </w:rPr>
        <w:t>，提高资金支出进度与合同等有关规定的相符程度，确保资金使用规范、安全高效。</w:t>
      </w:r>
    </w:p>
    <w:p>
      <w:pPr>
        <w:ind w:firstLine="420" w:firstLineChars="200"/>
        <w:rPr>
          <w:rFonts w:ascii="楷体_GB2312" w:eastAsia="楷体_GB2312"/>
          <w:b/>
          <w:spacing w:val="-4"/>
          <w:kern w:val="0"/>
          <w:sz w:val="32"/>
          <w:szCs w:val="32"/>
        </w:rPr>
      </w:pPr>
      <w:r>
        <w:rPr>
          <w:rFonts w:ascii="楷体_GB2312" w:eastAsia="楷体_GB2312" w:hint="eastAsia"/>
          <w:b/>
          <w:spacing w:val="-4"/>
          <w:kern w:val="0"/>
          <w:sz w:val="32"/>
          <w:szCs w:val="32"/>
        </w:rPr>
        <w:t>（三）以制度建设和落实为抓手，稳步提升项目管理水平</w:t>
      </w:r>
    </w:p>
    <w:p>
      <w:pPr>
        <w:ind w:firstLine="420" w:firstLineChars="200"/>
        <w:rPr>
          <w:rFonts w:eastAsia="仿宋_GB2312"/>
          <w:sz w:val="32"/>
          <w:szCs w:val="20"/>
        </w:rPr>
      </w:pPr>
      <w:bookmarkEnd w:id="34"/>
      <w:bookmarkEnd w:id="35"/>
      <w:bookmarkEnd w:id="36"/>
      <w:bookmarkEnd w:id="37"/>
      <w:bookmarkEnd w:id="38"/>
      <w:r>
        <w:rPr>
          <w:rFonts w:eastAsia="仿宋_GB2312" w:hint="eastAsia"/>
          <w:sz w:val="32"/>
          <w:szCs w:val="20"/>
        </w:rPr>
        <w:t>一是建议项目实施前制定具体的实施方案，细化工作措施、方法步骤，确保工作落到实处，为项目的顺利实施提供指导和保障。</w:t>
      </w:r>
      <w:r>
        <w:rPr>
          <w:rFonts w:eastAsia="仿宋_GB2312"/>
          <w:sz w:val="32"/>
          <w:szCs w:val="20"/>
        </w:rPr>
        <w:t xml:space="preserve"> </w:t>
      </w:r>
    </w:p>
    <w:p>
      <w:pPr>
        <w:ind w:firstLine="420" w:firstLineChars="200"/>
        <w:rPr>
          <w:rFonts w:eastAsia="仿宋_GB2312"/>
          <w:sz w:val="32"/>
          <w:szCs w:val="20"/>
        </w:rPr>
      </w:pPr>
      <w:r>
        <w:rPr>
          <w:rFonts w:eastAsia="仿宋_GB2312" w:hint="eastAsia"/>
          <w:sz w:val="32"/>
          <w:szCs w:val="20"/>
        </w:rPr>
        <w:t>二是建议逐步建立健全的项目实施管理</w:t>
      </w:r>
      <w:r>
        <w:rPr>
          <w:rFonts w:ascii="仿宋_GB2312" w:eastAsia="仿宋_GB2312" w:hAnsi="仿宋" w:cstheme="majorBidi" w:hint="eastAsia"/>
          <w:bCs/>
          <w:sz w:val="32"/>
          <w:szCs w:val="32"/>
        </w:rPr>
        <w:t>相关制度</w:t>
      </w:r>
      <w:r>
        <w:rPr>
          <w:rFonts w:eastAsia="仿宋_GB2312" w:hint="eastAsia"/>
          <w:sz w:val="32"/>
          <w:szCs w:val="20"/>
        </w:rPr>
        <w:t>，从而做到项目管理过程中有章可循、有据可依。</w:t>
      </w:r>
    </w:p>
    <w:p>
      <w:pPr>
        <w:ind w:firstLine="420" w:firstLineChars="200"/>
        <w:rPr>
          <w:rFonts w:eastAsia="仿宋_GB2312"/>
          <w:sz w:val="32"/>
          <w:szCs w:val="20"/>
        </w:rPr>
      </w:pPr>
      <w:r>
        <w:rPr>
          <w:rFonts w:eastAsia="仿宋_GB2312" w:hint="eastAsia"/>
          <w:sz w:val="32"/>
          <w:szCs w:val="20"/>
        </w:rPr>
        <w:t>三是建议根据各类型项目制定对应的完工检查或验收机制，以保障项目实施质量，并对完工检查或验收资料进行整理、归档，以利于绩效评价项目完成质量。</w:t>
      </w:r>
    </w:p>
    <w:p>
      <w:pPr>
        <w:ind w:firstLine="420" w:firstLineChars="200"/>
        <w:rPr>
          <w:rFonts w:ascii="仿宋_GB2312" w:eastAsia="仿宋_GB2312" w:hAnsi="仿宋"/>
          <w:sz w:val="32"/>
          <w:szCs w:val="32"/>
        </w:rPr>
      </w:pPr>
      <w:r>
        <w:rPr>
          <w:rFonts w:ascii="仿宋_GB2312" w:eastAsia="仿宋_GB2312" w:hAnsi="仿宋" w:hint="eastAsia"/>
          <w:sz w:val="32"/>
          <w:szCs w:val="32"/>
        </w:rPr>
        <w:t>四是建议加强合同管理，增强人员的合同管理和风险防范意识，避免合同履行过程中引发纠纷而造成不必要的损失。</w:t>
      </w:r>
    </w:p>
    <w:p>
      <w:pPr>
        <w:ind w:firstLine="420" w:firstLineChars="200"/>
        <w:rPr>
          <w:rFonts w:ascii="仿宋_GB2312" w:eastAsia="仿宋_GB2312" w:hAnsi="仿宋"/>
          <w:sz w:val="32"/>
          <w:szCs w:val="32"/>
        </w:rPr>
      </w:pPr>
      <w:r>
        <w:rPr>
          <w:rFonts w:ascii="仿宋_GB2312" w:eastAsia="仿宋_GB2312" w:hAnsi="仿宋" w:hint="eastAsia"/>
          <w:sz w:val="32"/>
          <w:szCs w:val="32"/>
        </w:rPr>
        <w:t>五是建议总结项目开展的影响因素，以利于及时发现问题，并找到改进的措施。</w:t>
      </w:r>
    </w:p>
    <w:p>
      <w:pPr>
        <w:ind w:firstLine="420" w:firstLineChars="200"/>
        <w:rPr>
          <w:rFonts w:ascii="楷体_GB2312" w:eastAsia="楷体_GB2312"/>
          <w:b/>
          <w:kern w:val="0"/>
          <w:sz w:val="32"/>
          <w:szCs w:val="32"/>
        </w:rPr>
      </w:pPr>
      <w:bookmarkStart w:id="40" w:name="_Toc75018720"/>
      <w:bookmarkStart w:id="41" w:name="_Toc74936079"/>
      <w:bookmarkStart w:id="42" w:name="_Toc75195221"/>
      <w:bookmarkStart w:id="43" w:name="_Toc43281460"/>
      <w:r>
        <w:rPr>
          <w:rFonts w:ascii="楷体_GB2312" w:eastAsia="楷体_GB2312" w:hint="eastAsia"/>
          <w:b/>
          <w:kern w:val="0"/>
          <w:sz w:val="32"/>
          <w:szCs w:val="32"/>
        </w:rPr>
        <w:t>（四）</w:t>
      </w:r>
      <w:bookmarkEnd w:id="40"/>
      <w:bookmarkEnd w:id="41"/>
      <w:bookmarkEnd w:id="42"/>
      <w:bookmarkEnd w:id="43"/>
      <w:r>
        <w:rPr>
          <w:rFonts w:ascii="楷体_GB2312" w:eastAsia="楷体_GB2312" w:hint="eastAsia"/>
          <w:b/>
          <w:kern w:val="0"/>
          <w:sz w:val="32"/>
          <w:szCs w:val="32"/>
        </w:rPr>
        <w:t>重视绩效目标设置，提高绩效目标设置的科学性</w:t>
      </w:r>
    </w:p>
    <w:p>
      <w:pPr>
        <w:ind w:firstLine="420" w:firstLineChars="200"/>
        <w:rPr>
          <w:rFonts w:ascii="仿宋_GB2312" w:eastAsia="仿宋_GB2312" w:hAnsi="仿宋"/>
          <w:sz w:val="32"/>
          <w:szCs w:val="32"/>
        </w:rPr>
      </w:pPr>
      <w:r>
        <w:rPr>
          <w:rFonts w:ascii="仿宋_GB2312" w:eastAsia="仿宋_GB2312" w:hAnsi="仿宋" w:hint="eastAsia"/>
          <w:sz w:val="32"/>
          <w:szCs w:val="32"/>
        </w:rPr>
        <w:t>对项目单位来说，绩效目标既是使用财政资金的承诺，也是做实项目的指引和工具，项目单位应重视项目绩效目标的设置。</w:t>
      </w:r>
    </w:p>
    <w:p>
      <w:pPr>
        <w:ind w:firstLine="420" w:firstLineChars="200"/>
        <w:rPr>
          <w:rFonts w:ascii="仿宋_GB2312" w:eastAsia="仿宋_GB2312" w:hAnsi="仿宋" w:cstheme="majorBidi"/>
          <w:bCs/>
          <w:sz w:val="32"/>
          <w:szCs w:val="32"/>
        </w:rPr>
      </w:pPr>
      <w:r>
        <w:rPr>
          <w:rFonts w:ascii="仿宋_GB2312" w:eastAsia="仿宋_GB2312" w:hAnsi="仿宋" w:hint="eastAsia"/>
          <w:sz w:val="32"/>
          <w:szCs w:val="32"/>
        </w:rPr>
        <w:t>一是建议根据项目实施的阶段性计划，评估项目年度内可达成程度，结合项目的总体目标和资金使用范围，从数量、质量、时效、成本、效益、满意度等方面综合衡量预算资金的使用效果，科学设置绩效指标。根据项目特点，</w:t>
      </w:r>
      <w:bookmarkStart w:id="44" w:name="_Hlk113009813"/>
      <w:r>
        <w:rPr>
          <w:rFonts w:ascii="仿宋_GB2312" w:eastAsia="仿宋_GB2312" w:hAnsi="仿宋" w:cstheme="majorBidi" w:hint="eastAsia"/>
          <w:bCs/>
          <w:sz w:val="32"/>
          <w:szCs w:val="32"/>
        </w:rPr>
        <w:t>建议数量指标增设“举办高新新闻奖和优秀通迅员评选活动场次”，社会效益指标增设“传统媒体发行量”和“微信公众号粉丝增长数”；另外已设置的质量指标“‘江门高新’点击量”指标属于效益指标，建议下年设置指标时移至效益指标。</w:t>
      </w:r>
      <w:bookmarkEnd w:id="44"/>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二是建议项目单位设置绩效指标值时可参考省、市的预算绩效指标体系，结合项目往年完成情况，对项目年度预计可完成情况进行充分分析，科学合理的设置目标值，不为容易完成任务而过低设置目标。</w:t>
      </w:r>
    </w:p>
    <w:p>
      <w:pPr>
        <w:ind w:firstLine="420" w:firstLineChars="200"/>
        <w:rPr>
          <w:rFonts w:ascii="楷体_GB2312" w:eastAsia="楷体_GB2312"/>
          <w:b/>
          <w:kern w:val="0"/>
          <w:sz w:val="32"/>
          <w:szCs w:val="32"/>
        </w:rPr>
      </w:pPr>
      <w:r>
        <w:rPr>
          <w:rFonts w:ascii="楷体_GB2312" w:eastAsia="楷体_GB2312" w:hint="eastAsia"/>
          <w:b/>
          <w:kern w:val="0"/>
          <w:sz w:val="32"/>
          <w:szCs w:val="32"/>
        </w:rPr>
        <w:t>（五）增强绩效管理意识，提高自评组织工作质量</w:t>
      </w:r>
    </w:p>
    <w:p>
      <w:pPr>
        <w:ind w:firstLine="420" w:firstLineChars="200"/>
        <w:rPr>
          <w:rFonts w:eastAsia="仿宋_GB2312"/>
          <w:sz w:val="32"/>
          <w:szCs w:val="20"/>
        </w:rPr>
      </w:pPr>
      <w:r>
        <w:rPr>
          <w:rFonts w:eastAsia="仿宋_GB2312" w:hint="eastAsia"/>
          <w:sz w:val="32"/>
          <w:szCs w:val="20"/>
        </w:rPr>
        <w:t>一是建议开展培训以提升绩效管理认识。加强对预算绩效管理政策学习，准确理解绩效内涵、原理、方法和内容，强化业务管理人员和财务人员的绩效管理理论水平，切实提高对绩效管理的认识。树立预算目标设定——绩效跟踪评价——支出绩效后评价的思维，并将绩效思维融入项目实施的每个环节中，构建完整、完善的全过程绩效管理模式。</w:t>
      </w:r>
    </w:p>
    <w:p>
      <w:pPr>
        <w:ind w:firstLine="420" w:firstLineChars="200"/>
        <w:rPr>
          <w:rFonts w:eastAsia="仿宋_GB2312"/>
          <w:sz w:val="32"/>
          <w:szCs w:val="20"/>
        </w:rPr>
      </w:pPr>
      <w:r>
        <w:rPr>
          <w:rFonts w:eastAsia="仿宋_GB2312" w:hint="eastAsia"/>
          <w:sz w:val="32"/>
          <w:szCs w:val="20"/>
        </w:rPr>
        <w:t>二是建议项目单位重视自评工作的组织，提高自评工作质量。绩效评价管理是一项综合性较强的工作，是财务、项目管理、绩效评价、财政、公共管理等方面的综合。建议在构建形成绩效自评组织管理体系的过程中，由项目单位财务审计科主导，各相关部门协调配合，形成联动，按照“谁支出、谁填报、谁负责”的原则，编制预算绩效评价自评表和自评报告，对项目实施全过程资料进行留档管理，保障绩效评价的准确性、完整性。</w:t>
      </w:r>
    </w:p>
    <w:p>
      <w:pPr>
        <w:ind w:firstLine="420" w:firstLineChars="200"/>
        <w:rPr>
          <w:rFonts w:eastAsia="仿宋_GB2312"/>
          <w:sz w:val="32"/>
          <w:szCs w:val="20"/>
        </w:rPr>
      </w:pPr>
      <w:r>
        <w:rPr>
          <w:rFonts w:eastAsia="仿宋_GB2312" w:hint="eastAsia"/>
          <w:sz w:val="32"/>
          <w:szCs w:val="20"/>
        </w:rPr>
        <w:t>三是建议项目单位通过问卷调查等方式对已设置的质量指标、时效指标、社会效益指标和满意度指标的完成情况进行分析、考量，并妥善保管好相关调查资料。</w:t>
      </w:r>
    </w:p>
    <w:p>
      <w:pPr>
        <w:ind w:firstLine="420" w:firstLineChars="200"/>
        <w:rPr>
          <w:rFonts w:eastAsia="仿宋_GB2312"/>
          <w:sz w:val="32"/>
          <w:szCs w:val="20"/>
        </w:rPr>
      </w:pPr>
      <w:r>
        <w:rPr>
          <w:rFonts w:eastAsia="仿宋_GB2312" w:hint="eastAsia"/>
          <w:sz w:val="32"/>
          <w:szCs w:val="20"/>
        </w:rPr>
        <w:t>四是建议项目单位及时进行自评总结经验，以便更好的开展下一步工作。</w:t>
      </w:r>
    </w:p>
    <w:p>
      <w:pPr>
        <w:pStyle w:val="Heading1"/>
        <w:ind w:firstLine="442"/>
        <w:jc w:val="center"/>
        <w:rPr>
          <w:sz w:val="44"/>
          <w:szCs w:val="44"/>
        </w:rPr>
      </w:pPr>
      <w:bookmarkStart w:id="45" w:name="_Toc113562266"/>
      <w:r>
        <w:rPr>
          <w:rFonts w:hint="eastAsia"/>
          <w:sz w:val="44"/>
          <w:szCs w:val="44"/>
        </w:rPr>
        <w:t>第二部分 分析报告</w:t>
      </w:r>
      <w:bookmarkEnd w:id="45"/>
    </w:p>
    <w:p>
      <w:pPr>
        <w:spacing w:line="560" w:lineRule="exact"/>
        <w:jc w:val="left"/>
        <w:rPr>
          <w:rFonts w:ascii="仿宋_GB2312" w:eastAsia="仿宋_GB2312" w:hAnsi="仿宋" w:cstheme="minorBidi"/>
          <w:sz w:val="32"/>
          <w:szCs w:val="32"/>
        </w:rPr>
      </w:pPr>
    </w:p>
    <w:p>
      <w:pPr>
        <w:pStyle w:val="Heading1"/>
      </w:pPr>
      <w:bookmarkStart w:id="46" w:name="_Toc113562267"/>
      <w:r>
        <w:rPr>
          <w:rFonts w:hint="eastAsia"/>
        </w:rPr>
        <w:t>一、基本情况</w:t>
      </w:r>
      <w:bookmarkEnd w:id="46"/>
    </w:p>
    <w:p>
      <w:pPr>
        <w:pStyle w:val="Heading2"/>
        <w:spacing w:before="0" w:after="0" w:line="360" w:lineRule="auto"/>
        <w:ind w:firstLine="420" w:firstLineChars="200"/>
        <w:rPr>
          <w:rFonts w:ascii="楷体_GB2312" w:eastAsia="楷体_GB2312" w:hAnsi="仿宋"/>
        </w:rPr>
      </w:pPr>
      <w:bookmarkStart w:id="47" w:name="_Toc113562268"/>
      <w:r>
        <w:rPr>
          <w:rFonts w:ascii="楷体_GB2312" w:eastAsia="楷体_GB2312" w:hAnsi="仿宋" w:hint="eastAsia"/>
        </w:rPr>
        <w:t>（一）专项背景</w:t>
      </w:r>
      <w:bookmarkEnd w:id="47"/>
    </w:p>
    <w:p>
      <w:pPr>
        <w:pStyle w:val="ListParagraph"/>
        <w:spacing w:line="360" w:lineRule="auto"/>
        <w:ind w:firstLine="640"/>
        <w:rPr>
          <w:rFonts w:ascii="仿宋_GB2312" w:eastAsia="仿宋_GB2312" w:hAnsi="楷体"/>
          <w:sz w:val="32"/>
          <w:szCs w:val="32"/>
        </w:rPr>
      </w:pPr>
      <w:r>
        <w:rPr>
          <w:rFonts w:ascii="仿宋_GB2312" w:eastAsia="仿宋_GB2312" w:hAnsi="楷体" w:hint="eastAsia"/>
          <w:sz w:val="32"/>
          <w:szCs w:val="32"/>
        </w:rPr>
        <w:t>宣传业务经费（含国防教育）项目依据江海区委宣传部三定方案及《中国共产党宣传工作条例》等文件立项，由区委宣传部实施，针对“十四五规划”、“建党100周年”等重大主题以及围绕江海区民生、城建、动工等重大活动开展宣传工作，目的是广泛宣传江海区在推进“三区并进、三业融合”协调发展新格局、坚定不移推动高质量发展、加强保障和改善民生等方面的新举措、新成就。</w:t>
      </w:r>
    </w:p>
    <w:p>
      <w:pPr>
        <w:pStyle w:val="Heading2"/>
        <w:spacing w:before="0" w:after="0" w:line="360" w:lineRule="auto"/>
        <w:ind w:firstLine="420" w:firstLineChars="200"/>
        <w:rPr>
          <w:rFonts w:ascii="楷体_GB2312" w:eastAsia="楷体_GB2312" w:hAnsi="仿宋"/>
        </w:rPr>
      </w:pPr>
      <w:bookmarkStart w:id="48" w:name="_Toc113562269"/>
      <w:r>
        <w:rPr>
          <w:rFonts w:ascii="楷体_GB2312" w:eastAsia="楷体_GB2312" w:hAnsi="仿宋" w:hint="eastAsia"/>
        </w:rPr>
        <w:t>（二）资金安排及使用情况</w:t>
      </w:r>
      <w:bookmarkEnd w:id="48"/>
    </w:p>
    <w:p>
      <w:pPr>
        <w:spacing w:line="360" w:lineRule="auto"/>
        <w:ind w:firstLine="420" w:firstLineChars="200"/>
        <w:rPr>
          <w:rFonts w:ascii="仿宋_GB2312" w:eastAsia="仿宋_GB2312" w:hAnsi="楷体"/>
          <w:b/>
          <w:bCs/>
          <w:sz w:val="32"/>
          <w:szCs w:val="32"/>
        </w:rPr>
      </w:pPr>
      <w:r>
        <w:rPr>
          <w:rFonts w:ascii="仿宋_GB2312" w:eastAsia="仿宋_GB2312" w:hAnsi="楷体" w:hint="eastAsia"/>
          <w:b/>
          <w:bCs/>
          <w:sz w:val="32"/>
          <w:szCs w:val="32"/>
        </w:rPr>
        <w:t>1</w:t>
      </w:r>
      <w:r>
        <w:rPr>
          <w:rFonts w:ascii="仿宋_GB2312" w:eastAsia="仿宋_GB2312" w:hAnsi="楷体"/>
          <w:b/>
          <w:bCs/>
          <w:sz w:val="32"/>
          <w:szCs w:val="32"/>
        </w:rPr>
        <w:t>.</w:t>
      </w:r>
      <w:r>
        <w:rPr>
          <w:rFonts w:ascii="仿宋_GB2312" w:eastAsia="仿宋_GB2312" w:hAnsi="楷体" w:hint="eastAsia"/>
          <w:b/>
          <w:bCs/>
          <w:sz w:val="32"/>
          <w:szCs w:val="32"/>
        </w:rPr>
        <w:t>资金安排情况</w:t>
      </w:r>
    </w:p>
    <w:p>
      <w:pPr>
        <w:pStyle w:val="ListParagraph"/>
        <w:spacing w:line="360" w:lineRule="auto"/>
        <w:ind w:firstLine="640"/>
        <w:rPr>
          <w:rFonts w:ascii="仿宋_GB2312" w:eastAsia="仿宋_GB2312" w:hAnsi="楷体"/>
          <w:sz w:val="32"/>
          <w:szCs w:val="32"/>
        </w:rPr>
      </w:pPr>
      <w:r>
        <w:rPr>
          <w:rFonts w:ascii="仿宋_GB2312" w:eastAsia="仿宋_GB2312" w:hAnsi="楷体" w:hint="eastAsia"/>
          <w:sz w:val="32"/>
          <w:szCs w:val="32"/>
        </w:rPr>
        <w:t>2021年度宣传业务经费（含国防教育）年初预算安排资金535.70万元，上年结转资金2.66万元，根据财政对宣传业务经费进行2021年一般性支出压减要求压减0.94万元，2021年底剩余用款计划额度系统批量调减1.85万元，全年预算总安排资金535.57万元，资金安排主要集中在与各类媒体合作进行宣传项目。</w:t>
      </w:r>
    </w:p>
    <w:p>
      <w:pPr>
        <w:spacing w:line="360" w:lineRule="auto"/>
        <w:ind w:firstLine="420" w:firstLineChars="200"/>
        <w:rPr>
          <w:rFonts w:ascii="仿宋_GB2312" w:eastAsia="仿宋_GB2312" w:hAnsi="楷体"/>
          <w:b/>
          <w:bCs/>
          <w:sz w:val="32"/>
          <w:szCs w:val="32"/>
        </w:rPr>
      </w:pPr>
      <w:r>
        <w:rPr>
          <w:rFonts w:ascii="仿宋_GB2312" w:eastAsia="仿宋_GB2312" w:hAnsi="楷体"/>
          <w:b/>
          <w:bCs/>
          <w:sz w:val="32"/>
          <w:szCs w:val="32"/>
        </w:rPr>
        <w:t>2.</w:t>
      </w:r>
      <w:r>
        <w:rPr>
          <w:rFonts w:ascii="仿宋_GB2312" w:eastAsia="仿宋_GB2312" w:hAnsi="楷体" w:hint="eastAsia"/>
          <w:b/>
          <w:bCs/>
          <w:sz w:val="32"/>
          <w:szCs w:val="32"/>
        </w:rPr>
        <w:t>资金使用情况</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（1）资金整体使用情况</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项目2021年实际支出</w:t>
      </w:r>
      <w:r>
        <w:rPr>
          <w:rFonts w:ascii="仿宋_GB2312" w:eastAsia="仿宋_GB2312" w:hAnsi="楷体"/>
          <w:sz w:val="32"/>
          <w:szCs w:val="32"/>
        </w:rPr>
        <w:t>534.95万元</w:t>
      </w:r>
      <w:r>
        <w:rPr>
          <w:rFonts w:ascii="仿宋_GB2312" w:eastAsia="仿宋_GB2312" w:hAnsi="楷体" w:hint="eastAsia"/>
          <w:sz w:val="32"/>
          <w:szCs w:val="32"/>
        </w:rPr>
        <w:t>，整体资金使用率为</w:t>
      </w:r>
      <w:r>
        <w:rPr>
          <w:rFonts w:ascii="仿宋_GB2312" w:eastAsia="仿宋_GB2312" w:hAnsi="楷体"/>
          <w:sz w:val="32"/>
          <w:szCs w:val="32"/>
        </w:rPr>
        <w:t>99.88%</w:t>
      </w:r>
      <w:r>
        <w:rPr>
          <w:rFonts w:ascii="仿宋_GB2312" w:eastAsia="仿宋_GB2312" w:hAnsi="楷体" w:hint="eastAsia"/>
          <w:sz w:val="32"/>
          <w:szCs w:val="32"/>
        </w:rPr>
        <w:t>，资金使用率高。项目年末结余</w:t>
      </w:r>
      <w:r>
        <w:rPr>
          <w:rFonts w:ascii="仿宋_GB2312" w:eastAsia="仿宋_GB2312" w:hAnsi="楷体"/>
          <w:sz w:val="32"/>
          <w:szCs w:val="32"/>
        </w:rPr>
        <w:t>0.62万元</w:t>
      </w:r>
      <w:r>
        <w:rPr>
          <w:rFonts w:ascii="仿宋_GB2312" w:eastAsia="仿宋_GB2312" w:hAnsi="楷体" w:hint="eastAsia"/>
          <w:sz w:val="32"/>
          <w:szCs w:val="32"/>
        </w:rPr>
        <w:t>，资金结余率</w:t>
      </w:r>
      <w:r>
        <w:rPr>
          <w:rFonts w:ascii="仿宋_GB2312" w:eastAsia="仿宋_GB2312" w:hAnsi="楷体"/>
          <w:sz w:val="32"/>
          <w:szCs w:val="32"/>
        </w:rPr>
        <w:t>0.12%</w:t>
      </w:r>
      <w:r>
        <w:rPr>
          <w:rFonts w:ascii="仿宋_GB2312" w:eastAsia="仿宋_GB2312" w:hAnsi="楷体" w:hint="eastAsia"/>
          <w:sz w:val="32"/>
          <w:szCs w:val="32"/>
        </w:rPr>
        <w:t>。项目预算及实际支出情况见表2</w:t>
      </w:r>
      <w:r>
        <w:rPr>
          <w:rFonts w:ascii="仿宋_GB2312" w:eastAsia="仿宋_GB2312" w:hAnsi="楷体"/>
          <w:sz w:val="32"/>
          <w:szCs w:val="32"/>
        </w:rPr>
        <w:t>-1</w:t>
      </w:r>
      <w:r>
        <w:rPr>
          <w:rFonts w:ascii="仿宋_GB2312" w:eastAsia="仿宋_GB2312" w:hAnsi="楷体" w:hint="eastAsia"/>
          <w:sz w:val="32"/>
          <w:szCs w:val="32"/>
        </w:rPr>
        <w:t>。</w:t>
      </w: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1</w:t>
      </w:r>
      <w:r>
        <w:rPr>
          <w:rFonts w:ascii="黑体" w:eastAsia="黑体" w:hAnsi="黑体" w:hint="eastAsia"/>
          <w:sz w:val="28"/>
          <w:szCs w:val="28"/>
        </w:rPr>
        <w:t xml:space="preserve"> </w:t>
      </w:r>
      <w:r>
        <w:rPr>
          <w:rFonts w:ascii="黑体" w:eastAsia="黑体" w:hAnsi="黑体"/>
          <w:sz w:val="28"/>
          <w:szCs w:val="28"/>
        </w:rPr>
        <w:t>2021年</w:t>
      </w:r>
      <w:r>
        <w:rPr>
          <w:rFonts w:ascii="黑体" w:eastAsia="黑体" w:hAnsi="黑体" w:hint="eastAsia"/>
          <w:sz w:val="28"/>
          <w:szCs w:val="28"/>
        </w:rPr>
        <w:t>宣传业务经费（含国防教育）预算及实际支出明细表</w:t>
      </w:r>
    </w:p>
    <w:p>
      <w:pPr>
        <w:spacing w:line="160" w:lineRule="atLeast"/>
        <w:ind w:right="80"/>
        <w:jc w:val="right"/>
        <w:rPr>
          <w:rFonts w:ascii="仿宋_GB2312" w:eastAsia="仿宋_GB2312" w:hAnsi="等线" w:cs="宋体"/>
          <w:b/>
          <w:bCs/>
          <w:kern w:val="0"/>
          <w:sz w:val="24"/>
        </w:rPr>
      </w:pPr>
      <w:r>
        <w:rPr>
          <w:rFonts w:ascii="仿宋_GB2312" w:eastAsia="仿宋_GB2312" w:hAnsi="等线" w:cs="宋体" w:hint="eastAsia"/>
          <w:b/>
          <w:bCs/>
          <w:kern w:val="0"/>
          <w:sz w:val="24"/>
        </w:rPr>
        <w:t>单位：万元</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303"/>
        <w:gridCol w:w="890"/>
        <w:gridCol w:w="742"/>
        <w:gridCol w:w="938"/>
        <w:gridCol w:w="549"/>
        <w:gridCol w:w="742"/>
        <w:gridCol w:w="742"/>
        <w:gridCol w:w="937"/>
        <w:gridCol w:w="983"/>
        <w:gridCol w:w="65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61"/>
          <w:jc w:val="center"/>
        </w:trPr>
        <w:tc>
          <w:tcPr>
            <w:tcW w:w="0" w:type="auto"/>
            <w:vMerge w:val="restart"/>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项目名称</w:t>
            </w:r>
          </w:p>
        </w:tc>
        <w:tc>
          <w:tcPr>
            <w:tcW w:w="0" w:type="auto"/>
            <w:gridSpan w:val="6"/>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预算安排</w:t>
            </w:r>
          </w:p>
        </w:tc>
        <w:tc>
          <w:tcPr>
            <w:tcW w:w="0" w:type="auto"/>
            <w:gridSpan w:val="2"/>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实际支出</w:t>
            </w:r>
          </w:p>
        </w:tc>
        <w:tc>
          <w:tcPr>
            <w:tcW w:w="0" w:type="auto"/>
            <w:vMerge w:val="restart"/>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结余</w:t>
            </w:r>
          </w:p>
        </w:tc>
      </w:tr>
      <w:tr>
        <w:tblPrEx>
          <w:tblW w:w="0" w:type="auto"/>
          <w:jc w:val="center"/>
          <w:tblCellMar>
            <w:top w:w="0" w:type="dxa"/>
            <w:left w:w="108" w:type="dxa"/>
            <w:bottom w:w="0" w:type="dxa"/>
            <w:right w:w="108" w:type="dxa"/>
          </w:tblCellMar>
        </w:tblPrEx>
        <w:trPr>
          <w:trHeight w:val="712"/>
          <w:jc w:val="center"/>
        </w:trPr>
        <w:tc>
          <w:tcPr>
            <w:tcW w:w="0" w:type="auto"/>
            <w:vMerge/>
            <w:shd w:val="clear" w:color="auto" w:fill="D8D8D8" w:themeFill="background1" w:themeFillShade="D9"/>
            <w:tcMar>
              <w:left w:w="85" w:type="dxa"/>
              <w:right w:w="85" w:type="dxa"/>
            </w:tcMar>
            <w:vAlign w:val="center"/>
          </w:tcPr>
          <w:p>
            <w:pPr>
              <w:widowControl/>
              <w:jc w:val="left"/>
              <w:rPr>
                <w:rFonts w:ascii="仿宋_GB2312" w:eastAsia="仿宋_GB2312" w:hAnsi="等线" w:cs="宋体"/>
                <w:b/>
                <w:bCs/>
                <w:kern w:val="0"/>
                <w:sz w:val="24"/>
              </w:rPr>
            </w:pPr>
          </w:p>
        </w:tc>
        <w:tc>
          <w:tcPr>
            <w:tcW w:w="0" w:type="auto"/>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合计</w:t>
            </w:r>
          </w:p>
        </w:tc>
        <w:tc>
          <w:tcPr>
            <w:tcW w:w="0" w:type="auto"/>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上年结转</w:t>
            </w:r>
          </w:p>
        </w:tc>
        <w:tc>
          <w:tcPr>
            <w:tcW w:w="937" w:type="dxa"/>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年初预算</w:t>
            </w:r>
          </w:p>
        </w:tc>
        <w:tc>
          <w:tcPr>
            <w:tcW w:w="549" w:type="dxa"/>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年中追加</w:t>
            </w:r>
          </w:p>
        </w:tc>
        <w:tc>
          <w:tcPr>
            <w:tcW w:w="0" w:type="auto"/>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年中压减</w:t>
            </w:r>
          </w:p>
        </w:tc>
        <w:tc>
          <w:tcPr>
            <w:tcW w:w="0" w:type="auto"/>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年中调减</w:t>
            </w:r>
          </w:p>
        </w:tc>
        <w:tc>
          <w:tcPr>
            <w:tcW w:w="0" w:type="auto"/>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支出金额</w:t>
            </w:r>
          </w:p>
        </w:tc>
        <w:tc>
          <w:tcPr>
            <w:tcW w:w="0" w:type="auto"/>
            <w:shd w:val="clear" w:color="auto" w:fill="F1F1F1" w:themeFill="background1" w:themeFillShade="F2"/>
            <w:tcMar>
              <w:left w:w="85" w:type="dxa"/>
              <w:right w:w="85" w:type="dxa"/>
            </w:tcMar>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支出使用率</w:t>
            </w:r>
          </w:p>
        </w:tc>
        <w:tc>
          <w:tcPr>
            <w:tcW w:w="0" w:type="auto"/>
            <w:vMerge/>
            <w:tcMar>
              <w:left w:w="85" w:type="dxa"/>
              <w:right w:w="85" w:type="dxa"/>
            </w:tcMar>
            <w:vAlign w:val="center"/>
          </w:tcPr>
          <w:p>
            <w:pPr>
              <w:widowControl/>
              <w:jc w:val="left"/>
              <w:rPr>
                <w:rFonts w:ascii="仿宋_GB2312" w:eastAsia="仿宋_GB2312" w:hAnsi="等线" w:cs="宋体"/>
                <w:b/>
                <w:bCs/>
                <w:kern w:val="0"/>
                <w:sz w:val="24"/>
              </w:rPr>
            </w:pPr>
          </w:p>
        </w:tc>
      </w:tr>
      <w:tr>
        <w:tblPrEx>
          <w:tblW w:w="0" w:type="auto"/>
          <w:jc w:val="center"/>
          <w:tblCellMar>
            <w:top w:w="0" w:type="dxa"/>
            <w:left w:w="108" w:type="dxa"/>
            <w:bottom w:w="0" w:type="dxa"/>
            <w:right w:w="108" w:type="dxa"/>
          </w:tblCellMar>
        </w:tblPrEx>
        <w:trPr>
          <w:trHeight w:val="858"/>
          <w:jc w:val="center"/>
        </w:trPr>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hint="eastAsia"/>
                <w:kern w:val="0"/>
                <w:sz w:val="24"/>
              </w:rPr>
              <w:t>2</w:t>
            </w:r>
            <w:r>
              <w:rPr>
                <w:rFonts w:ascii="仿宋_GB2312" w:eastAsia="仿宋_GB2312" w:hAnsi="等线" w:cs="宋体"/>
                <w:kern w:val="0"/>
                <w:sz w:val="24"/>
              </w:rPr>
              <w:t>021</w:t>
            </w:r>
            <w:r>
              <w:rPr>
                <w:rFonts w:ascii="仿宋_GB2312" w:eastAsia="仿宋_GB2312" w:hAnsi="等线" w:cs="宋体" w:hint="eastAsia"/>
                <w:kern w:val="0"/>
                <w:sz w:val="24"/>
              </w:rPr>
              <w:t>年宣传业务经费（含国防教育）</w:t>
            </w:r>
          </w:p>
        </w:tc>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535.57</w:t>
            </w:r>
            <w:r>
              <w:rPr>
                <w:rFonts w:ascii="仿宋_GB2312" w:eastAsia="仿宋_GB2312" w:hAnsi="等线" w:cs="宋体" w:hint="eastAsia"/>
                <w:kern w:val="0"/>
                <w:sz w:val="24"/>
              </w:rPr>
              <w:t xml:space="preserve"> </w:t>
            </w:r>
          </w:p>
        </w:tc>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2.66</w:t>
            </w:r>
          </w:p>
        </w:tc>
        <w:tc>
          <w:tcPr>
            <w:tcW w:w="937" w:type="dxa"/>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535.70</w:t>
            </w:r>
          </w:p>
        </w:tc>
        <w:tc>
          <w:tcPr>
            <w:tcW w:w="549" w:type="dxa"/>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0</w:t>
            </w:r>
          </w:p>
        </w:tc>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0.94</w:t>
            </w:r>
          </w:p>
        </w:tc>
        <w:tc>
          <w:tcPr>
            <w:tcW w:w="0" w:type="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hint="eastAsia"/>
                <w:kern w:val="0"/>
                <w:sz w:val="24"/>
              </w:rPr>
              <w:t>1</w:t>
            </w:r>
            <w:r>
              <w:rPr>
                <w:rFonts w:ascii="仿宋_GB2312" w:eastAsia="仿宋_GB2312" w:hAnsi="等线" w:cs="宋体"/>
                <w:kern w:val="0"/>
                <w:sz w:val="24"/>
              </w:rPr>
              <w:t>.85</w:t>
            </w:r>
          </w:p>
        </w:tc>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534.95</w:t>
            </w:r>
          </w:p>
        </w:tc>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hint="eastAsia"/>
                <w:kern w:val="0"/>
                <w:sz w:val="24"/>
              </w:rPr>
              <w:t>99.88%</w:t>
            </w:r>
          </w:p>
        </w:tc>
        <w:tc>
          <w:tcPr>
            <w:tcW w:w="0" w:type="auto"/>
            <w:shd w:val="clear" w:color="auto" w:fill="auto"/>
            <w:tcMar>
              <w:left w:w="85" w:type="dxa"/>
              <w:right w:w="85" w:type="dxa"/>
            </w:tcMar>
            <w:vAlign w:val="center"/>
          </w:tcPr>
          <w:p>
            <w:pPr>
              <w:widowControl/>
              <w:jc w:val="center"/>
              <w:rPr>
                <w:rFonts w:ascii="仿宋_GB2312" w:eastAsia="仿宋_GB2312" w:hAnsi="等线" w:cs="宋体"/>
                <w:kern w:val="0"/>
                <w:sz w:val="24"/>
              </w:rPr>
            </w:pPr>
            <w:r>
              <w:rPr>
                <w:rFonts w:ascii="仿宋_GB2312" w:eastAsia="仿宋_GB2312" w:hAnsi="等线" w:cs="宋体"/>
                <w:kern w:val="0"/>
                <w:sz w:val="24"/>
              </w:rPr>
              <w:t>0.62</w:t>
            </w:r>
          </w:p>
        </w:tc>
      </w:tr>
    </w:tbl>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（2）各项目资金使用情况</w:t>
      </w:r>
    </w:p>
    <w:p>
      <w:pPr>
        <w:spacing w:line="360" w:lineRule="auto"/>
        <w:ind w:firstLine="660"/>
        <w:rPr>
          <w:rFonts w:ascii="仿宋_GB2312" w:eastAsia="仿宋_GB2312" w:hAnsi="楷体"/>
          <w:sz w:val="32"/>
          <w:szCs w:val="32"/>
        </w:rPr>
      </w:pPr>
      <w:r>
        <w:rPr>
          <w:rFonts w:ascii="仿宋_GB2312" w:eastAsia="仿宋_GB2312" w:hAnsi="楷体" w:hint="eastAsia"/>
          <w:sz w:val="32"/>
          <w:szCs w:val="32"/>
        </w:rPr>
        <w:t>项目2021年实际支出</w:t>
      </w:r>
      <w:r>
        <w:rPr>
          <w:rFonts w:ascii="仿宋_GB2312" w:eastAsia="仿宋_GB2312" w:hAnsi="楷体"/>
          <w:sz w:val="32"/>
          <w:szCs w:val="32"/>
        </w:rPr>
        <w:t>534.95万元</w:t>
      </w:r>
      <w:r>
        <w:rPr>
          <w:rFonts w:ascii="仿宋_GB2312" w:eastAsia="仿宋_GB2312" w:hAnsi="楷体" w:hint="eastAsia"/>
          <w:sz w:val="32"/>
          <w:szCs w:val="32"/>
        </w:rPr>
        <w:t>，项目年末结余</w:t>
      </w:r>
      <w:r>
        <w:rPr>
          <w:rFonts w:ascii="仿宋_GB2312" w:eastAsia="仿宋_GB2312" w:hAnsi="楷体"/>
          <w:sz w:val="32"/>
          <w:szCs w:val="32"/>
        </w:rPr>
        <w:t>0.62万元</w:t>
      </w:r>
      <w:r>
        <w:rPr>
          <w:rFonts w:ascii="仿宋_GB2312" w:eastAsia="仿宋_GB2312" w:hAnsi="楷体" w:hint="eastAsia"/>
          <w:sz w:val="32"/>
          <w:szCs w:val="32"/>
        </w:rPr>
        <w:t>，资金用于</w:t>
      </w:r>
      <w:r>
        <w:rPr>
          <w:rFonts w:ascii="仿宋_GB2312" w:eastAsia="仿宋_GB2312" w:hAnsi="楷体"/>
          <w:sz w:val="32"/>
          <w:szCs w:val="32"/>
        </w:rPr>
        <w:t>28</w:t>
      </w:r>
      <w:r>
        <w:rPr>
          <w:rFonts w:ascii="仿宋_GB2312" w:eastAsia="仿宋_GB2312" w:hAnsi="楷体" w:hint="eastAsia"/>
          <w:sz w:val="32"/>
          <w:szCs w:val="32"/>
        </w:rPr>
        <w:t>个具体子项目，资金主要投放在与各类媒体合作进行宣传项目，项目具体支出明细见表</w:t>
      </w:r>
      <w:r>
        <w:rPr>
          <w:rFonts w:ascii="仿宋_GB2312" w:eastAsia="仿宋_GB2312" w:hAnsi="楷体"/>
          <w:sz w:val="32"/>
          <w:szCs w:val="32"/>
        </w:rPr>
        <w:t>2-2</w:t>
      </w:r>
      <w:r>
        <w:rPr>
          <w:rFonts w:ascii="仿宋_GB2312" w:eastAsia="仿宋_GB2312" w:hAnsi="楷体" w:hint="eastAsia"/>
          <w:sz w:val="32"/>
          <w:szCs w:val="32"/>
        </w:rPr>
        <w:t>。</w:t>
      </w: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ind w:firstLine="660"/>
        <w:rPr>
          <w:rFonts w:ascii="仿宋_GB2312" w:eastAsia="仿宋_GB2312" w:hAnsi="楷体"/>
          <w:sz w:val="32"/>
          <w:szCs w:val="32"/>
        </w:rPr>
      </w:pPr>
    </w:p>
    <w:p>
      <w:pPr>
        <w:spacing w:line="360" w:lineRule="auto"/>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2</w:t>
      </w:r>
      <w:r>
        <w:rPr>
          <w:rFonts w:ascii="黑体" w:eastAsia="黑体" w:hAnsi="黑体" w:hint="eastAsia"/>
          <w:sz w:val="28"/>
          <w:szCs w:val="28"/>
        </w:rPr>
        <w:t xml:space="preserve"> </w:t>
      </w:r>
      <w:r>
        <w:rPr>
          <w:rFonts w:ascii="黑体" w:eastAsia="黑体" w:hAnsi="黑体"/>
          <w:sz w:val="28"/>
          <w:szCs w:val="28"/>
        </w:rPr>
        <w:t>2021年</w:t>
      </w:r>
      <w:r>
        <w:rPr>
          <w:rFonts w:ascii="黑体" w:eastAsia="黑体" w:hAnsi="黑体" w:hint="eastAsia"/>
          <w:sz w:val="28"/>
          <w:szCs w:val="28"/>
        </w:rPr>
        <w:t>宣传业务经费（含国防教育）具体支出明细表</w:t>
      </w:r>
    </w:p>
    <w:tbl>
      <w:tblPr>
        <w:tblStyle w:val="TableNormal"/>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877"/>
        <w:gridCol w:w="4486"/>
        <w:gridCol w:w="1639"/>
        <w:gridCol w:w="1333"/>
      </w:tblGrid>
      <w:tr>
        <w:tblPrEx>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47"/>
          <w:jc w:val="center"/>
        </w:trPr>
        <w:tc>
          <w:tcPr>
            <w:tcW w:w="888"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序号</w:t>
            </w:r>
          </w:p>
        </w:tc>
        <w:tc>
          <w:tcPr>
            <w:tcW w:w="4589"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具体支出内容</w:t>
            </w:r>
          </w:p>
        </w:tc>
        <w:tc>
          <w:tcPr>
            <w:tcW w:w="1658"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支出金额（万元）</w:t>
            </w:r>
          </w:p>
        </w:tc>
        <w:tc>
          <w:tcPr>
            <w:tcW w:w="1344"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资金占比</w:t>
            </w:r>
          </w:p>
        </w:tc>
      </w:tr>
      <w:tr>
        <w:tblPrEx>
          <w:tblW w:w="8335" w:type="dxa"/>
          <w:jc w:val="center"/>
          <w:tblCellMar>
            <w:top w:w="0" w:type="dxa"/>
            <w:left w:w="108" w:type="dxa"/>
            <w:bottom w:w="0" w:type="dxa"/>
            <w:right w:w="108" w:type="dxa"/>
          </w:tblCellMar>
        </w:tblPrEx>
        <w:trPr>
          <w:trHeight w:val="433"/>
          <w:jc w:val="center"/>
        </w:trPr>
        <w:tc>
          <w:tcPr>
            <w:tcW w:w="888"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合计</w:t>
            </w:r>
          </w:p>
        </w:tc>
        <w:tc>
          <w:tcPr>
            <w:tcW w:w="4589"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c>
          <w:tcPr>
            <w:tcW w:w="1658"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534.95</w:t>
            </w:r>
          </w:p>
        </w:tc>
        <w:tc>
          <w:tcPr>
            <w:tcW w:w="1344"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购置办公用品</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0.19%</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培训以及交通食宿</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0.37</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0.07%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3</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公务用餐</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0.03</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0.01%</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4</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图片资料收集及视频制作一批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3</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0.56%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5</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7.39</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1.38%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6</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学习强国推广流量充值服务</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0.37%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7</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第四季系列工作宣传费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8</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活动宣传费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20.15</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3.77%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9</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培训研讨会补贴</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11.95</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2.23%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10</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新闻学会工作经费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10.84</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2.03%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11</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购相机及镜头和空调</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8.71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1.63%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12</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宣传策划费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13</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江海新闻上半年宣传费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14</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高新新闻年度合作费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98</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18.32%</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15</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重点项目策划宣传费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14</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2.62%</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16</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党史学习教育知识长廊宣传费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17</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江海新闻下半年合作经费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18</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高新视频号宣传费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19</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七一特刊宣传费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30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5.61%</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20</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学党史订报费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20.33</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3.80%</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21</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微信代运营费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50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9.35%</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22</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南方日报年度合作费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23</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强国有我宣传费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2.06%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24</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网络安全宣传周活动</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25</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新闻学会工作经费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5.15</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0.96%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26</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触网关爱志愿行动服务活动</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4.44</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0.83%</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w:t>
            </w:r>
            <w:r>
              <w:rPr>
                <w:rFonts w:ascii="仿宋_GB2312" w:eastAsia="仿宋_GB2312"/>
                <w:kern w:val="0"/>
                <w:sz w:val="24"/>
              </w:rPr>
              <w:t>7</w:t>
            </w:r>
          </w:p>
        </w:tc>
        <w:tc>
          <w:tcPr>
            <w:tcW w:w="4589"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拍摄报道宣传费</w:t>
            </w:r>
          </w:p>
        </w:tc>
        <w:tc>
          <w:tcPr>
            <w:tcW w:w="165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65.59</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12.26%</w:t>
            </w:r>
          </w:p>
        </w:tc>
      </w:tr>
      <w:tr>
        <w:tblPrEx>
          <w:tblW w:w="8335" w:type="dxa"/>
          <w:jc w:val="center"/>
          <w:tblCellMar>
            <w:top w:w="0" w:type="dxa"/>
            <w:left w:w="108" w:type="dxa"/>
            <w:bottom w:w="0" w:type="dxa"/>
            <w:right w:w="108" w:type="dxa"/>
          </w:tblCellMar>
        </w:tblPrEx>
        <w:trPr>
          <w:trHeight w:val="420"/>
          <w:jc w:val="center"/>
        </w:trPr>
        <w:tc>
          <w:tcPr>
            <w:tcW w:w="888" w:type="dxa"/>
            <w:shd w:val="clear" w:color="auto" w:fill="auto"/>
            <w:vAlign w:val="center"/>
          </w:tcPr>
          <w:p>
            <w:pPr>
              <w:widowControl/>
              <w:jc w:val="center"/>
              <w:rPr>
                <w:rFonts w:ascii="仿宋_GB2312" w:eastAsia="仿宋_GB2312"/>
                <w:kern w:val="0"/>
                <w:sz w:val="24"/>
              </w:rPr>
            </w:pPr>
            <w:r>
              <w:rPr>
                <w:rFonts w:ascii="仿宋_GB2312" w:eastAsia="仿宋_GB2312" w:hint="eastAsia"/>
                <w:kern w:val="0"/>
                <w:sz w:val="24"/>
              </w:rPr>
              <w:t>2</w:t>
            </w:r>
            <w:r>
              <w:rPr>
                <w:rFonts w:ascii="仿宋_GB2312" w:eastAsia="仿宋_GB2312"/>
                <w:kern w:val="0"/>
                <w:sz w:val="24"/>
              </w:rPr>
              <w:t>8</w:t>
            </w:r>
          </w:p>
        </w:tc>
        <w:tc>
          <w:tcPr>
            <w:tcW w:w="4589" w:type="dxa"/>
            <w:shd w:val="clear" w:color="auto" w:fill="auto"/>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打印纸</w:t>
            </w:r>
          </w:p>
        </w:tc>
        <w:tc>
          <w:tcPr>
            <w:tcW w:w="1658" w:type="dxa"/>
            <w:shd w:val="clear" w:color="auto" w:fill="auto"/>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1</w:t>
            </w:r>
          </w:p>
        </w:tc>
        <w:tc>
          <w:tcPr>
            <w:tcW w:w="1344"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0.19%</w:t>
            </w:r>
          </w:p>
        </w:tc>
      </w:tr>
    </w:tbl>
    <w:p>
      <w:pPr>
        <w:pStyle w:val="Heading2"/>
        <w:spacing w:before="0" w:after="0" w:line="360" w:lineRule="auto"/>
        <w:ind w:firstLine="420" w:firstLineChars="200"/>
        <w:rPr>
          <w:rFonts w:ascii="楷体_GB2312" w:eastAsia="楷体_GB2312" w:hAnsi="仿宋"/>
        </w:rPr>
      </w:pPr>
      <w:bookmarkStart w:id="49" w:name="_Toc113562270"/>
      <w:r>
        <w:rPr>
          <w:rFonts w:ascii="楷体_GB2312" w:eastAsia="楷体_GB2312" w:hAnsi="仿宋" w:hint="eastAsia"/>
        </w:rPr>
        <w:t>（三）绩效目标</w:t>
      </w:r>
      <w:bookmarkEnd w:id="49"/>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bCs/>
          <w:sz w:val="32"/>
          <w:szCs w:val="32"/>
        </w:rPr>
        <w:t>1.</w:t>
      </w:r>
      <w:r>
        <w:rPr>
          <w:rFonts w:ascii="仿宋_GB2312" w:eastAsia="仿宋_GB2312" w:hAnsi="仿宋" w:cstheme="majorBidi" w:hint="eastAsia"/>
          <w:bCs/>
          <w:sz w:val="32"/>
          <w:szCs w:val="32"/>
        </w:rPr>
        <w:t>项目年度目标及完成情况</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hint="eastAsia"/>
          <w:sz w:val="32"/>
          <w:szCs w:val="32"/>
        </w:rPr>
        <w:t>项目年中无调整绩效目标，无未完成的目标，绩效目标完成程度高</w:t>
      </w:r>
      <w:r>
        <w:rPr>
          <w:rFonts w:ascii="仿宋_GB2312" w:eastAsia="仿宋_GB2312" w:hAnsi="仿宋" w:cstheme="majorBidi" w:hint="eastAsia"/>
          <w:bCs/>
          <w:sz w:val="32"/>
          <w:szCs w:val="32"/>
        </w:rPr>
        <w:t>。项目年度目标和目标完成情况见表</w:t>
      </w:r>
      <w:r>
        <w:rPr>
          <w:rFonts w:ascii="仿宋_GB2312" w:eastAsia="仿宋_GB2312" w:hAnsi="仿宋" w:cstheme="majorBidi"/>
          <w:bCs/>
          <w:sz w:val="32"/>
          <w:szCs w:val="32"/>
        </w:rPr>
        <w:t>2</w:t>
      </w:r>
      <w:r>
        <w:rPr>
          <w:rFonts w:ascii="仿宋_GB2312" w:eastAsia="仿宋_GB2312" w:hAnsi="仿宋" w:cstheme="majorBidi" w:hint="eastAsia"/>
          <w:bCs/>
          <w:sz w:val="32"/>
          <w:szCs w:val="32"/>
        </w:rPr>
        <w:t>-</w:t>
      </w:r>
      <w:r>
        <w:rPr>
          <w:rFonts w:ascii="仿宋_GB2312" w:eastAsia="仿宋_GB2312" w:hAnsi="仿宋" w:cstheme="majorBidi"/>
          <w:bCs/>
          <w:sz w:val="32"/>
          <w:szCs w:val="32"/>
        </w:rPr>
        <w:t>3</w:t>
      </w:r>
      <w:r>
        <w:rPr>
          <w:rFonts w:ascii="仿宋_GB2312" w:eastAsia="仿宋_GB2312" w:hAnsi="仿宋" w:cstheme="majorBidi" w:hint="eastAsia"/>
          <w:bCs/>
          <w:sz w:val="32"/>
          <w:szCs w:val="32"/>
        </w:rPr>
        <w:t>。</w:t>
      </w:r>
    </w:p>
    <w:p>
      <w:pPr>
        <w:spacing w:line="360" w:lineRule="auto"/>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3 2021年</w:t>
      </w:r>
      <w:r>
        <w:rPr>
          <w:rFonts w:ascii="黑体" w:eastAsia="黑体" w:hAnsi="黑体" w:hint="eastAsia"/>
          <w:sz w:val="28"/>
          <w:szCs w:val="28"/>
        </w:rPr>
        <w:t>宣传业务经费（含国防教育）年度目标及目标完成情况表</w:t>
      </w:r>
    </w:p>
    <w:tbl>
      <w:tblPr>
        <w:tblStyle w:val="TableNormal"/>
        <w:tblW w:w="8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811"/>
        <w:gridCol w:w="3251"/>
        <w:gridCol w:w="3236"/>
        <w:gridCol w:w="1002"/>
      </w:tblGrid>
      <w:tr>
        <w:tblPrEx>
          <w:tblW w:w="8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cantSplit/>
          <w:trHeight w:val="637"/>
          <w:jc w:val="center"/>
        </w:trPr>
        <w:tc>
          <w:tcPr>
            <w:tcW w:w="811"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目标</w:t>
            </w:r>
          </w:p>
        </w:tc>
        <w:tc>
          <w:tcPr>
            <w:tcW w:w="3251"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年度目标</w:t>
            </w:r>
          </w:p>
        </w:tc>
        <w:tc>
          <w:tcPr>
            <w:tcW w:w="3236"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目标完成情况</w:t>
            </w:r>
          </w:p>
        </w:tc>
        <w:tc>
          <w:tcPr>
            <w:tcW w:w="1002" w:type="dxa"/>
            <w:tcBorders>
              <w:tl2br w:val="nil"/>
              <w:tr2bl w:val="nil"/>
            </w:tcBorders>
            <w:shd w:val="clear" w:color="auto" w:fill="F1F1F1" w:themeFill="background1" w:themeFillShade="F2"/>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完成情况说明</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cs="仿宋_GB2312" w:hint="eastAsia"/>
                <w:kern w:val="0"/>
                <w:sz w:val="24"/>
              </w:rPr>
              <w:t>目标一</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通过在《江门日报》刊载1</w:t>
            </w:r>
            <w:r>
              <w:rPr>
                <w:rFonts w:ascii="仿宋_GB2312" w:eastAsia="仿宋_GB2312" w:cs="仿宋_GB2312"/>
                <w:kern w:val="0"/>
                <w:sz w:val="24"/>
              </w:rPr>
              <w:t>00</w:t>
            </w:r>
            <w:r>
              <w:rPr>
                <w:rFonts w:ascii="仿宋_GB2312" w:eastAsia="仿宋_GB2312" w:cs="仿宋_GB2312" w:hint="eastAsia"/>
                <w:kern w:val="0"/>
                <w:sz w:val="24"/>
              </w:rPr>
              <w:t>个版面、与《南方日报》、《南方都市报》等省级媒体合作策划7个专题报道，强化正面宣传</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《江门日报》刊载1</w:t>
            </w:r>
            <w:r>
              <w:rPr>
                <w:rFonts w:ascii="仿宋_GB2312" w:eastAsia="仿宋_GB2312" w:cs="仿宋_GB2312"/>
                <w:kern w:val="0"/>
                <w:sz w:val="24"/>
              </w:rPr>
              <w:t>20</w:t>
            </w:r>
            <w:r>
              <w:rPr>
                <w:rFonts w:ascii="仿宋_GB2312" w:eastAsia="仿宋_GB2312" w:cs="仿宋_GB2312" w:hint="eastAsia"/>
                <w:kern w:val="0"/>
                <w:sz w:val="24"/>
              </w:rPr>
              <w:t>个版面、与《南方日报》、《南方都市报》等省级媒体合作策划7个专题报道，达到强化正面宣传</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目标二</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为建党100周年等重大活动布置大型宣传画30个、横幅2000条、宣传栏50块，营造浓厚的社会宣传氛围</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为建党100周年等重大活动布置大型宣传画30个、横幅2000条、宣传栏50块，营造浓厚的社会宣传氛围</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目标三</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委托江门日报社运营推广“江门高新”微信公众号，全年推送约1400条微信稿件，通过新媒体宣传形式不断扩大江海声音</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委托江门日报社运营推广“江门高新”微信公众号，全年推送约</w:t>
            </w:r>
            <w:r>
              <w:rPr>
                <w:rFonts w:ascii="仿宋_GB2312" w:eastAsia="仿宋_GB2312" w:cs="仿宋_GB2312"/>
                <w:kern w:val="0"/>
                <w:sz w:val="24"/>
              </w:rPr>
              <w:t>1955</w:t>
            </w:r>
            <w:r>
              <w:rPr>
                <w:rFonts w:ascii="仿宋_GB2312" w:eastAsia="仿宋_GB2312" w:cs="仿宋_GB2312" w:hint="eastAsia"/>
                <w:kern w:val="0"/>
                <w:sz w:val="24"/>
              </w:rPr>
              <w:t>条微信稿件，通过新媒体宣传形式不断扩大江海声音</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目标四</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通过交流学习、举办高新新闻奖和优秀通讯员评选活动、增加硬件配置等，加强软硬件建设</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通过交流学习、举办高新新闻奖和优秀通讯员评选活动、增加硬件配置等，加强软硬件建设</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bl>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bCs/>
          <w:sz w:val="32"/>
          <w:szCs w:val="32"/>
        </w:rPr>
        <w:t>2.</w:t>
      </w:r>
      <w:r>
        <w:rPr>
          <w:rFonts w:ascii="仿宋_GB2312" w:eastAsia="仿宋_GB2312" w:hAnsi="仿宋" w:cstheme="majorBidi" w:hint="eastAsia"/>
          <w:bCs/>
          <w:sz w:val="32"/>
          <w:szCs w:val="32"/>
        </w:rPr>
        <w:t>项目绩效指标</w:t>
      </w:r>
    </w:p>
    <w:p>
      <w:pPr>
        <w:spacing w:line="160" w:lineRule="atLeast"/>
        <w:ind w:firstLine="420" w:firstLineChars="200"/>
        <w:rPr>
          <w:rFonts w:ascii="仿宋_GB2312" w:eastAsia="仿宋_GB2312" w:hAnsi="仿宋" w:cstheme="majorBidi"/>
          <w:bCs/>
          <w:sz w:val="32"/>
          <w:szCs w:val="32"/>
        </w:rPr>
      </w:pPr>
      <w:bookmarkStart w:id="50" w:name="_Hlk112598414"/>
      <w:bookmarkStart w:id="51" w:name="_Hlk112226365"/>
      <w:r>
        <w:rPr>
          <w:rFonts w:ascii="仿宋_GB2312" w:eastAsia="仿宋_GB2312" w:hAnsi="仿宋" w:cstheme="majorBidi" w:hint="eastAsia"/>
          <w:bCs/>
          <w:sz w:val="32"/>
          <w:szCs w:val="32"/>
        </w:rPr>
        <w:t>项目设置的产出数量指标完成程度高，质量指标、时效指标、社会效益指标和满意度指标的完成情况缺乏相关佐证材料，绩效指标总体完成程度较高。项目绩效指标完成情况详见表</w:t>
      </w:r>
      <w:r>
        <w:rPr>
          <w:rFonts w:ascii="仿宋_GB2312" w:eastAsia="仿宋_GB2312" w:hAnsi="仿宋" w:cstheme="majorBidi"/>
          <w:bCs/>
          <w:sz w:val="32"/>
          <w:szCs w:val="32"/>
        </w:rPr>
        <w:t>2-4</w:t>
      </w:r>
      <w:r>
        <w:rPr>
          <w:rFonts w:ascii="仿宋_GB2312" w:eastAsia="仿宋_GB2312" w:hAnsi="仿宋" w:cstheme="majorBidi" w:hint="eastAsia"/>
          <w:bCs/>
          <w:sz w:val="32"/>
          <w:szCs w:val="32"/>
        </w:rPr>
        <w:t>。</w:t>
      </w:r>
    </w:p>
    <w:p>
      <w:pPr>
        <w:spacing w:line="160" w:lineRule="atLeast"/>
        <w:ind w:firstLine="420" w:firstLineChars="200"/>
        <w:rPr>
          <w:rFonts w:ascii="仿宋_GB2312" w:eastAsia="仿宋_GB2312" w:hAnsi="仿宋" w:cstheme="majorBidi"/>
          <w:bCs/>
          <w:sz w:val="32"/>
          <w:szCs w:val="32"/>
        </w:rPr>
      </w:pP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4</w:t>
      </w:r>
      <w:r>
        <w:rPr>
          <w:rFonts w:ascii="黑体" w:eastAsia="黑体" w:hAnsi="黑体" w:hint="eastAsia"/>
          <w:sz w:val="28"/>
          <w:szCs w:val="28"/>
        </w:rPr>
        <w:t xml:space="preserve"> </w:t>
      </w:r>
      <w:r>
        <w:rPr>
          <w:rFonts w:ascii="黑体" w:eastAsia="黑体" w:hAnsi="黑体"/>
          <w:sz w:val="28"/>
          <w:szCs w:val="28"/>
        </w:rPr>
        <w:t>2021年</w:t>
      </w:r>
      <w:r>
        <w:rPr>
          <w:rFonts w:ascii="黑体" w:eastAsia="黑体" w:hAnsi="黑体" w:hint="eastAsia"/>
          <w:sz w:val="28"/>
          <w:szCs w:val="28"/>
        </w:rPr>
        <w:t>宣传业务经费（含国防教育）绩效指标完成情况</w:t>
      </w:r>
    </w:p>
    <w:tbl>
      <w:tblPr>
        <w:tblStyle w:val="TableNormal"/>
        <w:tblW w:w="8335" w:type="dxa"/>
        <w:jc w:val="center"/>
        <w:tblCellMar>
          <w:top w:w="0" w:type="dxa"/>
          <w:left w:w="108" w:type="dxa"/>
          <w:bottom w:w="0" w:type="dxa"/>
          <w:right w:w="108" w:type="dxa"/>
        </w:tblCellMar>
      </w:tblPr>
      <w:tblGrid>
        <w:gridCol w:w="838"/>
        <w:gridCol w:w="1316"/>
        <w:gridCol w:w="2681"/>
        <w:gridCol w:w="1207"/>
        <w:gridCol w:w="1203"/>
        <w:gridCol w:w="1090"/>
      </w:tblGrid>
      <w:tr>
        <w:tblPrEx>
          <w:tblW w:w="8335" w:type="dxa"/>
          <w:jc w:val="center"/>
          <w:tblCellMar>
            <w:top w:w="0" w:type="dxa"/>
            <w:left w:w="108" w:type="dxa"/>
            <w:bottom w:w="0" w:type="dxa"/>
            <w:right w:w="108" w:type="dxa"/>
          </w:tblCellMar>
        </w:tblPrEx>
        <w:trPr>
          <w:trHeight w:val="727"/>
          <w:jc w:val="center"/>
        </w:trPr>
        <w:tc>
          <w:tcPr>
            <w:tcW w:w="838" w:type="dxa"/>
            <w:tcBorders>
              <w:top w:val="single" w:sz="4" w:space="0" w:color="000000"/>
              <w:left w:val="single" w:sz="4" w:space="0" w:color="000000"/>
              <w:bottom w:val="single" w:sz="4" w:space="0" w:color="auto"/>
              <w:right w:val="single" w:sz="4" w:space="0" w:color="000000"/>
            </w:tcBorders>
            <w:shd w:val="clear" w:color="auto" w:fill="F1F1F1" w:themeFill="background1" w:themeFillShade="F2"/>
            <w:vAlign w:val="center"/>
          </w:tcPr>
          <w:p>
            <w:pPr>
              <w:widowControl/>
              <w:jc w:val="center"/>
              <w:rPr>
                <w:rFonts w:ascii="仿宋_GB2312" w:eastAsia="仿宋_GB2312"/>
                <w:b/>
                <w:bCs/>
                <w:sz w:val="24"/>
              </w:rPr>
            </w:pPr>
            <w:bookmarkEnd w:id="50"/>
            <w:r>
              <w:rPr>
                <w:rFonts w:ascii="仿宋_GB2312" w:eastAsia="仿宋_GB2312" w:hint="eastAsia"/>
                <w:b/>
                <w:bCs/>
                <w:sz w:val="24"/>
              </w:rPr>
              <w:t>一级指标</w:t>
            </w:r>
          </w:p>
        </w:tc>
        <w:tc>
          <w:tcPr>
            <w:tcW w:w="1316"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hint="eastAsia"/>
                <w:b/>
                <w:bCs/>
                <w:sz w:val="24"/>
              </w:rPr>
              <w:t>二级指标</w:t>
            </w:r>
          </w:p>
        </w:tc>
        <w:tc>
          <w:tcPr>
            <w:tcW w:w="2681" w:type="dxa"/>
            <w:tcBorders>
              <w:top w:val="single" w:sz="4" w:space="0" w:color="000000"/>
              <w:left w:val="single" w:sz="4" w:space="0" w:color="000000"/>
              <w:bottom w:val="single" w:sz="4" w:space="0" w:color="auto"/>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指标名称</w:t>
            </w:r>
          </w:p>
        </w:tc>
        <w:tc>
          <w:tcPr>
            <w:tcW w:w="1207"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年度申报指标值</w:t>
            </w:r>
          </w:p>
        </w:tc>
        <w:tc>
          <w:tcPr>
            <w:tcW w:w="1203"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实际完成指标值</w:t>
            </w:r>
          </w:p>
        </w:tc>
        <w:tc>
          <w:tcPr>
            <w:tcW w:w="1090"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cs="仿宋_GB2312"/>
                <w:b/>
                <w:bCs/>
                <w:kern w:val="0"/>
                <w:sz w:val="24"/>
              </w:rPr>
            </w:pPr>
            <w:r>
              <w:rPr>
                <w:rFonts w:ascii="仿宋_GB2312" w:eastAsia="仿宋_GB2312" w:cs="仿宋_GB2312" w:hint="eastAsia"/>
                <w:b/>
                <w:bCs/>
                <w:kern w:val="0"/>
                <w:sz w:val="24"/>
              </w:rPr>
              <w:t>完成情况说明</w:t>
            </w:r>
          </w:p>
        </w:tc>
      </w:tr>
      <w:tr>
        <w:tblPrEx>
          <w:tblW w:w="8335" w:type="dxa"/>
          <w:jc w:val="center"/>
          <w:tblCellMar>
            <w:top w:w="0" w:type="dxa"/>
            <w:left w:w="108" w:type="dxa"/>
            <w:bottom w:w="0" w:type="dxa"/>
            <w:right w:w="108" w:type="dxa"/>
          </w:tblCellMar>
        </w:tblPrEx>
        <w:trPr>
          <w:trHeight w:val="550"/>
          <w:jc w:val="center"/>
        </w:trPr>
        <w:tc>
          <w:tcPr>
            <w:tcW w:w="838"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sz w:val="24"/>
              </w:rPr>
            </w:pPr>
            <w:r>
              <w:rPr>
                <w:rFonts w:ascii="仿宋_GB2312" w:eastAsia="仿宋_GB2312" w:hint="eastAsia"/>
                <w:kern w:val="0"/>
                <w:sz w:val="24"/>
              </w:rPr>
              <w:t>产出指标</w:t>
            </w:r>
          </w:p>
        </w:tc>
        <w:tc>
          <w:tcPr>
            <w:tcW w:w="1316"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数量指标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《江门日报》宣传报道数量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100个整版</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w:t>
            </w:r>
            <w:r>
              <w:rPr>
                <w:rFonts w:ascii="仿宋_GB2312" w:eastAsia="仿宋_GB2312"/>
                <w:kern w:val="0"/>
                <w:sz w:val="24"/>
              </w:rPr>
              <w:t>2</w:t>
            </w:r>
            <w:r>
              <w:rPr>
                <w:rFonts w:ascii="仿宋_GB2312" w:eastAsia="仿宋_GB2312" w:hint="eastAsia"/>
                <w:kern w:val="0"/>
                <w:sz w:val="24"/>
              </w:rPr>
              <w:t>0个整版</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江门电视台报道数量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50期节目</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50期节目</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省级媒体报道数量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7个版</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7个版</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其他各级各类媒体宣传专题报道数量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9篇</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9篇</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新媒体运营发布数量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1400条微信推送链接</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w:t>
            </w:r>
            <w:r>
              <w:rPr>
                <w:rFonts w:ascii="仿宋_GB2312" w:eastAsia="仿宋_GB2312"/>
                <w:kern w:val="0"/>
                <w:sz w:val="24"/>
              </w:rPr>
              <w:t>955</w:t>
            </w:r>
            <w:r>
              <w:rPr>
                <w:rFonts w:ascii="仿宋_GB2312" w:eastAsia="仿宋_GB2312" w:hint="eastAsia"/>
                <w:kern w:val="0"/>
                <w:sz w:val="24"/>
              </w:rPr>
              <w:t>条微信推送链接</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大型宣传画数量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30个</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30个</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宣传横幅数量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2000条</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2000条</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制作宣传片数量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1个</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1个</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宣传栏更新数量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50块</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50块</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质量指标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单位宣传覆盖率</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“江门高新”点击量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≥70万次</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4</w:t>
            </w:r>
            <w:r>
              <w:rPr>
                <w:rFonts w:ascii="仿宋_GB2312" w:eastAsia="仿宋_GB2312" w:hAnsi="宋体" w:cs="宋体"/>
                <w:kern w:val="0"/>
                <w:sz w:val="24"/>
              </w:rPr>
              <w:t>20</w:t>
            </w:r>
            <w:r>
              <w:rPr>
                <w:rFonts w:ascii="仿宋_GB2312" w:eastAsia="仿宋_GB2312" w:hAnsi="宋体" w:cs="宋体" w:hint="eastAsia"/>
                <w:kern w:val="0"/>
                <w:sz w:val="24"/>
              </w:rPr>
              <w:t>万次</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bottom w:val="single" w:sz="4" w:space="0" w:color="auto"/>
              <w:right w:val="single" w:sz="4" w:space="0" w:color="000000"/>
            </w:tcBorders>
            <w:vAlign w:val="center"/>
          </w:tcPr>
          <w:p>
            <w:pPr>
              <w:widowControl/>
              <w:wordWrap w:val="0"/>
              <w:jc w:val="center"/>
              <w:rPr>
                <w:rFonts w:ascii="仿宋_GB2312" w:eastAsia="仿宋_GB2312"/>
                <w:sz w:val="24"/>
              </w:rPr>
            </w:pPr>
          </w:p>
        </w:tc>
        <w:tc>
          <w:tcPr>
            <w:tcW w:w="1316" w:type="dxa"/>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时效指标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kern w:val="0"/>
                <w:sz w:val="24"/>
              </w:rPr>
            </w:pPr>
            <w:r>
              <w:rPr>
                <w:rFonts w:ascii="仿宋_GB2312" w:eastAsia="仿宋_GB2312" w:hAnsi="宋体" w:cs="宋体" w:hint="eastAsia"/>
                <w:kern w:val="0"/>
                <w:sz w:val="24"/>
              </w:rPr>
              <w:t>《江门日报》宣传报道及时性</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kern w:val="0"/>
                <w:sz w:val="24"/>
              </w:rPr>
            </w:pPr>
            <w:r>
              <w:rPr>
                <w:rFonts w:ascii="仿宋_GB2312" w:eastAsia="仿宋_GB2312" w:hAnsi="宋体" w:cs="宋体" w:hint="eastAsia"/>
                <w:kern w:val="0"/>
                <w:sz w:val="24"/>
              </w:rPr>
              <w:t>100%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kern w:val="0"/>
                <w:sz w:val="24"/>
              </w:rPr>
            </w:pPr>
            <w:r>
              <w:rPr>
                <w:rFonts w:ascii="仿宋_GB2312" w:eastAsia="仿宋_GB2312" w:hAnsi="宋体" w:cs="宋体" w:hint="eastAsia"/>
                <w:kern w:val="0"/>
                <w:sz w:val="24"/>
              </w:rPr>
              <w:t>100%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val="restart"/>
            <w:tcBorders>
              <w:top w:val="single" w:sz="4" w:space="0" w:color="auto"/>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效益</w:t>
            </w:r>
          </w:p>
          <w:p>
            <w:pPr>
              <w:widowControl/>
              <w:wordWrap w:val="0"/>
              <w:jc w:val="center"/>
              <w:rPr>
                <w:rFonts w:ascii="仿宋_GB2312" w:eastAsia="仿宋_GB2312"/>
                <w:kern w:val="0"/>
                <w:sz w:val="24"/>
              </w:rPr>
            </w:pPr>
            <w:r>
              <w:rPr>
                <w:rFonts w:ascii="仿宋_GB2312" w:eastAsia="仿宋_GB2312" w:hint="eastAsia"/>
                <w:kern w:val="0"/>
                <w:sz w:val="24"/>
              </w:rPr>
              <w:t>指标</w:t>
            </w:r>
          </w:p>
        </w:tc>
        <w:tc>
          <w:tcPr>
            <w:tcW w:w="1316" w:type="dxa"/>
            <w:vMerge w:val="restart"/>
            <w:tcBorders>
              <w:top w:val="single" w:sz="4" w:space="0" w:color="auto"/>
              <w:left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社会效益</w:t>
            </w:r>
          </w:p>
          <w:p>
            <w:pPr>
              <w:widowControl/>
              <w:jc w:val="center"/>
              <w:rPr>
                <w:rFonts w:ascii="仿宋_GB2312" w:eastAsia="仿宋_GB2312"/>
                <w:kern w:val="0"/>
                <w:sz w:val="24"/>
              </w:rPr>
            </w:pPr>
            <w:r>
              <w:rPr>
                <w:rFonts w:ascii="仿宋_GB2312" w:eastAsia="仿宋_GB2312" w:hint="eastAsia"/>
                <w:kern w:val="0"/>
                <w:sz w:val="24"/>
              </w:rPr>
              <w:t>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政策知晓率</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p>
        </w:tc>
        <w:tc>
          <w:tcPr>
            <w:tcW w:w="1316" w:type="dxa"/>
            <w:vMerge/>
            <w:tcBorders>
              <w:left w:val="single" w:sz="4" w:space="0" w:color="000000"/>
              <w:bottom w:val="single" w:sz="4" w:space="0" w:color="auto"/>
              <w:right w:val="single" w:sz="4" w:space="0" w:color="000000"/>
            </w:tcBorders>
            <w:vAlign w:val="center"/>
          </w:tcPr>
          <w:p>
            <w:pPr>
              <w:widowControl/>
              <w:jc w:val="center"/>
              <w:rPr>
                <w:rFonts w:ascii="仿宋_GB2312" w:eastAsia="仿宋_GB2312"/>
                <w:kern w:val="0"/>
                <w:sz w:val="24"/>
              </w:rPr>
            </w:pPr>
          </w:p>
        </w:tc>
        <w:tc>
          <w:tcPr>
            <w:tcW w:w="2681"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横幅信息更新及时性</w:t>
            </w:r>
          </w:p>
        </w:tc>
        <w:tc>
          <w:tcPr>
            <w:tcW w:w="1207"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203"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090"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274"/>
          <w:jc w:val="center"/>
        </w:trPr>
        <w:tc>
          <w:tcPr>
            <w:tcW w:w="838"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sz w:val="24"/>
              </w:rPr>
            </w:pPr>
            <w:r>
              <w:rPr>
                <w:rFonts w:ascii="仿宋_GB2312" w:eastAsia="仿宋_GB2312" w:hint="eastAsia"/>
                <w:sz w:val="24"/>
              </w:rPr>
              <w:t>满意度指标</w:t>
            </w:r>
          </w:p>
        </w:tc>
        <w:tc>
          <w:tcPr>
            <w:tcW w:w="1316"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服务对象</w:t>
            </w:r>
          </w:p>
          <w:p>
            <w:pPr>
              <w:widowControl/>
              <w:wordWrap w:val="0"/>
              <w:jc w:val="center"/>
              <w:rPr>
                <w:rFonts w:ascii="仿宋_GB2312" w:eastAsia="仿宋_GB2312"/>
                <w:kern w:val="0"/>
                <w:sz w:val="24"/>
              </w:rPr>
            </w:pPr>
            <w:r>
              <w:rPr>
                <w:rFonts w:ascii="仿宋_GB2312" w:eastAsia="仿宋_GB2312" w:hint="eastAsia"/>
                <w:kern w:val="0"/>
                <w:sz w:val="24"/>
              </w:rPr>
              <w:t>满意度指标</w:t>
            </w:r>
          </w:p>
        </w:tc>
        <w:tc>
          <w:tcPr>
            <w:tcW w:w="2681"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群众满意度</w:t>
            </w:r>
          </w:p>
        </w:tc>
        <w:tc>
          <w:tcPr>
            <w:tcW w:w="1207"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203"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090"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bl>
    <w:p>
      <w:pPr>
        <w:pStyle w:val="Heading1"/>
        <w:ind w:firstLine="281"/>
        <w:rPr>
          <w:sz w:val="28"/>
          <w:szCs w:val="28"/>
        </w:rPr>
      </w:pPr>
    </w:p>
    <w:p>
      <w:pPr>
        <w:pStyle w:val="Heading1"/>
      </w:pPr>
      <w:bookmarkStart w:id="52" w:name="_Toc113562271"/>
      <w:bookmarkStart w:id="53" w:name="_Hlk113298786"/>
      <w:r>
        <w:rPr>
          <w:rFonts w:hint="eastAsia"/>
        </w:rPr>
        <w:t>二、绩效指标分析</w:t>
      </w:r>
      <w:bookmarkEnd w:id="52"/>
    </w:p>
    <w:p>
      <w:pPr>
        <w:pStyle w:val="Heading2"/>
        <w:spacing w:before="120" w:after="0" w:line="360" w:lineRule="auto"/>
        <w:ind w:firstLine="420" w:firstLineChars="200"/>
        <w:rPr>
          <w:rFonts w:ascii="楷体_GB2312" w:eastAsia="楷体_GB2312" w:hAnsi="仿宋"/>
        </w:rPr>
      </w:pPr>
      <w:bookmarkEnd w:id="51"/>
      <w:bookmarkStart w:id="54" w:name="_Toc486952625"/>
      <w:bookmarkStart w:id="55" w:name="_Toc75018703"/>
      <w:bookmarkStart w:id="56" w:name="_Toc113562272"/>
      <w:bookmarkStart w:id="57" w:name="_Hlk113559011"/>
      <w:r>
        <w:rPr>
          <w:rFonts w:ascii="楷体_GB2312" w:eastAsia="楷体_GB2312" w:hAnsi="仿宋" w:hint="eastAsia"/>
        </w:rPr>
        <w:t>（一）</w:t>
      </w:r>
      <w:bookmarkEnd w:id="54"/>
      <w:bookmarkEnd w:id="55"/>
      <w:r>
        <w:rPr>
          <w:rFonts w:ascii="楷体_GB2312" w:eastAsia="楷体_GB2312" w:hAnsi="仿宋" w:hint="eastAsia"/>
        </w:rPr>
        <w:t>资金管理水平</w:t>
      </w:r>
      <w:bookmarkEnd w:id="56"/>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资金管理水平指标主要考核项目资金管理的规范性和资金使用的合理性，包括财务管理制度、资金管理及制度落实情况、资金使用的合理性三个二级指标。指标满分</w:t>
      </w:r>
      <w:r>
        <w:rPr>
          <w:rFonts w:ascii="仿宋_GB2312" w:eastAsia="仿宋_GB2312" w:hAnsi="仿宋" w:cstheme="majorBidi"/>
          <w:bCs/>
          <w:sz w:val="32"/>
          <w:szCs w:val="32"/>
        </w:rPr>
        <w:t>20</w:t>
      </w:r>
      <w:r>
        <w:rPr>
          <w:rFonts w:ascii="仿宋_GB2312" w:eastAsia="仿宋_GB2312" w:hAnsi="仿宋" w:cstheme="majorBidi" w:hint="eastAsia"/>
          <w:bCs/>
          <w:sz w:val="32"/>
          <w:szCs w:val="32"/>
        </w:rPr>
        <w:t>分，综合评价得分1</w:t>
      </w:r>
      <w:r>
        <w:rPr>
          <w:rFonts w:ascii="仿宋_GB2312" w:eastAsia="仿宋_GB2312" w:hAnsi="仿宋" w:cstheme="majorBidi"/>
          <w:bCs/>
          <w:sz w:val="32"/>
          <w:szCs w:val="32"/>
        </w:rPr>
        <w:t>7</w:t>
      </w:r>
      <w:r>
        <w:rPr>
          <w:rFonts w:ascii="仿宋_GB2312" w:eastAsia="仿宋_GB2312" w:hAnsi="仿宋" w:cstheme="majorBidi" w:hint="eastAsia"/>
          <w:bCs/>
          <w:sz w:val="32"/>
          <w:szCs w:val="32"/>
        </w:rPr>
        <w:t>分，得分率</w:t>
      </w:r>
      <w:r>
        <w:rPr>
          <w:rFonts w:ascii="仿宋_GB2312" w:eastAsia="仿宋_GB2312" w:hAnsi="仿宋" w:cstheme="majorBidi"/>
          <w:bCs/>
          <w:sz w:val="32"/>
          <w:szCs w:val="32"/>
        </w:rPr>
        <w:t>85</w:t>
      </w:r>
      <w:r>
        <w:rPr>
          <w:rFonts w:ascii="仿宋_GB2312" w:eastAsia="仿宋_GB2312" w:hAnsi="仿宋" w:cstheme="majorBidi" w:hint="eastAsia"/>
          <w:bCs/>
          <w:sz w:val="32"/>
          <w:szCs w:val="32"/>
        </w:rPr>
        <w:t>%。</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1</w:t>
      </w:r>
      <w:r>
        <w:rPr>
          <w:rFonts w:ascii="仿宋_GB2312" w:eastAsia="仿宋_GB2312" w:hAnsi="仿宋" w:cstheme="majorBidi"/>
          <w:b/>
          <w:bCs/>
          <w:sz w:val="32"/>
          <w:szCs w:val="32"/>
        </w:rPr>
        <w:t>.</w:t>
      </w:r>
      <w:r>
        <w:rPr>
          <w:rFonts w:ascii="仿宋_GB2312" w:eastAsia="仿宋_GB2312" w:hAnsi="仿宋" w:cstheme="majorBidi" w:hint="eastAsia"/>
          <w:b/>
          <w:bCs/>
          <w:sz w:val="32"/>
          <w:szCs w:val="32"/>
        </w:rPr>
        <w:t>财务管理制度</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江海区委宣传部内部财务管理制度健全，但未针对项目制定专项资金管理办法。</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根据评分标准，该指标满分5分，因未制定专项资金管理办法扣</w:t>
      </w:r>
      <w:r>
        <w:rPr>
          <w:rFonts w:ascii="仿宋_GB2312" w:eastAsia="仿宋_GB2312" w:hAnsi="仿宋" w:cstheme="majorBidi"/>
          <w:bCs/>
          <w:sz w:val="32"/>
          <w:szCs w:val="32"/>
        </w:rPr>
        <w:t>2</w:t>
      </w:r>
      <w:r>
        <w:rPr>
          <w:rFonts w:ascii="仿宋_GB2312" w:eastAsia="仿宋_GB2312" w:hAnsi="仿宋" w:cstheme="majorBidi" w:hint="eastAsia"/>
          <w:bCs/>
          <w:sz w:val="32"/>
          <w:szCs w:val="32"/>
        </w:rPr>
        <w:t>分，得分3分。</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2.资金管理及制度落实情况</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项目单位年初预算编制的可行性分析报告中有提及项目实施方案。</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项目2</w:t>
      </w:r>
      <w:r>
        <w:rPr>
          <w:rFonts w:ascii="仿宋_GB2312" w:eastAsia="仿宋_GB2312" w:hAnsi="楷体"/>
          <w:sz w:val="32"/>
          <w:szCs w:val="32"/>
        </w:rPr>
        <w:t>021</w:t>
      </w:r>
      <w:r>
        <w:rPr>
          <w:rFonts w:ascii="仿宋_GB2312" w:eastAsia="仿宋_GB2312" w:hAnsi="楷体" w:hint="eastAsia"/>
          <w:sz w:val="32"/>
          <w:szCs w:val="32"/>
        </w:rPr>
        <w:t>年年初预算安排</w:t>
      </w:r>
      <w:r>
        <w:rPr>
          <w:rFonts w:ascii="仿宋_GB2312" w:eastAsia="仿宋_GB2312" w:hAnsi="楷体"/>
          <w:sz w:val="32"/>
          <w:szCs w:val="32"/>
        </w:rPr>
        <w:t>535.70</w:t>
      </w:r>
      <w:r>
        <w:rPr>
          <w:rFonts w:ascii="仿宋_GB2312" w:eastAsia="仿宋_GB2312" w:hAnsi="楷体" w:hint="eastAsia"/>
          <w:sz w:val="32"/>
          <w:szCs w:val="32"/>
        </w:rPr>
        <w:t>万元，上年结转资金2</w:t>
      </w:r>
      <w:r>
        <w:rPr>
          <w:rFonts w:ascii="仿宋_GB2312" w:eastAsia="仿宋_GB2312" w:hAnsi="楷体"/>
          <w:sz w:val="32"/>
          <w:szCs w:val="32"/>
        </w:rPr>
        <w:t>.66</w:t>
      </w:r>
      <w:r>
        <w:rPr>
          <w:rFonts w:ascii="仿宋_GB2312" w:eastAsia="仿宋_GB2312" w:hAnsi="楷体" w:hint="eastAsia"/>
          <w:sz w:val="32"/>
          <w:szCs w:val="32"/>
        </w:rPr>
        <w:t>万元，</w:t>
      </w:r>
      <w:bookmarkStart w:id="58" w:name="_Hlk113207365"/>
      <w:r>
        <w:rPr>
          <w:rFonts w:ascii="仿宋_GB2312" w:eastAsia="仿宋_GB2312" w:hAnsi="楷体" w:hint="eastAsia"/>
          <w:sz w:val="32"/>
          <w:szCs w:val="32"/>
        </w:rPr>
        <w:t>根据财政对宣传业务经费进行2021年一般性支出压减要求压减0.94万元，2021年底剩余用款计划额度系统批量调减1.85万元</w:t>
      </w:r>
      <w:bookmarkEnd w:id="58"/>
      <w:r>
        <w:rPr>
          <w:rFonts w:ascii="仿宋_GB2312" w:eastAsia="仿宋_GB2312" w:hAnsi="楷体" w:hint="eastAsia"/>
          <w:sz w:val="32"/>
          <w:szCs w:val="32"/>
        </w:rPr>
        <w:t>，全年预算总安排</w:t>
      </w:r>
      <w:r>
        <w:rPr>
          <w:rFonts w:ascii="仿宋_GB2312" w:eastAsia="仿宋_GB2312" w:hAnsi="楷体"/>
          <w:sz w:val="32"/>
          <w:szCs w:val="32"/>
        </w:rPr>
        <w:t>535.57万元</w:t>
      </w:r>
      <w:r>
        <w:rPr>
          <w:rFonts w:ascii="仿宋_GB2312" w:eastAsia="仿宋_GB2312" w:hAnsi="楷体" w:hint="eastAsia"/>
          <w:sz w:val="32"/>
          <w:szCs w:val="32"/>
        </w:rPr>
        <w:t>，实际支出</w:t>
      </w:r>
      <w:r>
        <w:rPr>
          <w:rFonts w:ascii="仿宋_GB2312" w:eastAsia="仿宋_GB2312" w:hAnsi="楷体"/>
          <w:sz w:val="32"/>
          <w:szCs w:val="32"/>
        </w:rPr>
        <w:t>534.95万元</w:t>
      </w:r>
      <w:r>
        <w:rPr>
          <w:rFonts w:ascii="仿宋_GB2312" w:eastAsia="仿宋_GB2312" w:hAnsi="楷体" w:hint="eastAsia"/>
          <w:sz w:val="32"/>
          <w:szCs w:val="32"/>
        </w:rPr>
        <w:t>，项目整体资金支出率为</w:t>
      </w:r>
      <w:r>
        <w:rPr>
          <w:rFonts w:ascii="仿宋_GB2312" w:eastAsia="仿宋_GB2312" w:hAnsi="楷体"/>
          <w:sz w:val="32"/>
          <w:szCs w:val="32"/>
        </w:rPr>
        <w:t>99.88%</w:t>
      </w:r>
      <w:r>
        <w:rPr>
          <w:rFonts w:ascii="仿宋_GB2312" w:eastAsia="仿宋_GB2312" w:hAnsi="楷体" w:hint="eastAsia"/>
          <w:sz w:val="32"/>
          <w:szCs w:val="32"/>
        </w:rPr>
        <w:t>，项目年末结余</w:t>
      </w:r>
      <w:r>
        <w:rPr>
          <w:rFonts w:ascii="仿宋_GB2312" w:eastAsia="仿宋_GB2312" w:hAnsi="楷体"/>
          <w:sz w:val="32"/>
          <w:szCs w:val="32"/>
        </w:rPr>
        <w:t>0.62万元</w:t>
      </w:r>
      <w:r>
        <w:rPr>
          <w:rFonts w:ascii="仿宋_GB2312" w:eastAsia="仿宋_GB2312" w:hAnsi="楷体" w:hint="eastAsia"/>
          <w:sz w:val="32"/>
          <w:szCs w:val="32"/>
        </w:rPr>
        <w:t>，资金结余率</w:t>
      </w:r>
      <w:r>
        <w:rPr>
          <w:rFonts w:ascii="仿宋_GB2312" w:eastAsia="仿宋_GB2312" w:hAnsi="楷体"/>
          <w:sz w:val="32"/>
          <w:szCs w:val="32"/>
        </w:rPr>
        <w:t>0.12%</w:t>
      </w:r>
      <w:r>
        <w:rPr>
          <w:rFonts w:ascii="仿宋_GB2312" w:eastAsia="仿宋_GB2312" w:hAnsi="楷体" w:hint="eastAsia"/>
          <w:sz w:val="32"/>
          <w:szCs w:val="32"/>
        </w:rPr>
        <w:t>。</w:t>
      </w:r>
      <w:bookmarkStart w:id="59" w:name="_Hlk113545046"/>
      <w:r>
        <w:rPr>
          <w:rFonts w:ascii="仿宋_GB2312" w:eastAsia="仿宋_GB2312" w:hAnsi="楷体" w:hint="eastAsia"/>
          <w:sz w:val="32"/>
          <w:szCs w:val="32"/>
        </w:rPr>
        <w:t>部分项目如“重点项目策划宣传费”、“宣传策划费”的资金支出时间超过合同签订支付时限，项目资金支出进度与合同有关规定的相符程度不够高。</w:t>
      </w:r>
    </w:p>
    <w:p>
      <w:pPr>
        <w:spacing w:line="360" w:lineRule="auto"/>
        <w:ind w:firstLine="420" w:firstLineChars="200"/>
        <w:rPr>
          <w:rFonts w:ascii="仿宋_GB2312" w:eastAsia="仿宋_GB2312" w:hAnsi="仿宋" w:cs="Arial"/>
          <w:kern w:val="0"/>
          <w:sz w:val="32"/>
          <w:szCs w:val="32"/>
        </w:rPr>
      </w:pPr>
      <w:r>
        <w:rPr>
          <w:rFonts w:ascii="仿宋_GB2312" w:eastAsia="仿宋_GB2312" w:hAnsi="仿宋" w:cs="Arial" w:hint="eastAsia"/>
          <w:kern w:val="0"/>
          <w:sz w:val="32"/>
          <w:szCs w:val="32"/>
        </w:rPr>
        <w:t>项目资金使用基本符合国家财经法规和财务管理制度的规定，有效控制成本，资金使用较规范。</w:t>
      </w:r>
    </w:p>
    <w:p>
      <w:pPr>
        <w:spacing w:line="360" w:lineRule="auto"/>
        <w:ind w:firstLine="420" w:firstLineChars="200"/>
        <w:rPr>
          <w:rFonts w:ascii="仿宋_GB2312" w:eastAsia="仿宋_GB2312" w:hAnsi="仿宋" w:cs="Arial"/>
          <w:kern w:val="0"/>
          <w:sz w:val="32"/>
          <w:szCs w:val="32"/>
        </w:rPr>
      </w:pPr>
      <w:bookmarkEnd w:id="59"/>
      <w:r>
        <w:rPr>
          <w:rFonts w:ascii="仿宋_GB2312" w:eastAsia="仿宋_GB2312" w:hAnsi="仿宋" w:cs="Arial" w:hint="eastAsia"/>
          <w:kern w:val="0"/>
          <w:sz w:val="32"/>
          <w:szCs w:val="32"/>
        </w:rPr>
        <w:t>根据评分标准，该指标满分1</w:t>
      </w:r>
      <w:r>
        <w:rPr>
          <w:rFonts w:ascii="仿宋_GB2312" w:eastAsia="仿宋_GB2312" w:hAnsi="仿宋" w:cs="Arial"/>
          <w:kern w:val="0"/>
          <w:sz w:val="32"/>
          <w:szCs w:val="32"/>
        </w:rPr>
        <w:t>0</w:t>
      </w:r>
      <w:r>
        <w:rPr>
          <w:rFonts w:ascii="仿宋_GB2312" w:eastAsia="仿宋_GB2312" w:hAnsi="仿宋" w:cs="Arial" w:hint="eastAsia"/>
          <w:kern w:val="0"/>
          <w:sz w:val="32"/>
          <w:szCs w:val="32"/>
        </w:rPr>
        <w:t>分，因</w:t>
      </w:r>
      <w:r>
        <w:rPr>
          <w:rFonts w:ascii="仿宋_GB2312" w:eastAsia="仿宋_GB2312" w:hAnsi="楷体" w:hint="eastAsia"/>
          <w:sz w:val="32"/>
          <w:szCs w:val="32"/>
        </w:rPr>
        <w:t>部分项目资金支出进度与合同有关规定的相符程度不够高</w:t>
      </w:r>
      <w:r>
        <w:rPr>
          <w:rFonts w:ascii="仿宋_GB2312" w:eastAsia="仿宋_GB2312" w:hAnsi="仿宋" w:cs="Arial" w:hint="eastAsia"/>
          <w:kern w:val="0"/>
          <w:sz w:val="32"/>
          <w:szCs w:val="32"/>
        </w:rPr>
        <w:t>扣</w:t>
      </w:r>
      <w:r>
        <w:rPr>
          <w:rFonts w:ascii="仿宋_GB2312" w:eastAsia="仿宋_GB2312" w:hAnsi="仿宋" w:cs="Arial"/>
          <w:kern w:val="0"/>
          <w:sz w:val="32"/>
          <w:szCs w:val="32"/>
        </w:rPr>
        <w:t>1</w:t>
      </w:r>
      <w:r>
        <w:rPr>
          <w:rFonts w:ascii="仿宋_GB2312" w:eastAsia="仿宋_GB2312" w:hAnsi="仿宋" w:cs="Arial" w:hint="eastAsia"/>
          <w:kern w:val="0"/>
          <w:sz w:val="32"/>
          <w:szCs w:val="32"/>
        </w:rPr>
        <w:t>分，得分</w:t>
      </w:r>
      <w:r>
        <w:rPr>
          <w:rFonts w:ascii="仿宋_GB2312" w:eastAsia="仿宋_GB2312" w:hAnsi="仿宋" w:cs="Arial"/>
          <w:kern w:val="0"/>
          <w:sz w:val="32"/>
          <w:szCs w:val="32"/>
        </w:rPr>
        <w:t>9</w:t>
      </w:r>
      <w:r>
        <w:rPr>
          <w:rFonts w:ascii="仿宋_GB2312" w:eastAsia="仿宋_GB2312" w:hAnsi="仿宋" w:cs="Arial" w:hint="eastAsia"/>
          <w:kern w:val="0"/>
          <w:sz w:val="32"/>
          <w:szCs w:val="32"/>
        </w:rPr>
        <w:t>分。</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3.资金使用的合理性</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项目具体支出内容共</w:t>
      </w:r>
      <w:r>
        <w:rPr>
          <w:rFonts w:ascii="仿宋_GB2312" w:eastAsia="仿宋_GB2312" w:hAnsi="仿宋" w:cstheme="majorBidi"/>
          <w:bCs/>
          <w:sz w:val="32"/>
          <w:szCs w:val="32"/>
        </w:rPr>
        <w:t>28</w:t>
      </w:r>
      <w:r>
        <w:rPr>
          <w:rFonts w:ascii="仿宋_GB2312" w:eastAsia="仿宋_GB2312" w:hAnsi="仿宋" w:cstheme="majorBidi" w:hint="eastAsia"/>
          <w:bCs/>
          <w:sz w:val="32"/>
          <w:szCs w:val="32"/>
        </w:rPr>
        <w:t>项，具体支出内容如下表2</w:t>
      </w:r>
      <w:r>
        <w:rPr>
          <w:rFonts w:ascii="仿宋_GB2312" w:eastAsia="仿宋_GB2312" w:hAnsi="仿宋" w:cstheme="majorBidi"/>
          <w:bCs/>
          <w:sz w:val="32"/>
          <w:szCs w:val="32"/>
        </w:rPr>
        <w:t>-5</w:t>
      </w:r>
      <w:r>
        <w:rPr>
          <w:rFonts w:ascii="仿宋_GB2312" w:eastAsia="仿宋_GB2312" w:hAnsi="仿宋" w:cstheme="majorBidi" w:hint="eastAsia"/>
          <w:bCs/>
          <w:sz w:val="32"/>
          <w:szCs w:val="32"/>
        </w:rPr>
        <w:t>所示，整体支出内容构成较合理。</w:t>
      </w: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5</w:t>
      </w:r>
      <w:r>
        <w:rPr>
          <w:rFonts w:ascii="黑体" w:eastAsia="黑体" w:hAnsi="黑体" w:hint="eastAsia"/>
          <w:sz w:val="28"/>
          <w:szCs w:val="28"/>
        </w:rPr>
        <w:t xml:space="preserve"> </w:t>
      </w:r>
      <w:r>
        <w:rPr>
          <w:rFonts w:ascii="黑体" w:eastAsia="黑体" w:hAnsi="黑体"/>
          <w:sz w:val="28"/>
          <w:szCs w:val="28"/>
        </w:rPr>
        <w:t>2021年</w:t>
      </w:r>
      <w:r>
        <w:rPr>
          <w:rFonts w:ascii="黑体" w:eastAsia="黑体" w:hAnsi="黑体" w:hint="eastAsia"/>
          <w:sz w:val="28"/>
          <w:szCs w:val="28"/>
        </w:rPr>
        <w:t>宣传业务经费（含国防教育）具体支出明细表</w:t>
      </w:r>
    </w:p>
    <w:tbl>
      <w:tblPr>
        <w:tblStyle w:val="TableNormal"/>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693"/>
        <w:gridCol w:w="3575"/>
        <w:gridCol w:w="1726"/>
        <w:gridCol w:w="1293"/>
        <w:gridCol w:w="1048"/>
      </w:tblGrid>
      <w:tr>
        <w:tblPrEx>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89"/>
          <w:jc w:val="center"/>
        </w:trPr>
        <w:tc>
          <w:tcPr>
            <w:tcW w:w="693"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序号</w:t>
            </w:r>
          </w:p>
        </w:tc>
        <w:tc>
          <w:tcPr>
            <w:tcW w:w="3575"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具体支出内容</w:t>
            </w:r>
          </w:p>
        </w:tc>
        <w:tc>
          <w:tcPr>
            <w:tcW w:w="1726"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对应经济支出科目</w:t>
            </w:r>
          </w:p>
        </w:tc>
        <w:tc>
          <w:tcPr>
            <w:tcW w:w="1293"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支出金额（万元）</w:t>
            </w:r>
          </w:p>
        </w:tc>
        <w:tc>
          <w:tcPr>
            <w:tcW w:w="1048" w:type="dxa"/>
            <w:shd w:val="clear" w:color="auto" w:fill="F1F1F1" w:themeFill="background1" w:themeFillShade="F2"/>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资金占比</w:t>
            </w:r>
          </w:p>
        </w:tc>
      </w:tr>
      <w:tr>
        <w:tblPrEx>
          <w:tblW w:w="8335" w:type="dxa"/>
          <w:jc w:val="center"/>
          <w:tblCellMar>
            <w:top w:w="0" w:type="dxa"/>
            <w:left w:w="108" w:type="dxa"/>
            <w:bottom w:w="0" w:type="dxa"/>
            <w:right w:w="108" w:type="dxa"/>
          </w:tblCellMar>
        </w:tblPrEx>
        <w:trPr>
          <w:trHeight w:val="589"/>
          <w:jc w:val="center"/>
        </w:trPr>
        <w:tc>
          <w:tcPr>
            <w:tcW w:w="693"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合计</w:t>
            </w:r>
          </w:p>
        </w:tc>
        <w:tc>
          <w:tcPr>
            <w:tcW w:w="3575"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c>
          <w:tcPr>
            <w:tcW w:w="1726" w:type="dxa"/>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c>
          <w:tcPr>
            <w:tcW w:w="1293"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534.95</w:t>
            </w:r>
          </w:p>
        </w:tc>
        <w:tc>
          <w:tcPr>
            <w:tcW w:w="1048" w:type="dxa"/>
            <w:shd w:val="clear" w:color="auto" w:fill="auto"/>
            <w:vAlign w:val="center"/>
          </w:tcPr>
          <w:p>
            <w:pPr>
              <w:widowControl/>
              <w:jc w:val="center"/>
              <w:rPr>
                <w:rFonts w:ascii="仿宋_GB2312" w:eastAsia="仿宋_GB2312" w:hAnsi="等线" w:cs="宋体"/>
                <w:b/>
                <w:bCs/>
                <w:kern w:val="0"/>
                <w:sz w:val="24"/>
              </w:rPr>
            </w:pPr>
            <w:r>
              <w:rPr>
                <w:rFonts w:ascii="仿宋_GB2312" w:eastAsia="仿宋_GB2312" w:hAnsi="等线" w:cs="宋体" w:hint="eastAsia"/>
                <w:b/>
                <w:bCs/>
                <w:kern w:val="0"/>
                <w:sz w:val="24"/>
              </w:rPr>
              <w:t>——</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购置办公用品</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办公费</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0.19%</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培训以及交通食宿</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培训费</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0.37</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0.07%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3</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公务用餐</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公务接待费</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0.03</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0.01%</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4</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图片资料收集及视频制作一批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劳务费</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3</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0.56%</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5</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委托业务费</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7.39</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1.38%</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6</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学习强国推广流量充值服务</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委托业务费</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0.37%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7</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第四季系列工作宣传费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其他商品和服务支出</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8</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活动宣传费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其他商品和服务支出</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20.15</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3.77%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9</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培训研讨会补贴</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其他商品和服务支出</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11.95</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2.23%</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10</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新闻学会工作经费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其他商品和服务支出</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10.84</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2.03%</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11</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购相机及镜头和空调</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办公设备购置</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8.71</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1.63%</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12</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宣传策划费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13</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江海新闻上半年宣传费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14</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高新新闻年度合作费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98</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18.32%</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15</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重点项目策划宣传费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14</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2.62%</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16</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党史学习教育知识长廊宣传费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17</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江海新闻下半年合作经费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bl>
    <w:p/>
    <w:p>
      <w:pPr>
        <w:jc w:val="right"/>
      </w:pPr>
      <w:r>
        <w:br w:type="column"/>
      </w:r>
      <w:r>
        <w:rPr>
          <w:rFonts w:hint="eastAsia"/>
        </w:rPr>
        <w:t>续表</w:t>
      </w:r>
    </w:p>
    <w:tbl>
      <w:tblPr>
        <w:tblStyle w:val="TableNormal"/>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693"/>
        <w:gridCol w:w="3575"/>
        <w:gridCol w:w="1726"/>
        <w:gridCol w:w="1293"/>
        <w:gridCol w:w="1048"/>
      </w:tblGrid>
      <w:tr>
        <w:tblPrEx>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454"/>
          <w:jc w:val="center"/>
        </w:trPr>
        <w:tc>
          <w:tcPr>
            <w:tcW w:w="693" w:type="dxa"/>
            <w:shd w:val="clear" w:color="auto" w:fill="F1F1F1" w:themeFill="background1" w:themeFillShade="F2"/>
            <w:vAlign w:val="center"/>
          </w:tcPr>
          <w:p>
            <w:pPr>
              <w:widowControl/>
              <w:jc w:val="center"/>
              <w:rPr>
                <w:rFonts w:ascii="仿宋_GB2312" w:eastAsia="仿宋_GB2312"/>
                <w:kern w:val="0"/>
                <w:sz w:val="24"/>
              </w:rPr>
            </w:pPr>
            <w:r>
              <w:rPr>
                <w:rFonts w:ascii="仿宋_GB2312" w:eastAsia="仿宋_GB2312" w:hAnsi="等线" w:cs="宋体" w:hint="eastAsia"/>
                <w:b/>
                <w:bCs/>
                <w:kern w:val="0"/>
                <w:sz w:val="24"/>
              </w:rPr>
              <w:t>序号</w:t>
            </w:r>
          </w:p>
        </w:tc>
        <w:tc>
          <w:tcPr>
            <w:tcW w:w="3575" w:type="dxa"/>
            <w:shd w:val="clear" w:color="auto" w:fill="F1F1F1" w:themeFill="background1" w:themeFillShade="F2"/>
            <w:vAlign w:val="center"/>
          </w:tcPr>
          <w:p>
            <w:pPr>
              <w:widowControl/>
              <w:jc w:val="center"/>
              <w:rPr>
                <w:rFonts w:ascii="仿宋_GB2312" w:eastAsia="仿宋_GB2312" w:hAnsi="仿宋_GB2312" w:cs="仿宋_GB2312"/>
                <w:kern w:val="0"/>
                <w:sz w:val="24"/>
              </w:rPr>
            </w:pPr>
            <w:r>
              <w:rPr>
                <w:rFonts w:ascii="仿宋_GB2312" w:eastAsia="仿宋_GB2312" w:hAnsi="等线" w:cs="宋体" w:hint="eastAsia"/>
                <w:b/>
                <w:bCs/>
                <w:kern w:val="0"/>
                <w:sz w:val="24"/>
              </w:rPr>
              <w:t>具体支出内容</w:t>
            </w:r>
          </w:p>
        </w:tc>
        <w:tc>
          <w:tcPr>
            <w:tcW w:w="1726" w:type="dxa"/>
            <w:shd w:val="clear" w:color="auto" w:fill="F1F1F1" w:themeFill="background1" w:themeFillShade="F2"/>
            <w:vAlign w:val="center"/>
          </w:tcPr>
          <w:p>
            <w:pPr>
              <w:widowControl/>
              <w:jc w:val="center"/>
              <w:rPr>
                <w:rFonts w:ascii="仿宋_GB2312" w:eastAsia="仿宋_GB2312" w:hAnsi="仿宋_GB2312" w:cs="仿宋_GB2312"/>
                <w:kern w:val="0"/>
                <w:sz w:val="24"/>
              </w:rPr>
            </w:pPr>
            <w:r>
              <w:rPr>
                <w:rFonts w:ascii="仿宋_GB2312" w:eastAsia="仿宋_GB2312" w:hAnsi="等线" w:cs="宋体" w:hint="eastAsia"/>
                <w:b/>
                <w:bCs/>
                <w:kern w:val="0"/>
                <w:sz w:val="24"/>
              </w:rPr>
              <w:t>对应经济支出科目</w:t>
            </w:r>
          </w:p>
        </w:tc>
        <w:tc>
          <w:tcPr>
            <w:tcW w:w="1293" w:type="dxa"/>
            <w:shd w:val="clear" w:color="auto" w:fill="F1F1F1" w:themeFill="background1" w:themeFillShade="F2"/>
            <w:vAlign w:val="center"/>
          </w:tcPr>
          <w:p>
            <w:pPr>
              <w:widowControl/>
              <w:jc w:val="center"/>
              <w:rPr>
                <w:rFonts w:ascii="仿宋_GB2312" w:eastAsia="仿宋_GB2312" w:hAnsi="仿宋_GB2312" w:cs="仿宋_GB2312"/>
                <w:kern w:val="0"/>
                <w:sz w:val="24"/>
              </w:rPr>
            </w:pPr>
            <w:r>
              <w:rPr>
                <w:rFonts w:ascii="仿宋_GB2312" w:eastAsia="仿宋_GB2312" w:hAnsi="等线" w:cs="宋体" w:hint="eastAsia"/>
                <w:b/>
                <w:bCs/>
                <w:kern w:val="0"/>
                <w:sz w:val="24"/>
              </w:rPr>
              <w:t>支出金额（万元）</w:t>
            </w:r>
          </w:p>
        </w:tc>
        <w:tc>
          <w:tcPr>
            <w:tcW w:w="1048" w:type="dxa"/>
            <w:shd w:val="clear" w:color="auto" w:fill="F1F1F1" w:themeFill="background1" w:themeFillShade="F2"/>
            <w:vAlign w:val="center"/>
          </w:tcPr>
          <w:p>
            <w:pPr>
              <w:widowControl/>
              <w:jc w:val="center"/>
              <w:rPr>
                <w:rFonts w:ascii="仿宋_GB2312" w:eastAsia="仿宋_GB2312"/>
                <w:sz w:val="24"/>
              </w:rPr>
            </w:pPr>
            <w:r>
              <w:rPr>
                <w:rFonts w:ascii="仿宋_GB2312" w:eastAsia="仿宋_GB2312" w:hAnsi="等线" w:cs="宋体" w:hint="eastAsia"/>
                <w:b/>
                <w:bCs/>
                <w:kern w:val="0"/>
                <w:sz w:val="24"/>
              </w:rPr>
              <w:t>资金占比</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18</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高新视频号宣传费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19</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七一特刊宣传费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30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5.61%</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20</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学党史订报费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20.33</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3.80%</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21</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微信代运营费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50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9.35%</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22</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南方日报年度合作费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7.48%</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23</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强国有我宣传费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11</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2.06%</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24</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网络安全宣传周活动</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10</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1.87%</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25</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新闻学会工作经费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5.15</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0.96%</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26</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触网关爱志愿行动服务活动</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4.44</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0.83%</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kern w:val="0"/>
                <w:sz w:val="24"/>
              </w:rPr>
              <w:t>2</w:t>
            </w:r>
            <w:r>
              <w:rPr>
                <w:rFonts w:ascii="仿宋_GB2312" w:eastAsia="仿宋_GB2312"/>
                <w:kern w:val="0"/>
                <w:sz w:val="24"/>
              </w:rPr>
              <w:t>7</w:t>
            </w:r>
          </w:p>
        </w:tc>
        <w:tc>
          <w:tcPr>
            <w:tcW w:w="3575"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拍摄报道宣传费</w:t>
            </w:r>
          </w:p>
        </w:tc>
        <w:tc>
          <w:tcPr>
            <w:tcW w:w="1726" w:type="dxa"/>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Ansi="仿宋_GB2312" w:cs="仿宋_GB2312" w:hint="eastAsia"/>
                <w:kern w:val="0"/>
                <w:sz w:val="24"/>
              </w:rPr>
              <w:t>65.59</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12.26%</w:t>
            </w:r>
          </w:p>
        </w:tc>
      </w:tr>
      <w:tr>
        <w:tblPrEx>
          <w:tblW w:w="8335" w:type="dxa"/>
          <w:jc w:val="center"/>
          <w:tblCellMar>
            <w:top w:w="0" w:type="dxa"/>
            <w:left w:w="108" w:type="dxa"/>
            <w:bottom w:w="0" w:type="dxa"/>
            <w:right w:w="108" w:type="dxa"/>
          </w:tblCellMar>
        </w:tblPrEx>
        <w:trPr>
          <w:trHeight w:val="454"/>
          <w:jc w:val="center"/>
        </w:trPr>
        <w:tc>
          <w:tcPr>
            <w:tcW w:w="693" w:type="dxa"/>
            <w:shd w:val="clear" w:color="auto" w:fill="auto"/>
            <w:vAlign w:val="center"/>
          </w:tcPr>
          <w:p>
            <w:pPr>
              <w:widowControl/>
              <w:jc w:val="center"/>
              <w:rPr>
                <w:rFonts w:ascii="仿宋_GB2312" w:eastAsia="仿宋_GB2312"/>
                <w:kern w:val="0"/>
                <w:sz w:val="24"/>
              </w:rPr>
            </w:pPr>
            <w:r>
              <w:rPr>
                <w:rFonts w:ascii="仿宋_GB2312" w:eastAsia="仿宋_GB2312" w:hint="eastAsia"/>
                <w:kern w:val="0"/>
                <w:sz w:val="24"/>
              </w:rPr>
              <w:t>2</w:t>
            </w:r>
            <w:r>
              <w:rPr>
                <w:rFonts w:ascii="仿宋_GB2312" w:eastAsia="仿宋_GB2312"/>
                <w:kern w:val="0"/>
                <w:sz w:val="24"/>
              </w:rPr>
              <w:t>8</w:t>
            </w:r>
          </w:p>
        </w:tc>
        <w:tc>
          <w:tcPr>
            <w:tcW w:w="3575" w:type="dxa"/>
            <w:shd w:val="clear" w:color="auto" w:fill="auto"/>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打印纸</w:t>
            </w:r>
          </w:p>
        </w:tc>
        <w:tc>
          <w:tcPr>
            <w:tcW w:w="1726" w:type="dxa"/>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费用补贴</w:t>
            </w:r>
          </w:p>
        </w:tc>
        <w:tc>
          <w:tcPr>
            <w:tcW w:w="1293" w:type="dxa"/>
            <w:shd w:val="clear" w:color="auto" w:fill="auto"/>
            <w:vAlign w:val="center"/>
          </w:tcPr>
          <w:p>
            <w:pPr>
              <w:widowControl/>
              <w:jc w:val="center"/>
              <w:rPr>
                <w:rFonts w:ascii="仿宋_GB2312" w:eastAsia="仿宋_GB2312" w:hAnsi="仿宋_GB2312" w:cs="仿宋_GB2312"/>
                <w:kern w:val="0"/>
                <w:sz w:val="24"/>
              </w:rPr>
            </w:pPr>
            <w:r>
              <w:rPr>
                <w:rFonts w:ascii="仿宋_GB2312" w:eastAsia="仿宋_GB2312" w:hAnsi="仿宋_GB2312" w:cs="仿宋_GB2312" w:hint="eastAsia"/>
                <w:kern w:val="0"/>
                <w:sz w:val="24"/>
              </w:rPr>
              <w:t>1</w:t>
            </w:r>
          </w:p>
        </w:tc>
        <w:tc>
          <w:tcPr>
            <w:tcW w:w="1048" w:type="dxa"/>
            <w:shd w:val="clear" w:color="auto" w:fill="auto"/>
            <w:vAlign w:val="center"/>
          </w:tcPr>
          <w:p>
            <w:pPr>
              <w:widowControl/>
              <w:jc w:val="center"/>
              <w:rPr>
                <w:rFonts w:ascii="仿宋_GB2312" w:eastAsia="仿宋_GB2312" w:hAnsi="等线" w:cs="宋体"/>
                <w:kern w:val="0"/>
                <w:sz w:val="24"/>
              </w:rPr>
            </w:pPr>
            <w:r>
              <w:rPr>
                <w:rFonts w:ascii="仿宋_GB2312" w:eastAsia="仿宋_GB2312" w:hint="eastAsia"/>
                <w:sz w:val="24"/>
              </w:rPr>
              <w:t>0.19%</w:t>
            </w:r>
          </w:p>
        </w:tc>
      </w:tr>
    </w:tbl>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项目具体支出构成的标准、数量及计算依据说明基本清晰。</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根据评分标准，该指标满分5分，不扣分，得分5分。</w:t>
      </w:r>
    </w:p>
    <w:p>
      <w:pPr>
        <w:pStyle w:val="Heading2"/>
        <w:spacing w:before="120" w:after="0" w:line="360" w:lineRule="auto"/>
        <w:ind w:firstLine="420" w:firstLineChars="200"/>
        <w:rPr>
          <w:rFonts w:ascii="楷体_GB2312" w:eastAsia="楷体_GB2312" w:hAnsi="仿宋"/>
        </w:rPr>
      </w:pPr>
      <w:bookmarkStart w:id="60" w:name="_Toc75018704"/>
      <w:bookmarkStart w:id="61" w:name="_Toc486952626"/>
      <w:bookmarkStart w:id="62" w:name="_Toc113562273"/>
      <w:r>
        <w:rPr>
          <w:rFonts w:ascii="楷体_GB2312" w:eastAsia="楷体_GB2312" w:hAnsi="仿宋" w:hint="eastAsia"/>
        </w:rPr>
        <w:t>（二）项目管理</w:t>
      </w:r>
      <w:bookmarkEnd w:id="60"/>
      <w:bookmarkEnd w:id="61"/>
      <w:r>
        <w:rPr>
          <w:rFonts w:ascii="楷体_GB2312" w:eastAsia="楷体_GB2312" w:hAnsi="仿宋" w:hint="eastAsia"/>
        </w:rPr>
        <w:t>水平</w:t>
      </w:r>
      <w:bookmarkEnd w:id="62"/>
    </w:p>
    <w:p>
      <w:pPr>
        <w:spacing w:line="360" w:lineRule="auto"/>
        <w:rPr>
          <w:rFonts w:ascii="仿宋_GB2312" w:eastAsia="仿宋_GB2312" w:hAnsi="仿宋"/>
          <w:b/>
          <w:sz w:val="32"/>
          <w:szCs w:val="32"/>
        </w:rPr>
      </w:pPr>
      <w:r>
        <w:rPr>
          <w:rFonts w:ascii="仿宋_GB2312" w:eastAsia="仿宋_GB2312" w:hAnsi="仿宋" w:hint="eastAsia"/>
          <w:b/>
          <w:sz w:val="32"/>
          <w:szCs w:val="32"/>
        </w:rPr>
        <w:t xml:space="preserve">   </w:t>
      </w:r>
      <w:r>
        <w:rPr>
          <w:rFonts w:ascii="仿宋_GB2312" w:eastAsia="仿宋_GB2312" w:hAnsi="仿宋" w:cstheme="majorBidi" w:hint="eastAsia"/>
          <w:bCs/>
          <w:sz w:val="32"/>
          <w:szCs w:val="32"/>
        </w:rPr>
        <w:t xml:space="preserve"> 项目管理水平指标主要考核项目实施过程的管理情况等方面，包括项目管理情况、项目完成情况和项目实施与改进情况三个二级指标。指标满分</w:t>
      </w:r>
      <w:r>
        <w:rPr>
          <w:rFonts w:ascii="仿宋_GB2312" w:eastAsia="仿宋_GB2312" w:hAnsi="仿宋" w:cstheme="majorBidi"/>
          <w:bCs/>
          <w:sz w:val="32"/>
          <w:szCs w:val="32"/>
        </w:rPr>
        <w:t>20</w:t>
      </w:r>
      <w:r>
        <w:rPr>
          <w:rFonts w:ascii="仿宋_GB2312" w:eastAsia="仿宋_GB2312" w:hAnsi="仿宋" w:cstheme="majorBidi" w:hint="eastAsia"/>
          <w:bCs/>
          <w:sz w:val="32"/>
          <w:szCs w:val="32"/>
        </w:rPr>
        <w:t>分，综合评价得分</w:t>
      </w:r>
      <w:r>
        <w:rPr>
          <w:rFonts w:ascii="仿宋_GB2312" w:eastAsia="仿宋_GB2312" w:hAnsi="仿宋" w:cstheme="majorBidi"/>
          <w:bCs/>
          <w:sz w:val="32"/>
          <w:szCs w:val="32"/>
        </w:rPr>
        <w:t>13.5</w:t>
      </w:r>
      <w:r>
        <w:rPr>
          <w:rFonts w:ascii="仿宋_GB2312" w:eastAsia="仿宋_GB2312" w:hAnsi="仿宋" w:cstheme="majorBidi" w:hint="eastAsia"/>
          <w:bCs/>
          <w:sz w:val="32"/>
          <w:szCs w:val="32"/>
        </w:rPr>
        <w:t>分，得分率</w:t>
      </w:r>
      <w:r>
        <w:rPr>
          <w:rFonts w:ascii="仿宋_GB2312" w:eastAsia="仿宋_GB2312" w:hAnsi="仿宋" w:cstheme="majorBidi"/>
          <w:bCs/>
          <w:sz w:val="32"/>
          <w:szCs w:val="32"/>
        </w:rPr>
        <w:t>67.5</w:t>
      </w:r>
      <w:r>
        <w:rPr>
          <w:rFonts w:ascii="仿宋_GB2312" w:eastAsia="仿宋_GB2312" w:hAnsi="仿宋" w:cstheme="majorBidi" w:hint="eastAsia"/>
          <w:bCs/>
          <w:sz w:val="32"/>
          <w:szCs w:val="32"/>
        </w:rPr>
        <w:t>%。</w:t>
      </w:r>
    </w:p>
    <w:p>
      <w:pPr>
        <w:spacing w:line="360" w:lineRule="auto"/>
        <w:ind w:firstLine="420" w:firstLineChars="200"/>
        <w:rPr>
          <w:rFonts w:ascii="仿宋_GB2312" w:eastAsia="仿宋_GB2312" w:hAnsi="仿宋"/>
          <w:b/>
          <w:sz w:val="32"/>
          <w:szCs w:val="32"/>
        </w:rPr>
      </w:pPr>
      <w:r>
        <w:rPr>
          <w:rFonts w:ascii="仿宋_GB2312" w:eastAsia="仿宋_GB2312" w:hAnsi="仿宋" w:hint="eastAsia"/>
          <w:b/>
          <w:sz w:val="32"/>
          <w:szCs w:val="32"/>
        </w:rPr>
        <w:t>1.项目管理情况</w:t>
      </w:r>
    </w:p>
    <w:p>
      <w:pPr>
        <w:spacing w:line="360" w:lineRule="auto"/>
        <w:ind w:firstLine="420" w:firstLineChars="200"/>
        <w:rPr>
          <w:rFonts w:ascii="仿宋_GB2312" w:eastAsia="仿宋_GB2312" w:hAnsi="仿宋" w:cstheme="majorBidi"/>
          <w:bCs/>
          <w:sz w:val="32"/>
          <w:szCs w:val="32"/>
        </w:rPr>
      </w:pPr>
      <w:bookmarkStart w:id="63" w:name="_Hlk112092442"/>
      <w:r>
        <w:rPr>
          <w:rFonts w:ascii="仿宋_GB2312" w:eastAsia="仿宋_GB2312" w:hAnsi="仿宋" w:hint="eastAsia"/>
          <w:sz w:val="32"/>
          <w:szCs w:val="32"/>
        </w:rPr>
        <w:t>项目单位有成立管理科室负责</w:t>
      </w:r>
      <w:bookmarkEnd w:id="63"/>
      <w:r>
        <w:rPr>
          <w:rFonts w:ascii="仿宋_GB2312" w:eastAsia="仿宋_GB2312" w:hAnsi="仿宋" w:hint="eastAsia"/>
          <w:sz w:val="32"/>
          <w:szCs w:val="32"/>
        </w:rPr>
        <w:t>该专项工作</w:t>
      </w:r>
      <w:r>
        <w:rPr>
          <w:rFonts w:ascii="仿宋_GB2312" w:eastAsia="仿宋_GB2312" w:hAnsi="仿宋" w:cstheme="majorBidi" w:hint="eastAsia"/>
          <w:bCs/>
          <w:sz w:val="32"/>
          <w:szCs w:val="32"/>
        </w:rPr>
        <w:t>。</w:t>
      </w:r>
    </w:p>
    <w:p>
      <w:pPr>
        <w:spacing w:line="360" w:lineRule="auto"/>
        <w:ind w:firstLine="420" w:firstLineChars="200"/>
        <w:rPr>
          <w:rFonts w:ascii="仿宋_GB2312" w:eastAsia="仿宋_GB2312" w:hAnsi="仿宋" w:cstheme="majorBidi"/>
          <w:bCs/>
          <w:sz w:val="32"/>
          <w:szCs w:val="32"/>
        </w:rPr>
      </w:pPr>
      <w:bookmarkStart w:id="64" w:name="_Hlk112266533"/>
      <w:bookmarkStart w:id="65" w:name="_Hlk112405213"/>
      <w:r>
        <w:rPr>
          <w:rFonts w:ascii="仿宋_GB2312" w:eastAsia="仿宋_GB2312" w:hAnsi="仿宋" w:cstheme="majorBidi" w:hint="eastAsia"/>
          <w:bCs/>
          <w:sz w:val="32"/>
          <w:szCs w:val="32"/>
        </w:rPr>
        <w:t>项目单位年初预算编制的可行性分析报告中有提及项目实施方案，但方案不够具体，仅明确了每季度完成的绩效目标，未明确项目实施组织形式等内容；另外项目实施过程中有针对个别子项目制定方案，子项目方案较合理，可操性较高</w:t>
      </w:r>
      <w:r>
        <w:rPr>
          <w:rFonts w:ascii="仿宋_GB2312" w:eastAsia="仿宋_GB2312" w:hAnsi="仿宋" w:hint="eastAsia"/>
          <w:sz w:val="32"/>
          <w:szCs w:val="32"/>
        </w:rPr>
        <w:t>。</w:t>
      </w:r>
    </w:p>
    <w:p>
      <w:pPr>
        <w:spacing w:line="360" w:lineRule="auto"/>
        <w:ind w:firstLine="420" w:firstLineChars="200"/>
        <w:rPr>
          <w:rFonts w:ascii="仿宋_GB2312" w:eastAsia="仿宋_GB2312" w:hAnsi="仿宋" w:cstheme="majorBidi"/>
          <w:bCs/>
          <w:sz w:val="32"/>
          <w:szCs w:val="32"/>
        </w:rPr>
      </w:pPr>
      <w:bookmarkEnd w:id="64"/>
      <w:bookmarkEnd w:id="65"/>
      <w:r>
        <w:rPr>
          <w:rFonts w:ascii="仿宋_GB2312" w:eastAsia="仿宋_GB2312" w:hAnsi="仿宋" w:cstheme="majorBidi" w:hint="eastAsia"/>
          <w:bCs/>
          <w:sz w:val="32"/>
          <w:szCs w:val="32"/>
        </w:rPr>
        <w:t>项目单位未针对该专项制定建立项目实施管理办法或保障措施。</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项目根据财政对宣传业务经费进行2021年一般性支出压减要求压减0.94万元，2021年底剩余用款计划额度系统批量调减1.85万元，项目单位按照规定办理了相关审批手续，调整内容较合理。</w:t>
      </w:r>
    </w:p>
    <w:p>
      <w:pPr>
        <w:spacing w:line="360" w:lineRule="auto"/>
        <w:ind w:firstLine="420" w:firstLineChars="200"/>
        <w:rPr>
          <w:rFonts w:ascii="仿宋_GB2312" w:eastAsia="仿宋_GB2312" w:hAnsi="仿宋" w:cstheme="majorBidi"/>
          <w:bCs/>
          <w:sz w:val="32"/>
          <w:szCs w:val="32"/>
        </w:rPr>
      </w:pPr>
      <w:r>
        <w:rPr>
          <w:rFonts w:ascii="仿宋_GB2312" w:eastAsia="仿宋_GB2312" w:hAnsi="楷体" w:hint="eastAsia"/>
          <w:sz w:val="32"/>
          <w:szCs w:val="32"/>
        </w:rPr>
        <w:t>根据评分标准，该指标满分</w:t>
      </w:r>
      <w:r>
        <w:rPr>
          <w:rFonts w:ascii="仿宋_GB2312" w:eastAsia="仿宋_GB2312" w:hAnsi="楷体"/>
          <w:sz w:val="32"/>
          <w:szCs w:val="32"/>
        </w:rPr>
        <w:t>6</w:t>
      </w:r>
      <w:r>
        <w:rPr>
          <w:rFonts w:ascii="仿宋_GB2312" w:eastAsia="仿宋_GB2312" w:hAnsi="楷体" w:hint="eastAsia"/>
          <w:sz w:val="32"/>
          <w:szCs w:val="32"/>
        </w:rPr>
        <w:t>分，因</w:t>
      </w:r>
      <w:r>
        <w:rPr>
          <w:rFonts w:ascii="仿宋_GB2312" w:eastAsia="仿宋_GB2312" w:hAnsi="仿宋" w:cstheme="majorBidi" w:hint="eastAsia"/>
          <w:bCs/>
          <w:sz w:val="32"/>
          <w:szCs w:val="32"/>
        </w:rPr>
        <w:t>缺乏项目实施的具体方案以及</w:t>
      </w:r>
      <w:r>
        <w:rPr>
          <w:rFonts w:ascii="仿宋_GB2312" w:eastAsia="仿宋_GB2312" w:hAnsi="楷体" w:hint="eastAsia"/>
          <w:sz w:val="32"/>
          <w:szCs w:val="32"/>
        </w:rPr>
        <w:t>未制定建立项目实施管理办法或保障措施扣2</w:t>
      </w:r>
      <w:r>
        <w:rPr>
          <w:rFonts w:ascii="仿宋_GB2312" w:eastAsia="仿宋_GB2312" w:hAnsi="楷体"/>
          <w:sz w:val="32"/>
          <w:szCs w:val="32"/>
        </w:rPr>
        <w:t>.5</w:t>
      </w:r>
      <w:r>
        <w:rPr>
          <w:rFonts w:ascii="仿宋_GB2312" w:eastAsia="仿宋_GB2312" w:hAnsi="楷体" w:hint="eastAsia"/>
          <w:sz w:val="32"/>
          <w:szCs w:val="32"/>
        </w:rPr>
        <w:t>分，得分</w:t>
      </w:r>
      <w:r>
        <w:rPr>
          <w:rFonts w:ascii="仿宋_GB2312" w:eastAsia="仿宋_GB2312" w:hAnsi="楷体"/>
          <w:sz w:val="32"/>
          <w:szCs w:val="32"/>
        </w:rPr>
        <w:t>3.5</w:t>
      </w:r>
      <w:r>
        <w:rPr>
          <w:rFonts w:ascii="仿宋_GB2312" w:eastAsia="仿宋_GB2312" w:hAnsi="楷体" w:hint="eastAsia"/>
          <w:sz w:val="32"/>
          <w:szCs w:val="32"/>
        </w:rPr>
        <w:t>分。</w:t>
      </w:r>
    </w:p>
    <w:p>
      <w:pPr>
        <w:spacing w:line="360" w:lineRule="auto"/>
        <w:ind w:firstLine="660"/>
        <w:rPr>
          <w:rFonts w:ascii="仿宋_GB2312" w:eastAsia="仿宋_GB2312" w:hAnsi="仿宋"/>
          <w:b/>
          <w:sz w:val="32"/>
          <w:szCs w:val="32"/>
        </w:rPr>
      </w:pPr>
      <w:r>
        <w:rPr>
          <w:rFonts w:ascii="仿宋_GB2312" w:eastAsia="仿宋_GB2312" w:hAnsi="仿宋" w:hint="eastAsia"/>
          <w:b/>
          <w:sz w:val="32"/>
          <w:szCs w:val="32"/>
        </w:rPr>
        <w:t>2.项目完成情况</w:t>
      </w:r>
    </w:p>
    <w:p>
      <w:pPr>
        <w:spacing w:line="360" w:lineRule="auto"/>
        <w:ind w:firstLine="660"/>
        <w:rPr>
          <w:rFonts w:ascii="仿宋_GB2312" w:eastAsia="仿宋_GB2312" w:hAnsi="仿宋"/>
          <w:bCs/>
          <w:sz w:val="32"/>
          <w:szCs w:val="32"/>
        </w:rPr>
      </w:pPr>
      <w:r>
        <w:rPr>
          <w:rFonts w:ascii="仿宋_GB2312" w:eastAsia="仿宋_GB2312" w:hAnsi="仿宋" w:hint="eastAsia"/>
          <w:bCs/>
          <w:sz w:val="32"/>
          <w:szCs w:val="32"/>
        </w:rPr>
        <w:t>项目单位对项目工作具体实施内容和具体实施过程的表述基本清晰、完整。</w:t>
      </w:r>
    </w:p>
    <w:p>
      <w:pPr>
        <w:spacing w:line="360" w:lineRule="auto"/>
        <w:ind w:firstLine="660"/>
        <w:rPr>
          <w:rFonts w:ascii="仿宋_GB2312" w:eastAsia="仿宋_GB2312" w:hAnsi="仿宋"/>
          <w:bCs/>
          <w:sz w:val="32"/>
          <w:szCs w:val="32"/>
        </w:rPr>
      </w:pPr>
      <w:r>
        <w:rPr>
          <w:rFonts w:ascii="仿宋_GB2312" w:eastAsia="仿宋_GB2312" w:hAnsi="仿宋" w:hint="eastAsia"/>
          <w:bCs/>
          <w:sz w:val="32"/>
          <w:szCs w:val="32"/>
        </w:rPr>
        <w:t>项目年初申报实施项目均按照计划开展，完成计划量100%，另外增加完成了“党学习教育知识长廊宣传”、“强国有我宣传”等项目，项目完成情况较好。</w:t>
      </w:r>
    </w:p>
    <w:p>
      <w:pPr>
        <w:spacing w:line="360" w:lineRule="auto"/>
        <w:ind w:firstLine="660"/>
        <w:rPr>
          <w:rFonts w:ascii="仿宋_GB2312" w:eastAsia="仿宋_GB2312" w:hAnsi="仿宋"/>
          <w:bCs/>
          <w:sz w:val="32"/>
          <w:szCs w:val="32"/>
        </w:rPr>
      </w:pPr>
      <w:r>
        <w:rPr>
          <w:rFonts w:ascii="仿宋_GB2312" w:eastAsia="仿宋_GB2312" w:hAnsi="仿宋" w:hint="eastAsia"/>
          <w:bCs/>
          <w:sz w:val="32"/>
          <w:szCs w:val="32"/>
        </w:rPr>
        <w:t>项目单位按照项目合同要求开展工作验收，但缺乏相关完工检查或验收的佐证材料。</w:t>
      </w:r>
    </w:p>
    <w:p>
      <w:pPr>
        <w:spacing w:line="360" w:lineRule="auto"/>
        <w:ind w:firstLine="660"/>
        <w:rPr>
          <w:rFonts w:ascii="仿宋_GB2312" w:eastAsia="仿宋_GB2312" w:hAnsi="仿宋" w:cstheme="majorBidi"/>
          <w:bCs/>
          <w:sz w:val="32"/>
          <w:szCs w:val="32"/>
        </w:rPr>
      </w:pPr>
      <w:r>
        <w:rPr>
          <w:rFonts w:ascii="仿宋_GB2312" w:eastAsia="仿宋_GB2312" w:hAnsi="楷体" w:hint="eastAsia"/>
          <w:sz w:val="32"/>
          <w:szCs w:val="32"/>
        </w:rPr>
        <w:t>根据评分标准，该指标满分</w:t>
      </w:r>
      <w:r>
        <w:rPr>
          <w:rFonts w:ascii="仿宋_GB2312" w:eastAsia="仿宋_GB2312" w:hAnsi="楷体"/>
          <w:sz w:val="32"/>
          <w:szCs w:val="32"/>
        </w:rPr>
        <w:t>9</w:t>
      </w:r>
      <w:r>
        <w:rPr>
          <w:rFonts w:ascii="仿宋_GB2312" w:eastAsia="仿宋_GB2312" w:hAnsi="楷体" w:hint="eastAsia"/>
          <w:sz w:val="32"/>
          <w:szCs w:val="32"/>
        </w:rPr>
        <w:t>分，因缺乏相关完工检查或验收佐证材料扣1分，得分</w:t>
      </w:r>
      <w:r>
        <w:rPr>
          <w:rFonts w:ascii="仿宋_GB2312" w:eastAsia="仿宋_GB2312" w:hAnsi="楷体"/>
          <w:sz w:val="32"/>
          <w:szCs w:val="32"/>
        </w:rPr>
        <w:t>8</w:t>
      </w:r>
      <w:r>
        <w:rPr>
          <w:rFonts w:ascii="仿宋_GB2312" w:eastAsia="仿宋_GB2312" w:hAnsi="楷体" w:hint="eastAsia"/>
          <w:sz w:val="32"/>
          <w:szCs w:val="32"/>
        </w:rPr>
        <w:t>分。</w:t>
      </w:r>
    </w:p>
    <w:p>
      <w:pPr>
        <w:spacing w:line="360" w:lineRule="auto"/>
        <w:ind w:firstLine="420" w:firstLineChars="200"/>
        <w:rPr>
          <w:rFonts w:ascii="仿宋_GB2312" w:eastAsia="仿宋_GB2312" w:hAnsi="仿宋"/>
          <w:b/>
          <w:sz w:val="32"/>
          <w:szCs w:val="32"/>
        </w:rPr>
      </w:pPr>
      <w:r>
        <w:rPr>
          <w:rFonts w:ascii="仿宋_GB2312" w:eastAsia="仿宋_GB2312" w:hAnsi="仿宋"/>
          <w:b/>
          <w:sz w:val="32"/>
          <w:szCs w:val="32"/>
        </w:rPr>
        <w:t>3.</w:t>
      </w:r>
      <w:r>
        <w:rPr>
          <w:rFonts w:ascii="仿宋_GB2312" w:eastAsia="仿宋_GB2312" w:hAnsi="仿宋" w:hint="eastAsia"/>
          <w:b/>
          <w:sz w:val="32"/>
          <w:szCs w:val="32"/>
        </w:rPr>
        <w:t>项目实施与改进情况</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项目单位未</w:t>
      </w:r>
      <w:bookmarkStart w:id="66" w:name="_Hlk112057927"/>
      <w:r>
        <w:rPr>
          <w:rFonts w:ascii="仿宋_GB2312" w:eastAsia="仿宋_GB2312" w:hAnsi="仿宋" w:hint="eastAsia"/>
          <w:sz w:val="32"/>
          <w:szCs w:val="32"/>
        </w:rPr>
        <w:t>对项目开展的影响因素及改进情况进行总结。</w:t>
      </w:r>
    </w:p>
    <w:p>
      <w:pPr>
        <w:spacing w:line="360" w:lineRule="auto"/>
        <w:ind w:firstLine="420" w:firstLineChars="200"/>
        <w:rPr>
          <w:rFonts w:ascii="仿宋_GB2312" w:eastAsia="仿宋_GB2312" w:hAnsi="仿宋" w:cstheme="majorBidi"/>
          <w:bCs/>
          <w:sz w:val="32"/>
          <w:szCs w:val="32"/>
        </w:rPr>
      </w:pPr>
      <w:bookmarkEnd w:id="57"/>
      <w:bookmarkEnd w:id="66"/>
      <w:r>
        <w:rPr>
          <w:rFonts w:ascii="仿宋_GB2312" w:eastAsia="仿宋_GB2312" w:hAnsi="楷体" w:hint="eastAsia"/>
          <w:sz w:val="32"/>
          <w:szCs w:val="32"/>
        </w:rPr>
        <w:t>根据评分标准，该指标满分</w:t>
      </w:r>
      <w:r>
        <w:rPr>
          <w:rFonts w:ascii="仿宋_GB2312" w:eastAsia="仿宋_GB2312" w:hAnsi="楷体"/>
          <w:sz w:val="32"/>
          <w:szCs w:val="32"/>
        </w:rPr>
        <w:t>5</w:t>
      </w:r>
      <w:r>
        <w:rPr>
          <w:rFonts w:ascii="仿宋_GB2312" w:eastAsia="仿宋_GB2312" w:hAnsi="楷体" w:hint="eastAsia"/>
          <w:sz w:val="32"/>
          <w:szCs w:val="32"/>
        </w:rPr>
        <w:t>分，因未对项目开发的影响因素及改进情况进行总结扣</w:t>
      </w:r>
      <w:r>
        <w:rPr>
          <w:rFonts w:ascii="仿宋_GB2312" w:eastAsia="仿宋_GB2312" w:hAnsi="楷体"/>
          <w:sz w:val="32"/>
          <w:szCs w:val="32"/>
        </w:rPr>
        <w:t>3</w:t>
      </w:r>
      <w:r>
        <w:rPr>
          <w:rFonts w:ascii="仿宋_GB2312" w:eastAsia="仿宋_GB2312" w:hAnsi="楷体" w:hint="eastAsia"/>
          <w:sz w:val="32"/>
          <w:szCs w:val="32"/>
        </w:rPr>
        <w:t>分，得分</w:t>
      </w:r>
      <w:r>
        <w:rPr>
          <w:rFonts w:ascii="仿宋_GB2312" w:eastAsia="仿宋_GB2312" w:hAnsi="楷体"/>
          <w:sz w:val="32"/>
          <w:szCs w:val="32"/>
        </w:rPr>
        <w:t>2</w:t>
      </w:r>
      <w:r>
        <w:rPr>
          <w:rFonts w:ascii="仿宋_GB2312" w:eastAsia="仿宋_GB2312" w:hAnsi="楷体" w:hint="eastAsia"/>
          <w:sz w:val="32"/>
          <w:szCs w:val="32"/>
        </w:rPr>
        <w:t>分。</w:t>
      </w:r>
    </w:p>
    <w:p>
      <w:pPr>
        <w:pStyle w:val="Heading2"/>
        <w:spacing w:before="120" w:after="0" w:line="360" w:lineRule="auto"/>
        <w:ind w:left="710"/>
        <w:rPr>
          <w:rFonts w:ascii="楷体_GB2312" w:eastAsia="楷体_GB2312" w:hAnsi="仿宋"/>
        </w:rPr>
      </w:pPr>
      <w:bookmarkStart w:id="67" w:name="_Toc75018705"/>
      <w:bookmarkStart w:id="68" w:name="_Toc113562274"/>
      <w:r>
        <w:rPr>
          <w:rFonts w:ascii="楷体_GB2312" w:eastAsia="楷体_GB2312" w:hAnsi="仿宋" w:hint="eastAsia"/>
        </w:rPr>
        <w:t>（三）项目开展绩效</w:t>
      </w:r>
      <w:bookmarkEnd w:id="67"/>
      <w:bookmarkEnd w:id="68"/>
    </w:p>
    <w:p>
      <w:pPr>
        <w:spacing w:line="360" w:lineRule="auto"/>
        <w:ind w:firstLine="420" w:firstLineChars="200"/>
        <w:rPr>
          <w:rFonts w:ascii="仿宋_GB2312" w:eastAsia="仿宋_GB2312" w:hAnsi="仿宋"/>
          <w:b/>
          <w:sz w:val="32"/>
          <w:szCs w:val="32"/>
        </w:rPr>
      </w:pPr>
      <w:bookmarkStart w:id="69" w:name="_Hlk113559703"/>
      <w:r>
        <w:rPr>
          <w:rFonts w:ascii="仿宋_GB2312" w:eastAsia="仿宋_GB2312" w:hAnsi="仿宋" w:cstheme="majorBidi" w:hint="eastAsia"/>
          <w:bCs/>
          <w:sz w:val="32"/>
          <w:szCs w:val="32"/>
        </w:rPr>
        <w:t>项目开展绩效指标主要考核评价指标设置的合理性和项目实施效益情况，包括评价指标体系和评价标准的科学性和合理性以及</w:t>
      </w:r>
      <w:bookmarkStart w:id="70" w:name="_Hlk111999430"/>
      <w:r>
        <w:rPr>
          <w:rFonts w:ascii="仿宋_GB2312" w:eastAsia="仿宋_GB2312" w:hAnsi="仿宋" w:cstheme="majorBidi" w:hint="eastAsia"/>
          <w:bCs/>
          <w:sz w:val="32"/>
          <w:szCs w:val="32"/>
        </w:rPr>
        <w:t>绩效目标的完成程度</w:t>
      </w:r>
      <w:bookmarkEnd w:id="70"/>
      <w:r>
        <w:rPr>
          <w:rFonts w:ascii="仿宋_GB2312" w:eastAsia="仿宋_GB2312" w:hAnsi="仿宋" w:cstheme="majorBidi" w:hint="eastAsia"/>
          <w:bCs/>
          <w:sz w:val="32"/>
          <w:szCs w:val="32"/>
        </w:rPr>
        <w:t>两个二级指标。指标满分</w:t>
      </w:r>
      <w:r>
        <w:rPr>
          <w:rFonts w:ascii="仿宋_GB2312" w:eastAsia="仿宋_GB2312" w:hAnsi="仿宋" w:cstheme="majorBidi"/>
          <w:bCs/>
          <w:sz w:val="32"/>
          <w:szCs w:val="32"/>
        </w:rPr>
        <w:t>50</w:t>
      </w:r>
      <w:r>
        <w:rPr>
          <w:rFonts w:ascii="仿宋_GB2312" w:eastAsia="仿宋_GB2312" w:hAnsi="仿宋" w:cstheme="majorBidi" w:hint="eastAsia"/>
          <w:bCs/>
          <w:sz w:val="32"/>
          <w:szCs w:val="32"/>
        </w:rPr>
        <w:t>分，综合评价得分</w:t>
      </w:r>
      <w:r>
        <w:rPr>
          <w:rFonts w:ascii="仿宋_GB2312" w:eastAsia="仿宋_GB2312" w:hAnsi="仿宋" w:cstheme="majorBidi"/>
          <w:bCs/>
          <w:sz w:val="32"/>
          <w:szCs w:val="32"/>
        </w:rPr>
        <w:t>46</w:t>
      </w:r>
      <w:r>
        <w:rPr>
          <w:rFonts w:ascii="仿宋_GB2312" w:eastAsia="仿宋_GB2312" w:hAnsi="仿宋" w:cstheme="majorBidi" w:hint="eastAsia"/>
          <w:bCs/>
          <w:sz w:val="32"/>
          <w:szCs w:val="32"/>
        </w:rPr>
        <w:t>分，得分率</w:t>
      </w:r>
      <w:r>
        <w:rPr>
          <w:rFonts w:ascii="仿宋_GB2312" w:eastAsia="仿宋_GB2312" w:hAnsi="仿宋" w:cstheme="majorBidi"/>
          <w:bCs/>
          <w:sz w:val="32"/>
          <w:szCs w:val="32"/>
        </w:rPr>
        <w:t>92</w:t>
      </w:r>
      <w:r>
        <w:rPr>
          <w:rFonts w:ascii="仿宋_GB2312" w:eastAsia="仿宋_GB2312" w:hAnsi="仿宋" w:cstheme="majorBidi" w:hint="eastAsia"/>
          <w:bCs/>
          <w:sz w:val="32"/>
          <w:szCs w:val="32"/>
        </w:rPr>
        <w:t>%。</w:t>
      </w:r>
    </w:p>
    <w:p>
      <w:pPr>
        <w:spacing w:line="360" w:lineRule="auto"/>
        <w:ind w:firstLine="420" w:firstLineChars="200"/>
        <w:rPr>
          <w:rFonts w:ascii="仿宋_GB2312" w:eastAsia="仿宋_GB2312" w:hAnsi="仿宋"/>
          <w:b/>
          <w:sz w:val="32"/>
          <w:szCs w:val="32"/>
        </w:rPr>
      </w:pPr>
      <w:r>
        <w:rPr>
          <w:rFonts w:ascii="仿宋_GB2312" w:eastAsia="仿宋_GB2312" w:hAnsi="仿宋" w:hint="eastAsia"/>
          <w:b/>
          <w:sz w:val="32"/>
          <w:szCs w:val="32"/>
        </w:rPr>
        <w:t>1.</w:t>
      </w:r>
      <w:r>
        <w:rPr>
          <w:rFonts w:hint="eastAsia"/>
        </w:rPr>
        <w:t xml:space="preserve"> </w:t>
      </w:r>
      <w:r>
        <w:rPr>
          <w:rFonts w:ascii="仿宋_GB2312" w:eastAsia="仿宋_GB2312" w:hAnsi="仿宋" w:hint="eastAsia"/>
          <w:b/>
          <w:sz w:val="32"/>
          <w:szCs w:val="32"/>
        </w:rPr>
        <w:t>评价指标体系和评价标准的科学性和合理性</w:t>
      </w:r>
    </w:p>
    <w:p>
      <w:pPr>
        <w:spacing w:line="360" w:lineRule="auto"/>
        <w:ind w:firstLine="420" w:firstLineChars="200"/>
        <w:rPr>
          <w:rFonts w:ascii="仿宋_GB2312" w:eastAsia="仿宋_GB2312" w:hAnsi="仿宋" w:cstheme="majorBidi"/>
          <w:bCs/>
          <w:sz w:val="32"/>
          <w:szCs w:val="32"/>
        </w:rPr>
      </w:pPr>
      <w:bookmarkStart w:id="71" w:name="_Hlk112266877"/>
      <w:r>
        <w:rPr>
          <w:rFonts w:ascii="仿宋_GB2312" w:eastAsia="仿宋_GB2312" w:hAnsi="仿宋" w:cstheme="majorBidi" w:hint="eastAsia"/>
          <w:bCs/>
          <w:sz w:val="32"/>
          <w:szCs w:val="32"/>
        </w:rPr>
        <w:t>评价指标设置能运用定量指标与定性指标相结合，并结合项目特点设置了个性化的评价指标，但指标设置尚存完善空间，建议数量指标增设“举办高新新闻奖和优秀通迅员评选活动场次”，社会效益指标增设“传统媒体发行量”和“微信公众号粉丝增长数”；另外已设置的质量指标“‘江门高新’点击量”指标属于效益指标，建议下年设置指标时移至效益指标。</w:t>
      </w:r>
      <w:bookmarkEnd w:id="71"/>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项目大部分指标评价标准的设置较科学、合理，个别评价标准设置偏低，如政策知晓率设置为80%，而江门市预算绩效指标体系汇编（2020年版）该指标为≥90，又如群众满意度设置为80%，而江门市预算绩效指标体系汇编（2020年版）该指标为≥95。</w:t>
      </w:r>
    </w:p>
    <w:p>
      <w:pPr>
        <w:spacing w:line="360" w:lineRule="auto"/>
        <w:ind w:firstLine="420" w:firstLineChars="200"/>
        <w:rPr>
          <w:rFonts w:ascii="仿宋_GB2312" w:eastAsia="仿宋_GB2312" w:hAnsi="仿宋" w:cstheme="majorBidi"/>
          <w:bCs/>
          <w:sz w:val="32"/>
          <w:szCs w:val="32"/>
        </w:rPr>
      </w:pPr>
      <w:r>
        <w:rPr>
          <w:rFonts w:ascii="仿宋_GB2312" w:eastAsia="仿宋_GB2312" w:hAnsi="楷体" w:hint="eastAsia"/>
          <w:sz w:val="32"/>
          <w:szCs w:val="32"/>
        </w:rPr>
        <w:t>根据评分标准，该指标满分</w:t>
      </w:r>
      <w:r>
        <w:rPr>
          <w:rFonts w:ascii="仿宋_GB2312" w:eastAsia="仿宋_GB2312" w:hAnsi="楷体"/>
          <w:sz w:val="32"/>
          <w:szCs w:val="32"/>
        </w:rPr>
        <w:t>10</w:t>
      </w:r>
      <w:r>
        <w:rPr>
          <w:rFonts w:ascii="仿宋_GB2312" w:eastAsia="仿宋_GB2312" w:hAnsi="楷体" w:hint="eastAsia"/>
          <w:sz w:val="32"/>
          <w:szCs w:val="32"/>
        </w:rPr>
        <w:t>分，因指标设置尚存完善空间及个别评价标准设置偏低扣</w:t>
      </w:r>
      <w:r>
        <w:rPr>
          <w:rFonts w:ascii="仿宋_GB2312" w:eastAsia="仿宋_GB2312" w:hAnsi="楷体"/>
          <w:sz w:val="32"/>
          <w:szCs w:val="32"/>
        </w:rPr>
        <w:t>2</w:t>
      </w:r>
      <w:r>
        <w:rPr>
          <w:rFonts w:ascii="仿宋_GB2312" w:eastAsia="仿宋_GB2312" w:hAnsi="楷体" w:hint="eastAsia"/>
          <w:sz w:val="32"/>
          <w:szCs w:val="32"/>
        </w:rPr>
        <w:t>分，得分</w:t>
      </w:r>
      <w:r>
        <w:rPr>
          <w:rFonts w:ascii="仿宋_GB2312" w:eastAsia="仿宋_GB2312" w:hAnsi="楷体"/>
          <w:sz w:val="32"/>
          <w:szCs w:val="32"/>
        </w:rPr>
        <w:t>8</w:t>
      </w:r>
      <w:r>
        <w:rPr>
          <w:rFonts w:ascii="仿宋_GB2312" w:eastAsia="仿宋_GB2312" w:hAnsi="楷体" w:hint="eastAsia"/>
          <w:sz w:val="32"/>
          <w:szCs w:val="32"/>
        </w:rPr>
        <w:t>分。</w:t>
      </w:r>
    </w:p>
    <w:p>
      <w:pPr>
        <w:spacing w:line="360" w:lineRule="auto"/>
        <w:ind w:firstLine="420" w:firstLineChars="200"/>
        <w:rPr>
          <w:rFonts w:ascii="仿宋_GB2312" w:eastAsia="仿宋_GB2312" w:hAnsi="仿宋"/>
          <w:b/>
          <w:sz w:val="32"/>
          <w:szCs w:val="32"/>
        </w:rPr>
      </w:pPr>
      <w:r>
        <w:rPr>
          <w:rFonts w:ascii="仿宋_GB2312" w:eastAsia="仿宋_GB2312" w:hAnsi="仿宋" w:hint="eastAsia"/>
          <w:b/>
          <w:sz w:val="32"/>
          <w:szCs w:val="32"/>
        </w:rPr>
        <w:t>2.</w:t>
      </w:r>
      <w:r>
        <w:rPr>
          <w:rFonts w:hint="eastAsia"/>
        </w:rPr>
        <w:t xml:space="preserve"> </w:t>
      </w:r>
      <w:r>
        <w:rPr>
          <w:rFonts w:ascii="仿宋_GB2312" w:eastAsia="仿宋_GB2312" w:hAnsi="仿宋" w:hint="eastAsia"/>
          <w:b/>
          <w:sz w:val="32"/>
          <w:szCs w:val="32"/>
        </w:rPr>
        <w:t>绩效目标的完成程度</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（1）项目年度目标及完成情况</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hint="eastAsia"/>
          <w:sz w:val="32"/>
          <w:szCs w:val="32"/>
        </w:rPr>
        <w:t>项目年中无调整绩效目标，无未完成的目标，绩效目标完成程度高</w:t>
      </w:r>
      <w:r>
        <w:rPr>
          <w:rFonts w:ascii="仿宋_GB2312" w:eastAsia="仿宋_GB2312" w:hAnsi="仿宋" w:cstheme="majorBidi" w:hint="eastAsia"/>
          <w:bCs/>
          <w:sz w:val="32"/>
          <w:szCs w:val="32"/>
        </w:rPr>
        <w:t>。项目年度目标和目标完成情况详见表</w:t>
      </w:r>
      <w:r>
        <w:rPr>
          <w:rFonts w:ascii="仿宋_GB2312" w:eastAsia="仿宋_GB2312" w:hAnsi="仿宋" w:cstheme="majorBidi"/>
          <w:bCs/>
          <w:sz w:val="32"/>
          <w:szCs w:val="32"/>
        </w:rPr>
        <w:t>2</w:t>
      </w:r>
      <w:r>
        <w:rPr>
          <w:rFonts w:ascii="仿宋_GB2312" w:eastAsia="仿宋_GB2312" w:hAnsi="仿宋" w:cstheme="majorBidi" w:hint="eastAsia"/>
          <w:bCs/>
          <w:sz w:val="32"/>
          <w:szCs w:val="32"/>
        </w:rPr>
        <w:t>-</w:t>
      </w:r>
      <w:r>
        <w:rPr>
          <w:rFonts w:ascii="仿宋_GB2312" w:eastAsia="仿宋_GB2312" w:hAnsi="仿宋" w:cstheme="majorBidi"/>
          <w:bCs/>
          <w:sz w:val="32"/>
          <w:szCs w:val="32"/>
        </w:rPr>
        <w:t>6</w:t>
      </w:r>
      <w:r>
        <w:rPr>
          <w:rFonts w:ascii="仿宋_GB2312" w:eastAsia="仿宋_GB2312" w:hAnsi="仿宋" w:cstheme="majorBidi" w:hint="eastAsia"/>
          <w:bCs/>
          <w:sz w:val="32"/>
          <w:szCs w:val="32"/>
        </w:rPr>
        <w:t>。</w:t>
      </w:r>
    </w:p>
    <w:p>
      <w:pPr>
        <w:spacing w:line="360" w:lineRule="auto"/>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6 2021年</w:t>
      </w:r>
      <w:r>
        <w:rPr>
          <w:rFonts w:ascii="黑体" w:eastAsia="黑体" w:hAnsi="黑体" w:hint="eastAsia"/>
          <w:sz w:val="28"/>
          <w:szCs w:val="28"/>
        </w:rPr>
        <w:t>宣传业务经费（含国防教育）年度目标及目标完成情况表</w:t>
      </w:r>
    </w:p>
    <w:tbl>
      <w:tblPr>
        <w:tblStyle w:val="TableNormal"/>
        <w:tblW w:w="8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811"/>
        <w:gridCol w:w="3251"/>
        <w:gridCol w:w="3236"/>
        <w:gridCol w:w="1002"/>
      </w:tblGrid>
      <w:tr>
        <w:tblPrEx>
          <w:tblW w:w="8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cantSplit/>
          <w:trHeight w:val="637"/>
          <w:jc w:val="center"/>
        </w:trPr>
        <w:tc>
          <w:tcPr>
            <w:tcW w:w="811"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目标</w:t>
            </w:r>
          </w:p>
        </w:tc>
        <w:tc>
          <w:tcPr>
            <w:tcW w:w="3251"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年度目标</w:t>
            </w:r>
          </w:p>
        </w:tc>
        <w:tc>
          <w:tcPr>
            <w:tcW w:w="3236" w:type="dxa"/>
            <w:tcBorders>
              <w:tl2br w:val="nil"/>
              <w:tr2bl w:val="nil"/>
            </w:tcBorders>
            <w:shd w:val="clear" w:color="auto" w:fill="F1F1F1" w:themeFill="background1" w:themeFillShade="F2"/>
            <w:noWrap/>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目标完成情况</w:t>
            </w:r>
          </w:p>
        </w:tc>
        <w:tc>
          <w:tcPr>
            <w:tcW w:w="1002" w:type="dxa"/>
            <w:tcBorders>
              <w:tl2br w:val="nil"/>
              <w:tr2bl w:val="nil"/>
            </w:tcBorders>
            <w:shd w:val="clear" w:color="auto" w:fill="F1F1F1" w:themeFill="background1" w:themeFillShade="F2"/>
            <w:vAlign w:val="center"/>
          </w:tcPr>
          <w:p>
            <w:pPr>
              <w:widowControl/>
              <w:jc w:val="center"/>
              <w:rPr>
                <w:rFonts w:ascii="仿宋_GB2312" w:eastAsia="仿宋_GB2312" w:cs="仿宋_GB2312"/>
                <w:b/>
                <w:bCs/>
                <w:kern w:val="0"/>
                <w:sz w:val="24"/>
              </w:rPr>
            </w:pPr>
            <w:r>
              <w:rPr>
                <w:rFonts w:ascii="仿宋_GB2312" w:eastAsia="仿宋_GB2312" w:cs="仿宋_GB2312" w:hint="eastAsia"/>
                <w:b/>
                <w:bCs/>
                <w:kern w:val="0"/>
                <w:sz w:val="24"/>
              </w:rPr>
              <w:t>完成情况说明</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cs="仿宋_GB2312" w:hint="eastAsia"/>
                <w:kern w:val="0"/>
                <w:sz w:val="24"/>
              </w:rPr>
              <w:t>目标一</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通过在《江门日报》刊载1</w:t>
            </w:r>
            <w:r>
              <w:rPr>
                <w:rFonts w:ascii="仿宋_GB2312" w:eastAsia="仿宋_GB2312" w:cs="仿宋_GB2312"/>
                <w:kern w:val="0"/>
                <w:sz w:val="24"/>
              </w:rPr>
              <w:t>00</w:t>
            </w:r>
            <w:r>
              <w:rPr>
                <w:rFonts w:ascii="仿宋_GB2312" w:eastAsia="仿宋_GB2312" w:cs="仿宋_GB2312" w:hint="eastAsia"/>
                <w:kern w:val="0"/>
                <w:sz w:val="24"/>
              </w:rPr>
              <w:t>个版面、与《南方日报》、《南方都市报》等省级媒体合作策划7个专题报道，强化正面宣传</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《江门日报》刊载1</w:t>
            </w:r>
            <w:r>
              <w:rPr>
                <w:rFonts w:ascii="仿宋_GB2312" w:eastAsia="仿宋_GB2312" w:cs="仿宋_GB2312"/>
                <w:kern w:val="0"/>
                <w:sz w:val="24"/>
              </w:rPr>
              <w:t>20</w:t>
            </w:r>
            <w:r>
              <w:rPr>
                <w:rFonts w:ascii="仿宋_GB2312" w:eastAsia="仿宋_GB2312" w:cs="仿宋_GB2312" w:hint="eastAsia"/>
                <w:kern w:val="0"/>
                <w:sz w:val="24"/>
              </w:rPr>
              <w:t>个版面、与《南方日报》、《南方都市报》等省级媒体合作策划7个专题报道，达到强化正面宣传</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目标二</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为建党100周年等重大活动布置大型宣传画30个、横幅2000条、宣传栏50块，营造浓厚的社会宣传氛围</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为建党100周年等重大活动布置大型宣传画30个、横幅2000条、宣传栏50块，营造浓厚的社会宣传氛围</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目标三</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委托江门日报社运营推广“江门高新”微信公众号，全年推送约1400条微信稿件，通过新媒体宣传形式不断扩大江海声音</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委托江门日报社运营推广“江门高新”微信公众号，全年推送约</w:t>
            </w:r>
            <w:r>
              <w:rPr>
                <w:rFonts w:ascii="仿宋_GB2312" w:eastAsia="仿宋_GB2312" w:cs="仿宋_GB2312"/>
                <w:kern w:val="0"/>
                <w:sz w:val="24"/>
              </w:rPr>
              <w:t>1955</w:t>
            </w:r>
            <w:r>
              <w:rPr>
                <w:rFonts w:ascii="仿宋_GB2312" w:eastAsia="仿宋_GB2312" w:cs="仿宋_GB2312" w:hint="eastAsia"/>
                <w:kern w:val="0"/>
                <w:sz w:val="24"/>
              </w:rPr>
              <w:t>条微信稿件，通过新媒体宣传形式不断扩大江海声音</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r>
        <w:tblPrEx>
          <w:tblW w:w="8300" w:type="dxa"/>
          <w:jc w:val="center"/>
          <w:tblCellMar>
            <w:top w:w="0" w:type="dxa"/>
            <w:left w:w="108" w:type="dxa"/>
            <w:bottom w:w="0" w:type="dxa"/>
            <w:right w:w="108" w:type="dxa"/>
          </w:tblCellMar>
        </w:tblPrEx>
        <w:trPr>
          <w:cantSplit/>
          <w:trHeight w:val="851"/>
          <w:jc w:val="center"/>
        </w:trPr>
        <w:tc>
          <w:tcPr>
            <w:tcW w:w="811" w:type="dxa"/>
            <w:tcBorders>
              <w:tl2br w:val="nil"/>
              <w:tr2bl w:val="nil"/>
            </w:tcBorders>
            <w:noWrap/>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目标四</w:t>
            </w:r>
          </w:p>
        </w:tc>
        <w:tc>
          <w:tcPr>
            <w:tcW w:w="3251"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通过交流学习、举办高新新闻奖和优秀通讯员评选活动、增加硬件配置等，加强软硬件建设</w:t>
            </w:r>
          </w:p>
        </w:tc>
        <w:tc>
          <w:tcPr>
            <w:tcW w:w="3236" w:type="dxa"/>
            <w:tcBorders>
              <w:tl2br w:val="nil"/>
              <w:tr2bl w:val="nil"/>
            </w:tcBorders>
            <w:noWrap/>
            <w:vAlign w:val="center"/>
          </w:tcPr>
          <w:p>
            <w:pPr>
              <w:widowControl/>
              <w:rPr>
                <w:rFonts w:ascii="仿宋_GB2312" w:eastAsia="仿宋_GB2312" w:cs="仿宋_GB2312"/>
                <w:kern w:val="0"/>
                <w:sz w:val="24"/>
              </w:rPr>
            </w:pPr>
            <w:r>
              <w:rPr>
                <w:rFonts w:ascii="仿宋_GB2312" w:eastAsia="仿宋_GB2312" w:cs="仿宋_GB2312" w:hint="eastAsia"/>
                <w:kern w:val="0"/>
                <w:sz w:val="24"/>
              </w:rPr>
              <w:t>通过交流学习、举办高新新闻奖和优秀通讯员评选活动、增加硬件配置等，加强软硬件建设</w:t>
            </w:r>
          </w:p>
        </w:tc>
        <w:tc>
          <w:tcPr>
            <w:tcW w:w="1002" w:type="dxa"/>
            <w:tcBorders>
              <w:tl2br w:val="nil"/>
              <w:tr2bl w:val="nil"/>
            </w:tcBorders>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完成</w:t>
            </w:r>
          </w:p>
        </w:tc>
      </w:tr>
    </w:tbl>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（2）项目绩效指标完成情况</w:t>
      </w:r>
    </w:p>
    <w:p>
      <w:pPr>
        <w:spacing w:line="160" w:lineRule="atLeast"/>
        <w:ind w:firstLine="570"/>
        <w:rPr>
          <w:rFonts w:ascii="仿宋_GB2312" w:eastAsia="仿宋_GB2312" w:hAnsi="仿宋" w:cstheme="majorBidi"/>
          <w:bCs/>
          <w:sz w:val="32"/>
          <w:szCs w:val="32"/>
        </w:rPr>
      </w:pPr>
      <w:r>
        <w:rPr>
          <w:rFonts w:ascii="仿宋_GB2312" w:eastAsia="仿宋_GB2312" w:hAnsi="仿宋" w:cstheme="majorBidi" w:hint="eastAsia"/>
          <w:bCs/>
          <w:sz w:val="32"/>
          <w:szCs w:val="32"/>
        </w:rPr>
        <w:t>项目设置的产出数量指标完成程度高；质量指标、时效指标、社会效益指标和满意度指标的完成情况缺乏相关佐证材料，完成质量较难考量；绩效指标总体完成程度较高。项目绩效指标完成情况详见表</w:t>
      </w:r>
      <w:r>
        <w:rPr>
          <w:rFonts w:ascii="仿宋_GB2312" w:eastAsia="仿宋_GB2312" w:hAnsi="仿宋" w:cstheme="majorBidi"/>
          <w:bCs/>
          <w:sz w:val="32"/>
          <w:szCs w:val="32"/>
        </w:rPr>
        <w:t>2-7</w:t>
      </w:r>
      <w:r>
        <w:rPr>
          <w:rFonts w:ascii="仿宋_GB2312" w:eastAsia="仿宋_GB2312" w:hAnsi="仿宋" w:cstheme="majorBidi" w:hint="eastAsia"/>
          <w:bCs/>
          <w:sz w:val="32"/>
          <w:szCs w:val="32"/>
        </w:rPr>
        <w:t>。</w:t>
      </w: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2-7</w:t>
      </w:r>
      <w:r>
        <w:rPr>
          <w:rFonts w:ascii="黑体" w:eastAsia="黑体" w:hAnsi="黑体" w:hint="eastAsia"/>
          <w:sz w:val="28"/>
          <w:szCs w:val="28"/>
        </w:rPr>
        <w:t xml:space="preserve"> </w:t>
      </w:r>
      <w:r>
        <w:rPr>
          <w:rFonts w:ascii="黑体" w:eastAsia="黑体" w:hAnsi="黑体"/>
          <w:sz w:val="28"/>
          <w:szCs w:val="28"/>
        </w:rPr>
        <w:t>2021年</w:t>
      </w:r>
      <w:r>
        <w:rPr>
          <w:rFonts w:ascii="黑体" w:eastAsia="黑体" w:hAnsi="黑体" w:hint="eastAsia"/>
          <w:sz w:val="28"/>
          <w:szCs w:val="28"/>
        </w:rPr>
        <w:t>宣传业务经费（含国防教育）绩效指标完成情况</w:t>
      </w:r>
    </w:p>
    <w:tbl>
      <w:tblPr>
        <w:tblStyle w:val="TableNormal"/>
        <w:tblW w:w="8335" w:type="dxa"/>
        <w:jc w:val="center"/>
        <w:tblCellMar>
          <w:top w:w="0" w:type="dxa"/>
          <w:left w:w="108" w:type="dxa"/>
          <w:bottom w:w="0" w:type="dxa"/>
          <w:right w:w="108" w:type="dxa"/>
        </w:tblCellMar>
      </w:tblPr>
      <w:tblGrid>
        <w:gridCol w:w="838"/>
        <w:gridCol w:w="1316"/>
        <w:gridCol w:w="2681"/>
        <w:gridCol w:w="1207"/>
        <w:gridCol w:w="1203"/>
        <w:gridCol w:w="1090"/>
      </w:tblGrid>
      <w:tr>
        <w:tblPrEx>
          <w:tblW w:w="8335" w:type="dxa"/>
          <w:jc w:val="center"/>
          <w:tblCellMar>
            <w:top w:w="0" w:type="dxa"/>
            <w:left w:w="108" w:type="dxa"/>
            <w:bottom w:w="0" w:type="dxa"/>
            <w:right w:w="108" w:type="dxa"/>
          </w:tblCellMar>
        </w:tblPrEx>
        <w:trPr>
          <w:trHeight w:val="727"/>
          <w:jc w:val="center"/>
        </w:trPr>
        <w:tc>
          <w:tcPr>
            <w:tcW w:w="838" w:type="dxa"/>
            <w:tcBorders>
              <w:top w:val="single" w:sz="4" w:space="0" w:color="000000"/>
              <w:left w:val="single" w:sz="4" w:space="0" w:color="000000"/>
              <w:bottom w:val="single" w:sz="4" w:space="0" w:color="auto"/>
              <w:right w:val="single" w:sz="4" w:space="0" w:color="000000"/>
            </w:tcBorders>
            <w:shd w:val="clear" w:color="auto" w:fill="F1F1F1" w:themeFill="background1" w:themeFillShade="F2"/>
            <w:vAlign w:val="center"/>
          </w:tcPr>
          <w:p>
            <w:pPr>
              <w:widowControl/>
              <w:jc w:val="center"/>
              <w:rPr>
                <w:rFonts w:ascii="仿宋_GB2312" w:eastAsia="仿宋_GB2312"/>
                <w:b/>
                <w:bCs/>
                <w:sz w:val="24"/>
              </w:rPr>
            </w:pPr>
            <w:r>
              <w:rPr>
                <w:rFonts w:ascii="仿宋_GB2312" w:eastAsia="仿宋_GB2312" w:hint="eastAsia"/>
                <w:b/>
                <w:bCs/>
                <w:sz w:val="24"/>
              </w:rPr>
              <w:t>一级指标</w:t>
            </w:r>
          </w:p>
        </w:tc>
        <w:tc>
          <w:tcPr>
            <w:tcW w:w="1316"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hint="eastAsia"/>
                <w:b/>
                <w:bCs/>
                <w:sz w:val="24"/>
              </w:rPr>
              <w:t>二级指标</w:t>
            </w:r>
          </w:p>
        </w:tc>
        <w:tc>
          <w:tcPr>
            <w:tcW w:w="2681" w:type="dxa"/>
            <w:tcBorders>
              <w:top w:val="single" w:sz="4" w:space="0" w:color="000000"/>
              <w:left w:val="single" w:sz="4" w:space="0" w:color="000000"/>
              <w:bottom w:val="single" w:sz="4" w:space="0" w:color="auto"/>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指标名称</w:t>
            </w:r>
          </w:p>
        </w:tc>
        <w:tc>
          <w:tcPr>
            <w:tcW w:w="1207"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年度申报指标值</w:t>
            </w:r>
          </w:p>
        </w:tc>
        <w:tc>
          <w:tcPr>
            <w:tcW w:w="1203"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实际完成指标值</w:t>
            </w:r>
          </w:p>
        </w:tc>
        <w:tc>
          <w:tcPr>
            <w:tcW w:w="1090" w:type="dxa"/>
            <w:tcBorders>
              <w:top w:val="single" w:sz="4" w:space="0" w:color="000000"/>
              <w:left w:val="single" w:sz="4" w:space="0" w:color="000000"/>
              <w:bottom w:val="single" w:sz="4" w:space="0" w:color="000000"/>
              <w:right w:val="single" w:sz="4" w:space="0" w:color="000000"/>
            </w:tcBorders>
            <w:shd w:val="clear" w:color="auto" w:fill="F1F1F1" w:themeFill="background1" w:themeFillShade="F2"/>
            <w:vAlign w:val="center"/>
          </w:tcPr>
          <w:p>
            <w:pPr>
              <w:widowControl/>
              <w:wordWrap w:val="0"/>
              <w:jc w:val="center"/>
              <w:rPr>
                <w:rFonts w:ascii="仿宋_GB2312" w:eastAsia="仿宋_GB2312" w:cs="仿宋_GB2312"/>
                <w:b/>
                <w:bCs/>
                <w:kern w:val="0"/>
                <w:sz w:val="24"/>
              </w:rPr>
            </w:pPr>
            <w:r>
              <w:rPr>
                <w:rFonts w:ascii="仿宋_GB2312" w:eastAsia="仿宋_GB2312" w:cs="仿宋_GB2312" w:hint="eastAsia"/>
                <w:b/>
                <w:bCs/>
                <w:kern w:val="0"/>
                <w:sz w:val="24"/>
              </w:rPr>
              <w:t>完成情况说明</w:t>
            </w:r>
          </w:p>
        </w:tc>
      </w:tr>
      <w:tr>
        <w:tblPrEx>
          <w:tblW w:w="8335" w:type="dxa"/>
          <w:jc w:val="center"/>
          <w:tblCellMar>
            <w:top w:w="0" w:type="dxa"/>
            <w:left w:w="108" w:type="dxa"/>
            <w:bottom w:w="0" w:type="dxa"/>
            <w:right w:w="108" w:type="dxa"/>
          </w:tblCellMar>
        </w:tblPrEx>
        <w:trPr>
          <w:trHeight w:val="550"/>
          <w:jc w:val="center"/>
        </w:trPr>
        <w:tc>
          <w:tcPr>
            <w:tcW w:w="838"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sz w:val="24"/>
              </w:rPr>
            </w:pPr>
            <w:r>
              <w:rPr>
                <w:rFonts w:ascii="仿宋_GB2312" w:eastAsia="仿宋_GB2312" w:hint="eastAsia"/>
                <w:kern w:val="0"/>
                <w:sz w:val="24"/>
              </w:rPr>
              <w:t>产出指标</w:t>
            </w:r>
          </w:p>
        </w:tc>
        <w:tc>
          <w:tcPr>
            <w:tcW w:w="1316"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数量指标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《江门日报》宣传报道数量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100个整版</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w:t>
            </w:r>
            <w:r>
              <w:rPr>
                <w:rFonts w:ascii="仿宋_GB2312" w:eastAsia="仿宋_GB2312"/>
                <w:kern w:val="0"/>
                <w:sz w:val="24"/>
              </w:rPr>
              <w:t>2</w:t>
            </w:r>
            <w:r>
              <w:rPr>
                <w:rFonts w:ascii="仿宋_GB2312" w:eastAsia="仿宋_GB2312" w:hint="eastAsia"/>
                <w:kern w:val="0"/>
                <w:sz w:val="24"/>
              </w:rPr>
              <w:t>0个整版</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江门电视台报道数量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50期节目</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50期节目</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省级媒体报道数量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7个版</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7个版</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其他各级各类媒体宣传专题报道数量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9篇</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9篇</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新媒体运营发布数量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1400条微信推送链接</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w:t>
            </w:r>
            <w:r>
              <w:rPr>
                <w:rFonts w:ascii="仿宋_GB2312" w:eastAsia="仿宋_GB2312"/>
                <w:kern w:val="0"/>
                <w:sz w:val="24"/>
              </w:rPr>
              <w:t>955</w:t>
            </w:r>
            <w:r>
              <w:rPr>
                <w:rFonts w:ascii="仿宋_GB2312" w:eastAsia="仿宋_GB2312" w:hint="eastAsia"/>
                <w:kern w:val="0"/>
                <w:sz w:val="24"/>
              </w:rPr>
              <w:t>条微信推送链接</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大型宣传画数量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30个</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30个</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宣传横幅数量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2000条</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2000条</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制作宣传片数量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1个</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1个</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宣传栏更新数量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50块</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50块</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val="restart"/>
            <w:tcBorders>
              <w:top w:val="single" w:sz="4" w:space="0" w:color="000000"/>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质量指标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单位宣传覆盖率</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right w:val="single" w:sz="4" w:space="0" w:color="000000"/>
            </w:tcBorders>
            <w:vAlign w:val="center"/>
          </w:tcPr>
          <w:p>
            <w:pPr>
              <w:widowControl/>
              <w:wordWrap w:val="0"/>
              <w:jc w:val="center"/>
              <w:rPr>
                <w:rFonts w:ascii="仿宋_GB2312" w:eastAsia="仿宋_GB2312"/>
                <w:sz w:val="24"/>
              </w:rPr>
            </w:pPr>
          </w:p>
        </w:tc>
        <w:tc>
          <w:tcPr>
            <w:tcW w:w="1316" w:type="dxa"/>
            <w:vMerge/>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“江门高新”点击量</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≥70万次</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4</w:t>
            </w:r>
            <w:r>
              <w:rPr>
                <w:rFonts w:ascii="仿宋_GB2312" w:eastAsia="仿宋_GB2312" w:hAnsi="宋体" w:cs="宋体"/>
                <w:kern w:val="0"/>
                <w:sz w:val="24"/>
              </w:rPr>
              <w:t>20</w:t>
            </w:r>
            <w:r>
              <w:rPr>
                <w:rFonts w:ascii="仿宋_GB2312" w:eastAsia="仿宋_GB2312" w:hAnsi="宋体" w:cs="宋体" w:hint="eastAsia"/>
                <w:kern w:val="0"/>
                <w:sz w:val="24"/>
              </w:rPr>
              <w:t>万次</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bottom w:val="single" w:sz="4" w:space="0" w:color="auto"/>
              <w:right w:val="single" w:sz="4" w:space="0" w:color="000000"/>
            </w:tcBorders>
            <w:vAlign w:val="center"/>
          </w:tcPr>
          <w:p>
            <w:pPr>
              <w:widowControl/>
              <w:wordWrap w:val="0"/>
              <w:jc w:val="center"/>
              <w:rPr>
                <w:rFonts w:ascii="仿宋_GB2312" w:eastAsia="仿宋_GB2312"/>
                <w:sz w:val="24"/>
              </w:rPr>
            </w:pPr>
          </w:p>
        </w:tc>
        <w:tc>
          <w:tcPr>
            <w:tcW w:w="1316" w:type="dxa"/>
            <w:tcBorders>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时效指标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kern w:val="0"/>
                <w:sz w:val="24"/>
              </w:rPr>
            </w:pPr>
            <w:r>
              <w:rPr>
                <w:rFonts w:ascii="仿宋_GB2312" w:eastAsia="仿宋_GB2312" w:hAnsi="宋体" w:cs="宋体" w:hint="eastAsia"/>
                <w:kern w:val="0"/>
                <w:sz w:val="24"/>
              </w:rPr>
              <w:t>《江门日报》宣传报道及时性</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kern w:val="0"/>
                <w:sz w:val="24"/>
              </w:rPr>
            </w:pPr>
            <w:r>
              <w:rPr>
                <w:rFonts w:ascii="仿宋_GB2312" w:eastAsia="仿宋_GB2312" w:hAnsi="宋体" w:cs="宋体" w:hint="eastAsia"/>
                <w:kern w:val="0"/>
                <w:sz w:val="24"/>
              </w:rPr>
              <w:t>100%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hAnsi="宋体" w:cs="宋体"/>
                <w:kern w:val="0"/>
                <w:sz w:val="24"/>
              </w:rPr>
            </w:pPr>
            <w:r>
              <w:rPr>
                <w:rFonts w:ascii="仿宋_GB2312" w:eastAsia="仿宋_GB2312" w:hAnsi="宋体" w:cs="宋体" w:hint="eastAsia"/>
                <w:kern w:val="0"/>
                <w:sz w:val="24"/>
              </w:rPr>
              <w:t>100%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val="restart"/>
            <w:tcBorders>
              <w:top w:val="single" w:sz="4" w:space="0" w:color="auto"/>
              <w:left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效益</w:t>
            </w:r>
          </w:p>
          <w:p>
            <w:pPr>
              <w:widowControl/>
              <w:wordWrap w:val="0"/>
              <w:jc w:val="center"/>
              <w:rPr>
                <w:rFonts w:ascii="仿宋_GB2312" w:eastAsia="仿宋_GB2312"/>
                <w:kern w:val="0"/>
                <w:sz w:val="24"/>
              </w:rPr>
            </w:pPr>
            <w:r>
              <w:rPr>
                <w:rFonts w:ascii="仿宋_GB2312" w:eastAsia="仿宋_GB2312" w:hint="eastAsia"/>
                <w:kern w:val="0"/>
                <w:sz w:val="24"/>
              </w:rPr>
              <w:t>指标</w:t>
            </w:r>
          </w:p>
        </w:tc>
        <w:tc>
          <w:tcPr>
            <w:tcW w:w="1316" w:type="dxa"/>
            <w:vMerge w:val="restart"/>
            <w:tcBorders>
              <w:top w:val="single" w:sz="4" w:space="0" w:color="auto"/>
              <w:left w:val="single" w:sz="4" w:space="0" w:color="000000"/>
              <w:right w:val="single" w:sz="4" w:space="0" w:color="000000"/>
            </w:tcBorders>
            <w:vAlign w:val="center"/>
          </w:tcPr>
          <w:p>
            <w:pPr>
              <w:widowControl/>
              <w:jc w:val="center"/>
              <w:rPr>
                <w:rFonts w:ascii="仿宋_GB2312" w:eastAsia="仿宋_GB2312"/>
                <w:kern w:val="0"/>
                <w:sz w:val="24"/>
              </w:rPr>
            </w:pPr>
            <w:r>
              <w:rPr>
                <w:rFonts w:ascii="仿宋_GB2312" w:eastAsia="仿宋_GB2312" w:hint="eastAsia"/>
                <w:kern w:val="0"/>
                <w:sz w:val="24"/>
              </w:rPr>
              <w:t>社会效益</w:t>
            </w:r>
          </w:p>
          <w:p>
            <w:pPr>
              <w:widowControl/>
              <w:jc w:val="center"/>
              <w:rPr>
                <w:rFonts w:ascii="仿宋_GB2312" w:eastAsia="仿宋_GB2312"/>
                <w:kern w:val="0"/>
                <w:sz w:val="24"/>
              </w:rPr>
            </w:pPr>
            <w:r>
              <w:rPr>
                <w:rFonts w:ascii="仿宋_GB2312" w:eastAsia="仿宋_GB2312" w:hint="eastAsia"/>
                <w:kern w:val="0"/>
                <w:sz w:val="24"/>
              </w:rPr>
              <w:t>指标</w:t>
            </w:r>
          </w:p>
        </w:tc>
        <w:tc>
          <w:tcPr>
            <w:tcW w:w="2681"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政策知晓率</w:t>
            </w:r>
          </w:p>
        </w:tc>
        <w:tc>
          <w:tcPr>
            <w:tcW w:w="1207"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203"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090" w:type="dxa"/>
            <w:tcBorders>
              <w:top w:val="single" w:sz="4" w:space="0" w:color="auto"/>
              <w:left w:val="single" w:sz="4" w:space="0" w:color="000000"/>
              <w:bottom w:val="single" w:sz="4" w:space="0" w:color="000000"/>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550"/>
          <w:jc w:val="center"/>
        </w:trPr>
        <w:tc>
          <w:tcPr>
            <w:tcW w:w="838" w:type="dxa"/>
            <w:vMerge/>
            <w:tcBorders>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p>
        </w:tc>
        <w:tc>
          <w:tcPr>
            <w:tcW w:w="1316" w:type="dxa"/>
            <w:vMerge/>
            <w:tcBorders>
              <w:left w:val="single" w:sz="4" w:space="0" w:color="000000"/>
              <w:bottom w:val="single" w:sz="4" w:space="0" w:color="auto"/>
              <w:right w:val="single" w:sz="4" w:space="0" w:color="000000"/>
            </w:tcBorders>
            <w:vAlign w:val="center"/>
          </w:tcPr>
          <w:p>
            <w:pPr>
              <w:widowControl/>
              <w:jc w:val="center"/>
              <w:rPr>
                <w:rFonts w:ascii="仿宋_GB2312" w:eastAsia="仿宋_GB2312"/>
                <w:kern w:val="0"/>
                <w:sz w:val="24"/>
              </w:rPr>
            </w:pPr>
          </w:p>
        </w:tc>
        <w:tc>
          <w:tcPr>
            <w:tcW w:w="2681"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横幅信息更新及时性</w:t>
            </w:r>
          </w:p>
        </w:tc>
        <w:tc>
          <w:tcPr>
            <w:tcW w:w="1207"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203"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100%</w:t>
            </w:r>
          </w:p>
        </w:tc>
        <w:tc>
          <w:tcPr>
            <w:tcW w:w="1090" w:type="dxa"/>
            <w:tcBorders>
              <w:top w:val="single" w:sz="4" w:space="0" w:color="auto"/>
              <w:left w:val="single" w:sz="4" w:space="0" w:color="000000"/>
              <w:bottom w:val="single" w:sz="4" w:space="0" w:color="auto"/>
              <w:right w:val="single" w:sz="4" w:space="0" w:color="000000"/>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r>
        <w:tblPrEx>
          <w:tblW w:w="8335" w:type="dxa"/>
          <w:jc w:val="center"/>
          <w:tblCellMar>
            <w:top w:w="0" w:type="dxa"/>
            <w:left w:w="108" w:type="dxa"/>
            <w:bottom w:w="0" w:type="dxa"/>
            <w:right w:w="108" w:type="dxa"/>
          </w:tblCellMar>
        </w:tblPrEx>
        <w:trPr>
          <w:trHeight w:val="274"/>
          <w:jc w:val="center"/>
        </w:trPr>
        <w:tc>
          <w:tcPr>
            <w:tcW w:w="838"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sz w:val="24"/>
              </w:rPr>
            </w:pPr>
            <w:r>
              <w:rPr>
                <w:rFonts w:ascii="仿宋_GB2312" w:eastAsia="仿宋_GB2312" w:hint="eastAsia"/>
                <w:sz w:val="24"/>
              </w:rPr>
              <w:t>满意度指标</w:t>
            </w:r>
          </w:p>
        </w:tc>
        <w:tc>
          <w:tcPr>
            <w:tcW w:w="1316"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服务对象</w:t>
            </w:r>
          </w:p>
          <w:p>
            <w:pPr>
              <w:widowControl/>
              <w:wordWrap w:val="0"/>
              <w:jc w:val="center"/>
              <w:rPr>
                <w:rFonts w:ascii="仿宋_GB2312" w:eastAsia="仿宋_GB2312"/>
                <w:kern w:val="0"/>
                <w:sz w:val="24"/>
              </w:rPr>
            </w:pPr>
            <w:r>
              <w:rPr>
                <w:rFonts w:ascii="仿宋_GB2312" w:eastAsia="仿宋_GB2312" w:hint="eastAsia"/>
                <w:kern w:val="0"/>
                <w:sz w:val="24"/>
              </w:rPr>
              <w:t>满意度指标</w:t>
            </w:r>
          </w:p>
        </w:tc>
        <w:tc>
          <w:tcPr>
            <w:tcW w:w="2681"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群众满意度</w:t>
            </w:r>
          </w:p>
        </w:tc>
        <w:tc>
          <w:tcPr>
            <w:tcW w:w="1207"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203"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Ansi="宋体" w:cs="宋体" w:hint="eastAsia"/>
                <w:kern w:val="0"/>
                <w:sz w:val="24"/>
              </w:rPr>
              <w:t>80%</w:t>
            </w:r>
          </w:p>
        </w:tc>
        <w:tc>
          <w:tcPr>
            <w:tcW w:w="1090" w:type="dxa"/>
            <w:tcBorders>
              <w:top w:val="single" w:sz="4" w:space="0" w:color="auto"/>
              <w:left w:val="single" w:sz="4" w:space="0" w:color="auto"/>
              <w:bottom w:val="single" w:sz="4" w:space="0" w:color="auto"/>
              <w:right w:val="single" w:sz="4" w:space="0" w:color="auto"/>
            </w:tcBorders>
            <w:vAlign w:val="center"/>
          </w:tcPr>
          <w:p>
            <w:pPr>
              <w:widowControl/>
              <w:wordWrap w:val="0"/>
              <w:jc w:val="center"/>
              <w:rPr>
                <w:rFonts w:ascii="仿宋_GB2312" w:eastAsia="仿宋_GB2312"/>
                <w:kern w:val="0"/>
                <w:sz w:val="24"/>
              </w:rPr>
            </w:pPr>
            <w:r>
              <w:rPr>
                <w:rFonts w:ascii="仿宋_GB2312" w:eastAsia="仿宋_GB2312" w:hint="eastAsia"/>
                <w:kern w:val="0"/>
                <w:sz w:val="24"/>
              </w:rPr>
              <w:t>完成</w:t>
            </w:r>
          </w:p>
        </w:tc>
      </w:tr>
    </w:tbl>
    <w:p>
      <w:pPr>
        <w:spacing w:line="360" w:lineRule="auto"/>
        <w:ind w:firstLine="420" w:firstLineChars="200"/>
        <w:rPr>
          <w:rFonts w:ascii="仿宋_GB2312" w:eastAsia="仿宋_GB2312" w:hAnsi="仿宋" w:cstheme="majorBidi"/>
          <w:bCs/>
          <w:sz w:val="32"/>
          <w:szCs w:val="32"/>
        </w:rPr>
      </w:pPr>
      <w:r>
        <w:rPr>
          <w:rFonts w:ascii="仿宋_GB2312" w:eastAsia="仿宋_GB2312" w:hAnsi="楷体" w:hint="eastAsia"/>
          <w:sz w:val="32"/>
          <w:szCs w:val="32"/>
        </w:rPr>
        <w:t>根据评分标准，该指标满分</w:t>
      </w:r>
      <w:r>
        <w:rPr>
          <w:rFonts w:ascii="仿宋_GB2312" w:eastAsia="仿宋_GB2312" w:hAnsi="楷体"/>
          <w:sz w:val="32"/>
          <w:szCs w:val="32"/>
        </w:rPr>
        <w:t>40</w:t>
      </w:r>
      <w:r>
        <w:rPr>
          <w:rFonts w:ascii="仿宋_GB2312" w:eastAsia="仿宋_GB2312" w:hAnsi="楷体" w:hint="eastAsia"/>
          <w:sz w:val="32"/>
          <w:szCs w:val="32"/>
        </w:rPr>
        <w:t>分，因</w:t>
      </w:r>
      <w:r>
        <w:rPr>
          <w:rFonts w:ascii="仿宋_GB2312" w:eastAsia="仿宋_GB2312" w:hAnsi="仿宋" w:cstheme="majorBidi" w:hint="eastAsia"/>
          <w:bCs/>
          <w:sz w:val="32"/>
          <w:szCs w:val="32"/>
        </w:rPr>
        <w:t>质量指标、时效指标、社会效益指标和满意度指标的完成情况缺乏相关佐证材料，完成质量较难考量</w:t>
      </w:r>
      <w:r>
        <w:rPr>
          <w:rFonts w:ascii="仿宋_GB2312" w:eastAsia="仿宋_GB2312" w:hAnsi="楷体" w:hint="eastAsia"/>
          <w:sz w:val="32"/>
          <w:szCs w:val="32"/>
        </w:rPr>
        <w:t>扣</w:t>
      </w:r>
      <w:r>
        <w:rPr>
          <w:rFonts w:ascii="仿宋_GB2312" w:eastAsia="仿宋_GB2312" w:hAnsi="楷体"/>
          <w:sz w:val="32"/>
          <w:szCs w:val="32"/>
        </w:rPr>
        <w:t>2</w:t>
      </w:r>
      <w:r>
        <w:rPr>
          <w:rFonts w:ascii="仿宋_GB2312" w:eastAsia="仿宋_GB2312" w:hAnsi="楷体" w:hint="eastAsia"/>
          <w:sz w:val="32"/>
          <w:szCs w:val="32"/>
        </w:rPr>
        <w:t>分，得分3</w:t>
      </w:r>
      <w:r>
        <w:rPr>
          <w:rFonts w:ascii="仿宋_GB2312" w:eastAsia="仿宋_GB2312" w:hAnsi="楷体"/>
          <w:sz w:val="32"/>
          <w:szCs w:val="32"/>
        </w:rPr>
        <w:t>8</w:t>
      </w:r>
      <w:r>
        <w:rPr>
          <w:rFonts w:ascii="仿宋_GB2312" w:eastAsia="仿宋_GB2312" w:hAnsi="楷体" w:hint="eastAsia"/>
          <w:sz w:val="32"/>
          <w:szCs w:val="32"/>
        </w:rPr>
        <w:t>分。</w:t>
      </w:r>
    </w:p>
    <w:p>
      <w:pPr>
        <w:pStyle w:val="Heading2"/>
        <w:spacing w:before="120" w:after="0" w:line="360" w:lineRule="auto"/>
        <w:ind w:left="710"/>
        <w:rPr>
          <w:rFonts w:ascii="楷体_GB2312" w:eastAsia="楷体_GB2312" w:hAnsi="仿宋"/>
        </w:rPr>
      </w:pPr>
      <w:bookmarkEnd w:id="69"/>
      <w:bookmarkStart w:id="72" w:name="_Toc113562275"/>
      <w:r>
        <w:rPr>
          <w:rFonts w:ascii="楷体_GB2312" w:eastAsia="楷体_GB2312" w:hAnsi="仿宋" w:hint="eastAsia"/>
        </w:rPr>
        <w:t>（四）自评组织工作</w:t>
      </w:r>
      <w:bookmarkEnd w:id="72"/>
    </w:p>
    <w:p>
      <w:pPr>
        <w:spacing w:line="360" w:lineRule="auto"/>
        <w:ind w:firstLine="420" w:firstLineChars="200"/>
        <w:rPr>
          <w:rFonts w:ascii="仿宋_GB2312" w:eastAsia="仿宋_GB2312" w:hAnsi="仿宋"/>
          <w:b/>
          <w:sz w:val="32"/>
          <w:szCs w:val="32"/>
        </w:rPr>
      </w:pPr>
      <w:r>
        <w:rPr>
          <w:rFonts w:ascii="仿宋_GB2312" w:eastAsia="仿宋_GB2312" w:hAnsi="仿宋" w:cstheme="majorBidi" w:hint="eastAsia"/>
          <w:bCs/>
          <w:sz w:val="32"/>
          <w:szCs w:val="32"/>
        </w:rPr>
        <w:t>自评组织工作指标主要考核项目单位对自评工作的态度和自评工作质量，包括自评工作质量和自评工作态度两个二级指标。指标满分</w:t>
      </w:r>
      <w:r>
        <w:rPr>
          <w:rFonts w:ascii="仿宋_GB2312" w:eastAsia="仿宋_GB2312" w:hAnsi="仿宋" w:cstheme="majorBidi"/>
          <w:bCs/>
          <w:sz w:val="32"/>
          <w:szCs w:val="32"/>
        </w:rPr>
        <w:t>10</w:t>
      </w:r>
      <w:r>
        <w:rPr>
          <w:rFonts w:ascii="仿宋_GB2312" w:eastAsia="仿宋_GB2312" w:hAnsi="仿宋" w:cstheme="majorBidi" w:hint="eastAsia"/>
          <w:bCs/>
          <w:sz w:val="32"/>
          <w:szCs w:val="32"/>
        </w:rPr>
        <w:t>分，综合评价得分</w:t>
      </w:r>
      <w:r>
        <w:rPr>
          <w:rFonts w:ascii="仿宋_GB2312" w:eastAsia="仿宋_GB2312" w:hAnsi="仿宋" w:cstheme="majorBidi"/>
          <w:bCs/>
          <w:sz w:val="32"/>
          <w:szCs w:val="32"/>
        </w:rPr>
        <w:t>6.5</w:t>
      </w:r>
      <w:r>
        <w:rPr>
          <w:rFonts w:ascii="仿宋_GB2312" w:eastAsia="仿宋_GB2312" w:hAnsi="仿宋" w:cstheme="majorBidi" w:hint="eastAsia"/>
          <w:bCs/>
          <w:sz w:val="32"/>
          <w:szCs w:val="32"/>
        </w:rPr>
        <w:t>分，得分率</w:t>
      </w:r>
      <w:r>
        <w:rPr>
          <w:rFonts w:ascii="仿宋_GB2312" w:eastAsia="仿宋_GB2312" w:hAnsi="仿宋" w:cstheme="majorBidi"/>
          <w:bCs/>
          <w:sz w:val="32"/>
          <w:szCs w:val="32"/>
        </w:rPr>
        <w:t>65</w:t>
      </w:r>
      <w:r>
        <w:rPr>
          <w:rFonts w:ascii="仿宋_GB2312" w:eastAsia="仿宋_GB2312" w:hAnsi="仿宋" w:cstheme="majorBidi" w:hint="eastAsia"/>
          <w:bCs/>
          <w:sz w:val="32"/>
          <w:szCs w:val="32"/>
        </w:rPr>
        <w:t>%。</w:t>
      </w:r>
    </w:p>
    <w:p>
      <w:pPr>
        <w:spacing w:line="360" w:lineRule="auto"/>
        <w:ind w:firstLine="420" w:firstLineChars="200"/>
        <w:rPr>
          <w:rFonts w:ascii="仿宋_GB2312" w:eastAsia="仿宋_GB2312" w:hAnsi="仿宋"/>
          <w:b/>
          <w:sz w:val="32"/>
          <w:szCs w:val="32"/>
        </w:rPr>
      </w:pPr>
      <w:r>
        <w:rPr>
          <w:rFonts w:ascii="仿宋_GB2312" w:eastAsia="仿宋_GB2312" w:hAnsi="仿宋" w:hint="eastAsia"/>
          <w:b/>
          <w:sz w:val="32"/>
          <w:szCs w:val="32"/>
        </w:rPr>
        <w:t>1.</w:t>
      </w:r>
      <w:r>
        <w:rPr>
          <w:rFonts w:hint="eastAsia"/>
        </w:rPr>
        <w:t xml:space="preserve"> </w:t>
      </w:r>
      <w:r>
        <w:rPr>
          <w:rFonts w:ascii="仿宋_GB2312" w:eastAsia="仿宋_GB2312" w:hAnsi="仿宋" w:hint="eastAsia"/>
          <w:b/>
          <w:sz w:val="32"/>
          <w:szCs w:val="32"/>
        </w:rPr>
        <w:t>自评工作质量</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项目单位按照文件要求填报自评表，自评表的内容基本清晰，但佐证材料不够完整，自评工作整体质量一般。</w:t>
      </w:r>
    </w:p>
    <w:p>
      <w:pPr>
        <w:spacing w:line="360" w:lineRule="auto"/>
        <w:ind w:firstLine="420" w:firstLineChars="200"/>
        <w:rPr>
          <w:rFonts w:ascii="仿宋_GB2312" w:eastAsia="仿宋_GB2312" w:hAnsi="仿宋" w:cstheme="majorBidi"/>
          <w:bCs/>
          <w:sz w:val="32"/>
          <w:szCs w:val="32"/>
        </w:rPr>
      </w:pPr>
      <w:r>
        <w:rPr>
          <w:rFonts w:ascii="仿宋_GB2312" w:eastAsia="仿宋_GB2312" w:hAnsi="楷体" w:hint="eastAsia"/>
          <w:sz w:val="32"/>
          <w:szCs w:val="32"/>
        </w:rPr>
        <w:t>根据评分标准，该指标满分</w:t>
      </w:r>
      <w:r>
        <w:rPr>
          <w:rFonts w:ascii="仿宋_GB2312" w:eastAsia="仿宋_GB2312" w:hAnsi="楷体"/>
          <w:sz w:val="32"/>
          <w:szCs w:val="32"/>
        </w:rPr>
        <w:t>5</w:t>
      </w:r>
      <w:r>
        <w:rPr>
          <w:rFonts w:ascii="仿宋_GB2312" w:eastAsia="仿宋_GB2312" w:hAnsi="楷体" w:hint="eastAsia"/>
          <w:sz w:val="32"/>
          <w:szCs w:val="32"/>
        </w:rPr>
        <w:t>分，因自评工作整体质量一般扣</w:t>
      </w:r>
      <w:r>
        <w:rPr>
          <w:rFonts w:ascii="仿宋_GB2312" w:eastAsia="仿宋_GB2312" w:hAnsi="楷体"/>
          <w:sz w:val="32"/>
          <w:szCs w:val="32"/>
        </w:rPr>
        <w:t>1.5</w:t>
      </w:r>
      <w:r>
        <w:rPr>
          <w:rFonts w:ascii="仿宋_GB2312" w:eastAsia="仿宋_GB2312" w:hAnsi="楷体" w:hint="eastAsia"/>
          <w:sz w:val="32"/>
          <w:szCs w:val="32"/>
        </w:rPr>
        <w:t>分，得分</w:t>
      </w:r>
      <w:r>
        <w:rPr>
          <w:rFonts w:ascii="仿宋_GB2312" w:eastAsia="仿宋_GB2312" w:hAnsi="楷体"/>
          <w:sz w:val="32"/>
          <w:szCs w:val="32"/>
        </w:rPr>
        <w:t>3.5</w:t>
      </w:r>
      <w:r>
        <w:rPr>
          <w:rFonts w:ascii="仿宋_GB2312" w:eastAsia="仿宋_GB2312" w:hAnsi="楷体" w:hint="eastAsia"/>
          <w:sz w:val="32"/>
          <w:szCs w:val="32"/>
        </w:rPr>
        <w:t>分。</w:t>
      </w:r>
    </w:p>
    <w:p>
      <w:pPr>
        <w:spacing w:line="360" w:lineRule="auto"/>
        <w:ind w:firstLine="420" w:firstLineChars="200"/>
        <w:rPr>
          <w:rFonts w:ascii="仿宋_GB2312" w:eastAsia="仿宋_GB2312" w:hAnsi="仿宋"/>
          <w:b/>
          <w:sz w:val="32"/>
          <w:szCs w:val="32"/>
        </w:rPr>
      </w:pPr>
      <w:r>
        <w:rPr>
          <w:rFonts w:ascii="仿宋_GB2312" w:eastAsia="仿宋_GB2312" w:hAnsi="仿宋"/>
          <w:b/>
          <w:sz w:val="32"/>
          <w:szCs w:val="32"/>
        </w:rPr>
        <w:t>2</w:t>
      </w:r>
      <w:r>
        <w:rPr>
          <w:rFonts w:ascii="仿宋_GB2312" w:eastAsia="仿宋_GB2312" w:hAnsi="仿宋" w:hint="eastAsia"/>
          <w:b/>
          <w:sz w:val="32"/>
          <w:szCs w:val="32"/>
        </w:rPr>
        <w:t>.</w:t>
      </w:r>
      <w:r>
        <w:rPr>
          <w:rFonts w:hint="eastAsia"/>
        </w:rPr>
        <w:t xml:space="preserve"> </w:t>
      </w:r>
      <w:r>
        <w:rPr>
          <w:rFonts w:ascii="仿宋_GB2312" w:eastAsia="仿宋_GB2312" w:hAnsi="仿宋" w:hint="eastAsia"/>
          <w:b/>
          <w:sz w:val="32"/>
          <w:szCs w:val="32"/>
        </w:rPr>
        <w:t>自评工作态度</w:t>
      </w:r>
    </w:p>
    <w:p>
      <w:pPr>
        <w:ind w:firstLine="420" w:firstLineChars="200"/>
        <w:rPr>
          <w:rFonts w:eastAsia="仿宋_GB2312"/>
          <w:sz w:val="32"/>
          <w:szCs w:val="20"/>
        </w:rPr>
      </w:pPr>
      <w:r>
        <w:rPr>
          <w:rFonts w:ascii="仿宋_GB2312" w:eastAsia="仿宋_GB2312" w:hAnsi="楷体" w:hint="eastAsia"/>
          <w:sz w:val="32"/>
          <w:szCs w:val="32"/>
        </w:rPr>
        <w:t>项目单位对自评工作的重视程度不够高，</w:t>
      </w:r>
      <w:r>
        <w:rPr>
          <w:rFonts w:eastAsia="仿宋_GB2312" w:hint="eastAsia"/>
          <w:sz w:val="32"/>
          <w:szCs w:val="20"/>
        </w:rPr>
        <w:t>无通过自评总结经验以及提出下一步改进工作的意见和建议，自评材料整体质量一般，自评工作组织管理有待提升。</w:t>
      </w:r>
    </w:p>
    <w:p>
      <w:pPr>
        <w:ind w:firstLine="420" w:firstLineChars="200"/>
        <w:rPr>
          <w:rFonts w:ascii="仿宋_GB2312" w:eastAsia="仿宋_GB2312" w:hAnsi="仿宋" w:cstheme="minorBidi"/>
          <w:sz w:val="32"/>
          <w:szCs w:val="32"/>
        </w:rPr>
        <w:sectPr>
          <w:footerReference w:type="default" r:id="rId8"/>
          <w:pgSz w:w="11906" w:h="16838"/>
          <w:pgMar w:top="1440" w:right="1800" w:bottom="1440" w:left="1800" w:header="851" w:footer="992" w:gutter="0"/>
          <w:pgNumType w:start="1"/>
          <w:cols w:num="1" w:space="425"/>
          <w:docGrid w:type="lines" w:linePitch="312" w:charSpace="0"/>
        </w:sectPr>
      </w:pPr>
      <w:r>
        <w:rPr>
          <w:rFonts w:ascii="仿宋_GB2312" w:eastAsia="仿宋_GB2312" w:hAnsi="楷体" w:hint="eastAsia"/>
          <w:sz w:val="32"/>
          <w:szCs w:val="32"/>
        </w:rPr>
        <w:t>根据评分标准，该指标满分</w:t>
      </w:r>
      <w:r>
        <w:rPr>
          <w:rFonts w:ascii="仿宋_GB2312" w:eastAsia="仿宋_GB2312" w:hAnsi="楷体"/>
          <w:sz w:val="32"/>
          <w:szCs w:val="32"/>
        </w:rPr>
        <w:t>5</w:t>
      </w:r>
      <w:r>
        <w:rPr>
          <w:rFonts w:ascii="仿宋_GB2312" w:eastAsia="仿宋_GB2312" w:hAnsi="楷体" w:hint="eastAsia"/>
          <w:sz w:val="32"/>
          <w:szCs w:val="32"/>
        </w:rPr>
        <w:t>分，无通过自评总结经验扣</w:t>
      </w:r>
      <w:r>
        <w:rPr>
          <w:rFonts w:ascii="仿宋_GB2312" w:eastAsia="仿宋_GB2312" w:hAnsi="楷体"/>
          <w:sz w:val="32"/>
          <w:szCs w:val="32"/>
        </w:rPr>
        <w:t>2</w:t>
      </w:r>
      <w:r>
        <w:rPr>
          <w:rFonts w:ascii="仿宋_GB2312" w:eastAsia="仿宋_GB2312" w:hAnsi="楷体" w:hint="eastAsia"/>
          <w:sz w:val="32"/>
          <w:szCs w:val="32"/>
        </w:rPr>
        <w:t>分，得分</w:t>
      </w:r>
      <w:r>
        <w:rPr>
          <w:rFonts w:ascii="仿宋_GB2312" w:eastAsia="仿宋_GB2312" w:hAnsi="楷体"/>
          <w:sz w:val="32"/>
          <w:szCs w:val="32"/>
        </w:rPr>
        <w:t>3</w:t>
      </w:r>
      <w:r>
        <w:rPr>
          <w:rFonts w:ascii="仿宋_GB2312" w:eastAsia="仿宋_GB2312" w:hAnsi="楷体" w:hint="eastAsia"/>
          <w:sz w:val="32"/>
          <w:szCs w:val="32"/>
        </w:rPr>
        <w:t>分。</w:t>
      </w:r>
      <w:bookmarkEnd w:id="53"/>
    </w:p>
    <w:p>
      <w:pPr>
        <w:pStyle w:val="Heading1"/>
      </w:pPr>
      <w:bookmarkStart w:id="73" w:name="_Toc113562276"/>
      <w:r>
        <w:rPr>
          <w:rFonts w:hint="eastAsia"/>
        </w:rPr>
        <w:t>第三部分 附件</w:t>
      </w:r>
      <w:bookmarkEnd w:id="73"/>
    </w:p>
    <w:p>
      <w:pPr>
        <w:pStyle w:val="Heading1"/>
      </w:pPr>
      <w:bookmarkStart w:id="74" w:name="_Toc113562277"/>
      <w:r>
        <w:rPr>
          <w:rFonts w:hint="eastAsia"/>
        </w:rPr>
        <w:t>附件：1.绩效评价体系评分表</w:t>
      </w:r>
      <w:bookmarkEnd w:id="74"/>
    </w:p>
    <w:tbl>
      <w:tblPr>
        <w:tblStyle w:val="TableNormal"/>
        <w:tblW w:w="1388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129"/>
        <w:gridCol w:w="1418"/>
        <w:gridCol w:w="6095"/>
        <w:gridCol w:w="851"/>
        <w:gridCol w:w="4394"/>
      </w:tblGrid>
      <w:tr>
        <w:tblPrEx>
          <w:tblW w:w="1388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43"/>
        </w:trPr>
        <w:tc>
          <w:tcPr>
            <w:tcW w:w="1129" w:type="dxa"/>
            <w:shd w:val="clear" w:color="auto" w:fill="F1F1F1" w:themeFill="background1" w:themeFillShade="F2"/>
            <w:vAlign w:val="center"/>
          </w:tcPr>
          <w:p>
            <w:pPr>
              <w:widowControl/>
              <w:jc w:val="center"/>
              <w:rPr>
                <w:rFonts w:ascii="仿宋_GB2312" w:eastAsia="仿宋_GB2312" w:hAnsi="宋体" w:cs="宋体"/>
                <w:b/>
                <w:bCs/>
                <w:kern w:val="0"/>
                <w:sz w:val="24"/>
              </w:rPr>
            </w:pPr>
            <w:bookmarkStart w:id="75" w:name="RANGE!A4"/>
            <w:r>
              <w:rPr>
                <w:rFonts w:ascii="仿宋_GB2312" w:eastAsia="仿宋_GB2312" w:hAnsi="宋体" w:cs="宋体" w:hint="eastAsia"/>
                <w:b/>
                <w:bCs/>
                <w:kern w:val="0"/>
                <w:sz w:val="24"/>
              </w:rPr>
              <w:t>一级指标</w:t>
            </w:r>
            <w:bookmarkEnd w:id="75"/>
          </w:p>
        </w:tc>
        <w:tc>
          <w:tcPr>
            <w:tcW w:w="1418" w:type="dxa"/>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二级指标</w:t>
            </w:r>
          </w:p>
        </w:tc>
        <w:tc>
          <w:tcPr>
            <w:tcW w:w="6095" w:type="dxa"/>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评分标准</w:t>
            </w:r>
          </w:p>
        </w:tc>
        <w:tc>
          <w:tcPr>
            <w:tcW w:w="851" w:type="dxa"/>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专家评分</w:t>
            </w:r>
          </w:p>
        </w:tc>
        <w:tc>
          <w:tcPr>
            <w:tcW w:w="4394" w:type="dxa"/>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说明</w:t>
            </w:r>
          </w:p>
        </w:tc>
      </w:tr>
      <w:tr>
        <w:tblPrEx>
          <w:tblW w:w="13887" w:type="dxa"/>
          <w:tblInd w:w="113" w:type="dxa"/>
          <w:tblCellMar>
            <w:top w:w="0" w:type="dxa"/>
            <w:left w:w="108" w:type="dxa"/>
            <w:bottom w:w="0" w:type="dxa"/>
            <w:right w:w="108" w:type="dxa"/>
          </w:tblCellMar>
        </w:tblPrEx>
        <w:trPr>
          <w:trHeight w:val="540"/>
        </w:trPr>
        <w:tc>
          <w:tcPr>
            <w:tcW w:w="1129"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资金管理水平（20分）</w:t>
            </w: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财务管理制度（5分）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（1）建立健全的单位内部财务管理制度，要求提供。（有，得3分；无，得0分）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3</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项目单位内部已建立健全的财务管理制度</w:t>
            </w:r>
          </w:p>
        </w:tc>
      </w:tr>
      <w:tr>
        <w:tblPrEx>
          <w:tblW w:w="13887" w:type="dxa"/>
          <w:tblInd w:w="113" w:type="dxa"/>
          <w:tblCellMar>
            <w:top w:w="0" w:type="dxa"/>
            <w:left w:w="108" w:type="dxa"/>
            <w:bottom w:w="0" w:type="dxa"/>
            <w:right w:w="108" w:type="dxa"/>
          </w:tblCellMar>
        </w:tblPrEx>
        <w:trPr>
          <w:trHeight w:val="54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（2）制定项目资金管理办法，且符合有关财务会计制度，要求提供。（有或不需要制定，得2分；有必要制定但无制定，得0分）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0</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缺乏专项资金管理办法</w:t>
            </w:r>
          </w:p>
        </w:tc>
      </w:tr>
      <w:tr>
        <w:tblPrEx>
          <w:tblW w:w="13887" w:type="dxa"/>
          <w:tblInd w:w="113" w:type="dxa"/>
          <w:tblCellMar>
            <w:top w:w="0" w:type="dxa"/>
            <w:left w:w="108" w:type="dxa"/>
            <w:bottom w:w="0" w:type="dxa"/>
            <w:right w:w="108" w:type="dxa"/>
          </w:tblCellMar>
        </w:tblPrEx>
        <w:trPr>
          <w:trHeight w:val="660"/>
        </w:trPr>
        <w:tc>
          <w:tcPr>
            <w:tcW w:w="1129" w:type="dxa"/>
            <w:vMerge/>
            <w:vAlign w:val="center"/>
          </w:tcPr>
          <w:p>
            <w:pPr>
              <w:widowControl/>
              <w:jc w:val="left"/>
              <w:rPr>
                <w:rFonts w:ascii="仿宋_GB2312" w:eastAsia="仿宋_GB2312" w:hAnsi="宋体" w:cs="宋体"/>
                <w:kern w:val="0"/>
                <w:sz w:val="24"/>
              </w:rPr>
            </w:pP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资金管理及制度落实情况（10分）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（1）年初预算项目要求提供项目实施方案。（符合要求，得2分；无，得0分）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sz w:val="24"/>
              </w:rPr>
              <w:t>2</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项目单位年初预算编制的可行性分析报告中有提及项目实施方案</w:t>
            </w:r>
          </w:p>
        </w:tc>
      </w:tr>
      <w:tr>
        <w:tblPrEx>
          <w:tblW w:w="13887" w:type="dxa"/>
          <w:tblInd w:w="113" w:type="dxa"/>
          <w:tblCellMar>
            <w:top w:w="0" w:type="dxa"/>
            <w:left w:w="108" w:type="dxa"/>
            <w:bottom w:w="0" w:type="dxa"/>
            <w:right w:w="108" w:type="dxa"/>
          </w:tblCellMar>
        </w:tblPrEx>
        <w:trPr>
          <w:trHeight w:val="81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（2）资金支出进度与预算批复、合同等有关规定的相符程度。（完全相符或支出率达100％，符合二者中其一的都得满分6分；支出率每降10％，扣得1分；不相符，得0分）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5</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项目整体资金支出率为99.88%；部分项目如“重点项目策划宣传费”、“宣传策划费”的资金支出时间超过合同签订支付最迟时间，部分项目资金支出进度与合同有关规定的相符程度不够高</w:t>
            </w:r>
          </w:p>
        </w:tc>
      </w:tr>
      <w:tr>
        <w:tblPrEx>
          <w:tblW w:w="13887" w:type="dxa"/>
          <w:tblInd w:w="113" w:type="dxa"/>
          <w:tblCellMar>
            <w:top w:w="0" w:type="dxa"/>
            <w:left w:w="108" w:type="dxa"/>
            <w:bottom w:w="0" w:type="dxa"/>
            <w:right w:w="108" w:type="dxa"/>
          </w:tblCellMar>
        </w:tblPrEx>
        <w:trPr>
          <w:trHeight w:val="81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（3）资金使用是否专款专用、规范、有效控制成本和调动资金等情况。（资金使用规范高效，得2分；一般，得1.5分；较差，得1-0分）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2</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有效控制成本，资金使用较规范</w:t>
            </w:r>
          </w:p>
        </w:tc>
      </w:tr>
      <w:tr>
        <w:tblPrEx>
          <w:tblW w:w="13887" w:type="dxa"/>
          <w:tblInd w:w="113" w:type="dxa"/>
          <w:tblCellMar>
            <w:top w:w="0" w:type="dxa"/>
            <w:left w:w="108" w:type="dxa"/>
            <w:bottom w:w="0" w:type="dxa"/>
            <w:right w:w="108" w:type="dxa"/>
          </w:tblCellMar>
        </w:tblPrEx>
        <w:trPr>
          <w:trHeight w:val="540"/>
        </w:trPr>
        <w:tc>
          <w:tcPr>
            <w:tcW w:w="1129" w:type="dxa"/>
            <w:vMerge/>
            <w:vAlign w:val="center"/>
          </w:tcPr>
          <w:p>
            <w:pPr>
              <w:widowControl/>
              <w:jc w:val="left"/>
              <w:rPr>
                <w:rFonts w:ascii="仿宋_GB2312" w:eastAsia="仿宋_GB2312" w:hAnsi="宋体" w:cs="宋体"/>
                <w:kern w:val="0"/>
                <w:sz w:val="24"/>
              </w:rPr>
            </w:pP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资金使用的合理性（5分）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（1）整体支出构成内容的合理性。（合理，得3分；一般，酌情得2.5-1分；不合理，得0分）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3</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整体支出内容构成合理</w:t>
            </w:r>
          </w:p>
        </w:tc>
      </w:tr>
      <w:tr>
        <w:tblPrEx>
          <w:tblW w:w="13887" w:type="dxa"/>
          <w:tblInd w:w="113" w:type="dxa"/>
          <w:tblCellMar>
            <w:top w:w="0" w:type="dxa"/>
            <w:left w:w="108" w:type="dxa"/>
            <w:bottom w:w="0" w:type="dxa"/>
            <w:right w:w="108" w:type="dxa"/>
          </w:tblCellMar>
        </w:tblPrEx>
        <w:trPr>
          <w:trHeight w:val="885"/>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（2）清楚说明支出构成的标准、数量及计算依据。（清晰，得2分；一般，得1.5-1分；不清晰，得0分）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2</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项目支出构成的标准、数量及计算依据说明基本清晰</w:t>
            </w:r>
          </w:p>
        </w:tc>
      </w:tr>
      <w:tr>
        <w:tblPrEx>
          <w:tblW w:w="13887" w:type="dxa"/>
          <w:tblInd w:w="113" w:type="dxa"/>
          <w:tblCellMar>
            <w:top w:w="0" w:type="dxa"/>
            <w:left w:w="108" w:type="dxa"/>
            <w:bottom w:w="0" w:type="dxa"/>
            <w:right w:w="108" w:type="dxa"/>
          </w:tblCellMar>
        </w:tblPrEx>
        <w:trPr>
          <w:trHeight w:val="540"/>
        </w:trPr>
        <w:tc>
          <w:tcPr>
            <w:tcW w:w="1129"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项目管理水平（20分）</w:t>
            </w: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项目管理情况（6分）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（1）项目有无成立管理部门（科室）或机构。（有，得1分；无，得0分）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1</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有成立管理科室</w:t>
            </w:r>
          </w:p>
        </w:tc>
      </w:tr>
      <w:tr>
        <w:tblPrEx>
          <w:tblW w:w="13887" w:type="dxa"/>
          <w:tblInd w:w="113" w:type="dxa"/>
          <w:tblCellMar>
            <w:top w:w="0" w:type="dxa"/>
            <w:left w:w="108" w:type="dxa"/>
            <w:bottom w:w="0" w:type="dxa"/>
            <w:right w:w="108" w:type="dxa"/>
          </w:tblCellMar>
        </w:tblPrEx>
        <w:trPr>
          <w:trHeight w:val="54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（2）项目实施方案的科学性、合理性和可操性。（良好，得2分；一般，酌情得1.5-1分；无方案，得0分）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1.5</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年初预算编制的可行性分析报告中有提及项目实施方案，但方案不够具体，仅明确了每季度完成的绩效目标，未明确项目实施组织形式等内容；另外项目实施过程中有针对个别子项目制定方案，子项目方案较合理，可操性较高</w:t>
            </w:r>
          </w:p>
        </w:tc>
      </w:tr>
      <w:tr>
        <w:tblPrEx>
          <w:tblW w:w="13887" w:type="dxa"/>
          <w:tblInd w:w="113" w:type="dxa"/>
          <w:tblCellMar>
            <w:top w:w="0" w:type="dxa"/>
            <w:left w:w="108" w:type="dxa"/>
            <w:bottom w:w="0" w:type="dxa"/>
            <w:right w:w="108" w:type="dxa"/>
          </w:tblCellMar>
        </w:tblPrEx>
        <w:trPr>
          <w:trHeight w:val="108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有无为实现绩效目标（含工作目标）制定建立项目实施管理办法或保障措施，且合理、有效到位，如有应提供有关制度文件。（有且较完善，得2分；有但不够完善，得1.5分；无建立制度或有建立制度但未提供，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0</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未针对该专项制定建立项目实施管理办法或保障措施</w:t>
            </w:r>
          </w:p>
        </w:tc>
      </w:tr>
      <w:tr>
        <w:tblPrEx>
          <w:tblW w:w="13887" w:type="dxa"/>
          <w:tblInd w:w="113" w:type="dxa"/>
          <w:tblCellMar>
            <w:top w:w="0" w:type="dxa"/>
            <w:left w:w="108" w:type="dxa"/>
            <w:bottom w:w="0" w:type="dxa"/>
            <w:right w:w="108" w:type="dxa"/>
          </w:tblCellMar>
        </w:tblPrEx>
        <w:trPr>
          <w:trHeight w:val="117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（2）项目如有调整，调整内容是否合理，是否办理相关审批手续。（无调整或已办审批调整，得1分；未经审批擅自调整内容，得0分）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1</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项目根据财政对宣传业务经费进行2021年一般性支出压减要求压减0.94万元，2021年底剩余用款计划额度系统批量调减1.85万元，项目单位按照规定办理了相关审批手续，项目调整内容较合理</w:t>
            </w:r>
          </w:p>
        </w:tc>
      </w:tr>
      <w:tr>
        <w:tblPrEx>
          <w:tblW w:w="13887" w:type="dxa"/>
          <w:tblInd w:w="113" w:type="dxa"/>
          <w:tblCellMar>
            <w:top w:w="0" w:type="dxa"/>
            <w:left w:w="108" w:type="dxa"/>
            <w:bottom w:w="0" w:type="dxa"/>
            <w:right w:w="108" w:type="dxa"/>
          </w:tblCellMar>
        </w:tblPrEx>
        <w:trPr>
          <w:trHeight w:val="558"/>
        </w:trPr>
        <w:tc>
          <w:tcPr>
            <w:tcW w:w="1129" w:type="dxa"/>
            <w:vMerge/>
            <w:vAlign w:val="center"/>
          </w:tcPr>
          <w:p>
            <w:pPr>
              <w:widowControl/>
              <w:jc w:val="left"/>
              <w:rPr>
                <w:rFonts w:ascii="仿宋_GB2312" w:eastAsia="仿宋_GB2312" w:hAnsi="宋体" w:cs="宋体"/>
                <w:kern w:val="0"/>
                <w:sz w:val="24"/>
              </w:rPr>
            </w:pP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项目完成情况（9分）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（1）项目工作的具体实施内容和具体实施过程，跨年度项目应包括开工至报告年份的进度情况以及当年完成的具体内容。（表述清晰、完整，得2分；一般酌情，给1.5-1分；不清晰也不完整，得0分）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2</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项目单位对项目工作具体实施内容和具体实施过程的表述基本清晰、完整</w:t>
            </w:r>
          </w:p>
        </w:tc>
      </w:tr>
      <w:tr>
        <w:tblPrEx>
          <w:tblW w:w="13887" w:type="dxa"/>
          <w:tblInd w:w="113" w:type="dxa"/>
          <w:tblCellMar>
            <w:top w:w="0" w:type="dxa"/>
            <w:left w:w="108" w:type="dxa"/>
            <w:bottom w:w="0" w:type="dxa"/>
            <w:right w:w="108" w:type="dxa"/>
          </w:tblCellMar>
        </w:tblPrEx>
        <w:trPr>
          <w:trHeight w:val="81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（2）项目开展进度（如项目有调整，应与调整后的内容进度相符）。（完成计划量100％，得5分；完成计划量每下降10％，扣0.5分）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5</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项目年初申报实施项目均按照计划开展，完成计划量100%，另外增加完成了“党学习教育知识长廊宣传”、“强国有我宣传”等项目</w:t>
            </w:r>
          </w:p>
        </w:tc>
      </w:tr>
      <w:tr>
        <w:tblPrEx>
          <w:tblW w:w="13887" w:type="dxa"/>
          <w:tblInd w:w="113" w:type="dxa"/>
          <w:tblCellMar>
            <w:top w:w="0" w:type="dxa"/>
            <w:left w:w="108" w:type="dxa"/>
            <w:bottom w:w="0" w:type="dxa"/>
            <w:right w:w="108" w:type="dxa"/>
          </w:tblCellMar>
        </w:tblPrEx>
        <w:trPr>
          <w:trHeight w:val="108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（3）项目有否进行完工检查或验收，包括（工作总结汇报、中介机构加具审核意见的工程进度情况书面报告等）。（有完工验收且能提供相关报告，得2分；有完工验收但无提供相关报告，得1分；都无，得0分）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1</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项目单位按照项目合同要求开展工作验收，但缺乏相关验收佐证材料</w:t>
            </w:r>
          </w:p>
        </w:tc>
      </w:tr>
      <w:tr>
        <w:tblPrEx>
          <w:tblW w:w="13887" w:type="dxa"/>
          <w:tblInd w:w="113" w:type="dxa"/>
          <w:tblCellMar>
            <w:top w:w="0" w:type="dxa"/>
            <w:left w:w="108" w:type="dxa"/>
            <w:bottom w:w="0" w:type="dxa"/>
            <w:right w:w="108" w:type="dxa"/>
          </w:tblCellMar>
        </w:tblPrEx>
        <w:trPr>
          <w:trHeight w:val="1080"/>
        </w:trPr>
        <w:tc>
          <w:tcPr>
            <w:tcW w:w="1129" w:type="dxa"/>
            <w:vMerge/>
            <w:vAlign w:val="center"/>
          </w:tcPr>
          <w:p>
            <w:pPr>
              <w:widowControl/>
              <w:jc w:val="left"/>
              <w:rPr>
                <w:rFonts w:ascii="仿宋_GB2312" w:eastAsia="仿宋_GB2312" w:hAnsi="宋体" w:cs="宋体"/>
                <w:kern w:val="0"/>
                <w:sz w:val="24"/>
              </w:rPr>
            </w:pP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项目实施与改进情况（5分）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（1）总结项目开展的影响因素及改进情况（包括对绩效专家在项目预算申报时提出问题的整改情况）。（能切实反映问题和落实改进措施，得3分；一般，得2.5-1分；无总结，得0分）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0</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无总结项目开发的影响因素及改进情况</w:t>
            </w:r>
          </w:p>
        </w:tc>
      </w:tr>
      <w:tr>
        <w:tblPrEx>
          <w:tblW w:w="13887" w:type="dxa"/>
          <w:tblInd w:w="113" w:type="dxa"/>
          <w:tblCellMar>
            <w:top w:w="0" w:type="dxa"/>
            <w:left w:w="108" w:type="dxa"/>
            <w:bottom w:w="0" w:type="dxa"/>
            <w:right w:w="108" w:type="dxa"/>
          </w:tblCellMar>
        </w:tblPrEx>
        <w:trPr>
          <w:trHeight w:val="81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（2）上一年度绩效评价时专家所提出的意见的整改情况。（专家无提出问题或对问题已落实整改，得2分；部分整改得1分，否则，得0分）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2</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上年度无同类项目的专家评价意见</w:t>
            </w:r>
          </w:p>
        </w:tc>
      </w:tr>
      <w:tr>
        <w:tblPrEx>
          <w:tblW w:w="13887" w:type="dxa"/>
          <w:tblInd w:w="113" w:type="dxa"/>
          <w:tblCellMar>
            <w:top w:w="0" w:type="dxa"/>
            <w:left w:w="108" w:type="dxa"/>
            <w:bottom w:w="0" w:type="dxa"/>
            <w:right w:w="108" w:type="dxa"/>
          </w:tblCellMar>
        </w:tblPrEx>
        <w:trPr>
          <w:trHeight w:val="1080"/>
        </w:trPr>
        <w:tc>
          <w:tcPr>
            <w:tcW w:w="1129"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项目开展绩效（50分）</w:t>
            </w: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评价指标体系和评价标准的科学性和合理性（10分）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评价指标设置能运用定量指标与定性指标相结合，系统反映项目支出的经济效益、社会效益、环境效益和可持续影响等。（定量指标和定性指标相结合，得4分；只有定量指标，得3分；只有定性指标，得2分；都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3</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评价指标设置能运用定量指标与定性指标相结合，但指标设置尚存完善空间，建议数量指标增设“举办高新新闻奖和优秀通迅员评选活动场次”、社会效益指标增设“传统媒体发行量”和“微信公众号粉丝增长数”；另外已设置的质量指标“‘江门高新’点击量”指标属于效益指标，建议下年设置指标时移至效益指标</w:t>
            </w:r>
          </w:p>
        </w:tc>
      </w:tr>
      <w:tr>
        <w:tblPrEx>
          <w:tblW w:w="13887" w:type="dxa"/>
          <w:tblInd w:w="113" w:type="dxa"/>
          <w:tblCellMar>
            <w:top w:w="0" w:type="dxa"/>
            <w:left w:w="108" w:type="dxa"/>
            <w:bottom w:w="0" w:type="dxa"/>
            <w:right w:w="108" w:type="dxa"/>
          </w:tblCellMar>
        </w:tblPrEx>
        <w:trPr>
          <w:trHeight w:val="645"/>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（2）设置个性化的评价指标。（有个性指标，得2分；只有共性指标，得1分；都无，得0分）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2</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结合项目特点设置了个性化的评价指标</w:t>
            </w:r>
          </w:p>
        </w:tc>
      </w:tr>
      <w:tr>
        <w:tblPrEx>
          <w:tblW w:w="13887" w:type="dxa"/>
          <w:tblInd w:w="113" w:type="dxa"/>
          <w:tblCellMar>
            <w:top w:w="0" w:type="dxa"/>
            <w:left w:w="108" w:type="dxa"/>
            <w:bottom w:w="0" w:type="dxa"/>
            <w:right w:w="108" w:type="dxa"/>
          </w:tblCellMar>
        </w:tblPrEx>
        <w:trPr>
          <w:trHeight w:val="93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（3）评价标准的科学性、合理性。（科学、合理，得4分；一般酌情，给3-1分；评价标准过低或无设置评价标准，得0分）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3</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大部分指标评价标准的设置较科学、合理，个别评价标准设置偏低，如政策知晓率设置为80%，而江门市预算绩效指标体系汇编（2020年版）该指标为≥90，又如群众满意度设置为80%，而江门市预算绩效指标体系汇编（2020年版）该指标为≥95</w:t>
            </w:r>
          </w:p>
        </w:tc>
      </w:tr>
      <w:tr>
        <w:tblPrEx>
          <w:tblW w:w="13887" w:type="dxa"/>
          <w:tblInd w:w="113" w:type="dxa"/>
          <w:tblCellMar>
            <w:top w:w="0" w:type="dxa"/>
            <w:left w:w="108" w:type="dxa"/>
            <w:bottom w:w="0" w:type="dxa"/>
            <w:right w:w="108" w:type="dxa"/>
          </w:tblCellMar>
        </w:tblPrEx>
        <w:trPr>
          <w:trHeight w:val="810"/>
        </w:trPr>
        <w:tc>
          <w:tcPr>
            <w:tcW w:w="1129" w:type="dxa"/>
            <w:vMerge/>
            <w:vAlign w:val="center"/>
          </w:tcPr>
          <w:p>
            <w:pPr>
              <w:widowControl/>
              <w:jc w:val="left"/>
              <w:rPr>
                <w:rFonts w:ascii="仿宋_GB2312" w:eastAsia="仿宋_GB2312" w:hAnsi="宋体" w:cs="宋体"/>
                <w:kern w:val="0"/>
                <w:sz w:val="24"/>
              </w:rPr>
            </w:pPr>
          </w:p>
        </w:tc>
        <w:tc>
          <w:tcPr>
            <w:tcW w:w="1418"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绩效目标的完成程度（40分）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（1）绩效目标是否与年初申报时有所调整，解释调整原因。（无调整或原因解释合理，得5分；根据解释合理性，酌情给4.5-1分；原因解释不合理，得0分）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5</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项目年中无调整绩效目标</w:t>
            </w:r>
          </w:p>
        </w:tc>
      </w:tr>
      <w:tr>
        <w:tblPrEx>
          <w:tblW w:w="13887" w:type="dxa"/>
          <w:tblInd w:w="113" w:type="dxa"/>
          <w:tblCellMar>
            <w:top w:w="0" w:type="dxa"/>
            <w:left w:w="108" w:type="dxa"/>
            <w:bottom w:w="0" w:type="dxa"/>
            <w:right w:w="108" w:type="dxa"/>
          </w:tblCellMar>
        </w:tblPrEx>
        <w:trPr>
          <w:trHeight w:val="81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（2）绩效目标完成情况，运用设定的评价指标对比分析项目实施前后的情况。（分析完整、合理，得30分；一般酌情，给25-15分；无完成或无说明，得0分）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2</w:t>
            </w:r>
            <w:r>
              <w:rPr>
                <w:rFonts w:ascii="仿宋_GB2312" w:eastAsia="仿宋_GB2312"/>
                <w:sz w:val="24"/>
              </w:rPr>
              <w:t>8</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项目设置的产出数量指标完成程度高；质量指标、时效指标、社会效益指标和满意度指标的完成情况缺乏相关佐证材料，完成质量较难考量；绩效目标总体完成程度较高</w:t>
            </w:r>
          </w:p>
        </w:tc>
      </w:tr>
      <w:tr>
        <w:tblPrEx>
          <w:tblW w:w="13887" w:type="dxa"/>
          <w:tblInd w:w="113" w:type="dxa"/>
          <w:tblCellMar>
            <w:top w:w="0" w:type="dxa"/>
            <w:left w:w="108" w:type="dxa"/>
            <w:bottom w:w="0" w:type="dxa"/>
            <w:right w:w="108" w:type="dxa"/>
          </w:tblCellMar>
        </w:tblPrEx>
        <w:trPr>
          <w:trHeight w:val="870"/>
        </w:trPr>
        <w:tc>
          <w:tcPr>
            <w:tcW w:w="1129" w:type="dxa"/>
            <w:vMerge/>
            <w:vAlign w:val="center"/>
          </w:tcPr>
          <w:p>
            <w:pPr>
              <w:widowControl/>
              <w:jc w:val="left"/>
              <w:rPr>
                <w:rFonts w:ascii="仿宋_GB2312" w:eastAsia="仿宋_GB2312" w:hAnsi="宋体" w:cs="宋体"/>
                <w:kern w:val="0"/>
                <w:sz w:val="24"/>
              </w:rPr>
            </w:pPr>
          </w:p>
        </w:tc>
        <w:tc>
          <w:tcPr>
            <w:tcW w:w="1418" w:type="dxa"/>
            <w:vMerge/>
            <w:vAlign w:val="center"/>
          </w:tcPr>
          <w:p>
            <w:pPr>
              <w:widowControl/>
              <w:jc w:val="left"/>
              <w:rPr>
                <w:rFonts w:ascii="仿宋_GB2312" w:eastAsia="仿宋_GB2312" w:hAnsi="宋体" w:cs="宋体"/>
                <w:kern w:val="0"/>
                <w:sz w:val="24"/>
              </w:rPr>
            </w:pP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（3）未完成目标的原因解释是否合理。（已完成或原因解释合理，得5分；一般酌情，给4.5-1分；无解释未完成原因，得0分）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5</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无未完成的目标</w:t>
            </w:r>
          </w:p>
        </w:tc>
      </w:tr>
      <w:tr>
        <w:tblPrEx>
          <w:tblW w:w="13887" w:type="dxa"/>
          <w:tblInd w:w="113" w:type="dxa"/>
          <w:tblCellMar>
            <w:top w:w="0" w:type="dxa"/>
            <w:left w:w="108" w:type="dxa"/>
            <w:bottom w:w="0" w:type="dxa"/>
            <w:right w:w="108" w:type="dxa"/>
          </w:tblCellMar>
        </w:tblPrEx>
        <w:trPr>
          <w:trHeight w:val="900"/>
        </w:trPr>
        <w:tc>
          <w:tcPr>
            <w:tcW w:w="1129"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自评组织工作（10分）</w:t>
            </w:r>
          </w:p>
        </w:tc>
        <w:tc>
          <w:tcPr>
            <w:tcW w:w="1418"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自评工作质量（5分）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项目单位是否按文件要求填报自评表，自评表及附件材料的内容是否能够清晰、完整、详尽地描述项目的实际情况。（良好，得5-4分；一般，酌情得3.5-3分；较差，得2.5-0分）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3.5</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项目单位按照文件要求填报自评表，自评表的内容基本清晰，但佐证材料不够完整，自评工作整体质量一般</w:t>
            </w:r>
          </w:p>
        </w:tc>
      </w:tr>
      <w:tr>
        <w:tblPrEx>
          <w:tblW w:w="13887" w:type="dxa"/>
          <w:tblInd w:w="113" w:type="dxa"/>
          <w:tblCellMar>
            <w:top w:w="0" w:type="dxa"/>
            <w:left w:w="108" w:type="dxa"/>
            <w:bottom w:w="0" w:type="dxa"/>
            <w:right w:w="108" w:type="dxa"/>
          </w:tblCellMar>
        </w:tblPrEx>
        <w:trPr>
          <w:trHeight w:val="1080"/>
        </w:trPr>
        <w:tc>
          <w:tcPr>
            <w:tcW w:w="1129" w:type="dxa"/>
            <w:vMerge/>
            <w:vAlign w:val="center"/>
          </w:tcPr>
          <w:p>
            <w:pPr>
              <w:widowControl/>
              <w:jc w:val="left"/>
              <w:rPr>
                <w:rFonts w:ascii="仿宋_GB2312" w:eastAsia="仿宋_GB2312" w:hAnsi="宋体" w:cs="宋体"/>
                <w:kern w:val="0"/>
                <w:sz w:val="24"/>
              </w:rPr>
            </w:pPr>
          </w:p>
        </w:tc>
        <w:tc>
          <w:tcPr>
            <w:tcW w:w="1418"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自评工作态度（5分）</w:t>
            </w:r>
          </w:p>
        </w:tc>
        <w:tc>
          <w:tcPr>
            <w:tcW w:w="6095" w:type="dxa"/>
            <w:shd w:val="clear" w:color="auto" w:fill="auto"/>
            <w:vAlign w:val="center"/>
          </w:tcPr>
          <w:p>
            <w:pPr>
              <w:widowControl/>
              <w:rPr>
                <w:rFonts w:ascii="仿宋_GB2312" w:eastAsia="仿宋_GB2312" w:hAnsi="宋体" w:cs="宋体"/>
                <w:kern w:val="0"/>
                <w:sz w:val="24"/>
              </w:rPr>
            </w:pPr>
            <w:r>
              <w:rPr>
                <w:rFonts w:ascii="仿宋_GB2312" w:eastAsia="仿宋_GB2312" w:hAnsi="宋体" w:cs="宋体" w:hint="eastAsia"/>
                <w:kern w:val="0"/>
                <w:sz w:val="24"/>
              </w:rPr>
              <w:t>项目单位对自评工作是否重视，有无通过自评总结经验，并提出下一步改进工作的意见和建议。（无需改进或提出合理的改进建议，得5分；根据改进建议的合理性，酌情给4.5-1分；需改进但无提出建议，得0分）</w:t>
            </w:r>
          </w:p>
        </w:tc>
        <w:tc>
          <w:tcPr>
            <w:tcW w:w="851" w:type="dxa"/>
            <w:shd w:val="clear" w:color="auto" w:fill="auto"/>
            <w:vAlign w:val="center"/>
          </w:tcPr>
          <w:p>
            <w:pPr>
              <w:widowControl/>
              <w:jc w:val="center"/>
              <w:rPr>
                <w:rFonts w:ascii="仿宋_GB2312" w:eastAsia="仿宋_GB2312" w:hAnsi="宋体" w:cs="宋体"/>
                <w:kern w:val="0"/>
                <w:sz w:val="24"/>
              </w:rPr>
            </w:pPr>
            <w:r>
              <w:rPr>
                <w:rFonts w:ascii="仿宋_GB2312" w:eastAsia="仿宋_GB2312" w:hint="eastAsia"/>
                <w:sz w:val="24"/>
              </w:rPr>
              <w:t>3</w:t>
            </w:r>
          </w:p>
        </w:tc>
        <w:tc>
          <w:tcPr>
            <w:tcW w:w="4394" w:type="dxa"/>
            <w:shd w:val="clear" w:color="auto" w:fill="auto"/>
            <w:vAlign w:val="center"/>
          </w:tcPr>
          <w:p>
            <w:pPr>
              <w:widowControl/>
              <w:rPr>
                <w:rFonts w:ascii="仿宋_GB2312" w:eastAsia="仿宋_GB2312" w:hAnsi="宋体" w:cs="宋体"/>
                <w:kern w:val="0"/>
                <w:sz w:val="24"/>
              </w:rPr>
            </w:pPr>
            <w:r>
              <w:rPr>
                <w:rFonts w:ascii="仿宋_GB2312" w:eastAsia="仿宋_GB2312" w:hint="eastAsia"/>
                <w:sz w:val="24"/>
              </w:rPr>
              <w:t>项目单位对自评工作的重视程度不够高，无通过自评总结经验</w:t>
            </w:r>
          </w:p>
        </w:tc>
      </w:tr>
      <w:tr>
        <w:tblPrEx>
          <w:tblW w:w="13887" w:type="dxa"/>
          <w:tblInd w:w="113" w:type="dxa"/>
          <w:tblCellMar>
            <w:top w:w="0" w:type="dxa"/>
            <w:left w:w="108" w:type="dxa"/>
            <w:bottom w:w="0" w:type="dxa"/>
            <w:right w:w="108" w:type="dxa"/>
          </w:tblCellMar>
        </w:tblPrEx>
        <w:trPr>
          <w:trHeight w:val="570"/>
        </w:trPr>
        <w:tc>
          <w:tcPr>
            <w:tcW w:w="1129" w:type="dxa"/>
            <w:shd w:val="clear" w:color="auto" w:fill="auto"/>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综合得分（100分）</w:t>
            </w:r>
          </w:p>
        </w:tc>
        <w:tc>
          <w:tcPr>
            <w:tcW w:w="7513" w:type="dxa"/>
            <w:gridSpan w:val="2"/>
            <w:shd w:val="clear" w:color="auto" w:fill="auto"/>
            <w:vAlign w:val="center"/>
          </w:tcPr>
          <w:p>
            <w:pPr>
              <w:widowControl/>
              <w:rPr>
                <w:rFonts w:ascii="仿宋_GB2312" w:eastAsia="仿宋_GB2312" w:hAnsi="宋体" w:cs="宋体"/>
                <w:b/>
                <w:bCs/>
                <w:kern w:val="0"/>
                <w:sz w:val="24"/>
              </w:rPr>
            </w:pPr>
            <w:r>
              <w:rPr>
                <w:rFonts w:ascii="仿宋_GB2312" w:eastAsia="仿宋_GB2312" w:hAnsi="宋体" w:cs="宋体" w:hint="eastAsia"/>
                <w:b/>
                <w:bCs/>
                <w:kern w:val="0"/>
                <w:sz w:val="24"/>
              </w:rPr>
              <w:t>　</w:t>
            </w:r>
          </w:p>
        </w:tc>
        <w:tc>
          <w:tcPr>
            <w:tcW w:w="851" w:type="dxa"/>
            <w:shd w:val="clear" w:color="auto" w:fill="auto"/>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8</w:t>
            </w:r>
            <w:r>
              <w:rPr>
                <w:rFonts w:ascii="仿宋_GB2312" w:eastAsia="仿宋_GB2312" w:hAnsi="宋体" w:cs="宋体"/>
                <w:b/>
                <w:bCs/>
                <w:kern w:val="0"/>
                <w:sz w:val="24"/>
              </w:rPr>
              <w:t>3</w:t>
            </w:r>
          </w:p>
        </w:tc>
        <w:tc>
          <w:tcPr>
            <w:tcW w:w="4394" w:type="dxa"/>
            <w:shd w:val="clear" w:color="auto" w:fill="auto"/>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　</w:t>
            </w:r>
          </w:p>
        </w:tc>
      </w:tr>
    </w:tbl>
    <w:p/>
    <w:p>
      <w:pPr>
        <w:sectPr>
          <w:pgSz w:w="16838" w:h="11906" w:orient="landscape"/>
          <w:pgMar w:top="1800" w:right="1440" w:bottom="1800" w:left="1440" w:header="851" w:footer="992" w:gutter="0"/>
          <w:cols w:num="1" w:space="425"/>
          <w:docGrid w:type="lines" w:linePitch="312" w:charSpace="0"/>
        </w:sectPr>
      </w:pPr>
    </w:p>
    <w:p>
      <w:pPr>
        <w:pStyle w:val="Heading1"/>
      </w:pPr>
      <w:bookmarkStart w:id="76" w:name="_Toc113562278"/>
      <w:bookmarkStart w:id="77" w:name="_Toc43281464"/>
      <w:r>
        <w:rPr>
          <w:rFonts w:hint="eastAsia"/>
        </w:rPr>
        <w:t>附件：2</w:t>
      </w:r>
      <w:r>
        <w:t>.</w:t>
      </w:r>
      <w:r>
        <w:rPr>
          <w:rFonts w:hint="eastAsia"/>
        </w:rPr>
        <w:t>绩效评价说明</w:t>
      </w:r>
      <w:bookmarkEnd w:id="76"/>
    </w:p>
    <w:p>
      <w:pPr>
        <w:pStyle w:val="Heading2"/>
        <w:spacing w:before="120" w:after="0" w:line="360" w:lineRule="auto"/>
        <w:ind w:left="420" w:leftChars="200"/>
        <w:rPr>
          <w:rFonts w:ascii="楷体_GB2312" w:eastAsia="楷体_GB2312" w:hAnsi="仿宋" w:cs="Times New Roman"/>
          <w:lang w:val="zh-CN"/>
        </w:rPr>
      </w:pPr>
      <w:bookmarkStart w:id="78" w:name="_Toc113562279"/>
      <w:bookmarkStart w:id="79" w:name="_Toc75771520"/>
      <w:bookmarkStart w:id="80" w:name="_Toc486952617"/>
      <w:r>
        <w:rPr>
          <w:rFonts w:ascii="楷体_GB2312" w:eastAsia="楷体_GB2312" w:hAnsi="仿宋" w:cs="Times New Roman" w:hint="eastAsia"/>
          <w:lang w:val="zh-CN"/>
        </w:rPr>
        <w:t>（一）评价目的</w:t>
      </w:r>
      <w:bookmarkEnd w:id="78"/>
      <w:bookmarkEnd w:id="79"/>
    </w:p>
    <w:p>
      <w:pPr>
        <w:tabs>
          <w:tab w:val="left" w:pos="3060"/>
        </w:tabs>
        <w:spacing w:line="360" w:lineRule="auto"/>
        <w:ind w:firstLine="420" w:firstLineChars="200"/>
        <w:rPr>
          <w:rFonts w:eastAsia="仿宋_GB2312"/>
          <w:sz w:val="32"/>
          <w:szCs w:val="32"/>
        </w:rPr>
      </w:pPr>
      <w:r>
        <w:rPr>
          <w:rFonts w:ascii="仿宋_GB2312" w:eastAsia="仿宋_GB2312" w:hAnsi="仿宋" w:cstheme="minorBidi" w:hint="eastAsia"/>
          <w:sz w:val="32"/>
          <w:szCs w:val="32"/>
        </w:rPr>
        <w:t>本次评价对象为宣传业务经费（含国防教育），专项资金主管部门为江海区委宣传部，资金使用单位为江海区委宣传部，项目预算安排</w:t>
      </w:r>
      <w:r>
        <w:rPr>
          <w:rFonts w:ascii="仿宋_GB2312" w:eastAsia="仿宋_GB2312" w:hAnsi="楷体"/>
          <w:sz w:val="32"/>
          <w:szCs w:val="32"/>
        </w:rPr>
        <w:t>535.57万元</w:t>
      </w:r>
      <w:r>
        <w:rPr>
          <w:rFonts w:ascii="仿宋_GB2312" w:eastAsia="仿宋_GB2312" w:hAnsi="楷体" w:hint="eastAsia"/>
          <w:sz w:val="32"/>
          <w:szCs w:val="32"/>
        </w:rPr>
        <w:t>，绩效评价覆盖周期为2021年1月1日至2021年12月31日。</w:t>
      </w:r>
      <w:r>
        <w:rPr>
          <w:rFonts w:eastAsia="仿宋_GB2312" w:hint="eastAsia"/>
          <w:sz w:val="32"/>
          <w:szCs w:val="32"/>
        </w:rPr>
        <w:t>通过对</w:t>
      </w:r>
      <w:r>
        <w:rPr>
          <w:rFonts w:ascii="仿宋_GB2312" w:eastAsia="仿宋_GB2312" w:hAnsi="仿宋_GB2312" w:cs="仿宋_GB2312" w:hint="eastAsia"/>
          <w:sz w:val="32"/>
          <w:szCs w:val="32"/>
        </w:rPr>
        <w:t>该专项</w:t>
      </w:r>
      <w:r>
        <w:rPr>
          <w:rFonts w:eastAsia="仿宋_GB2312" w:hint="eastAsia"/>
          <w:sz w:val="32"/>
          <w:szCs w:val="32"/>
        </w:rPr>
        <w:t>进行了事后重点绩效评价，深化以结果为导向的预算绩效管理体制，根据项目的开展情况及支出进度，结合绩效目标，归纳存在的问题，深入分析未能达成支出进度和目标的主客观原因，并提出可操作性建议，从而推动项目主管部门不断改进，规范项目预算支出管理，提升财政资金的使用效益。</w:t>
      </w:r>
    </w:p>
    <w:p>
      <w:pPr>
        <w:pStyle w:val="Heading2"/>
        <w:spacing w:before="120" w:after="0" w:line="360" w:lineRule="auto"/>
        <w:ind w:left="420" w:leftChars="200"/>
        <w:rPr>
          <w:rFonts w:ascii="楷体_GB2312" w:eastAsia="楷体_GB2312" w:hAnsi="仿宋" w:cs="Times New Roman"/>
          <w:lang w:val="zh-CN"/>
        </w:rPr>
      </w:pPr>
      <w:bookmarkStart w:id="81" w:name="_Toc75771521"/>
      <w:bookmarkStart w:id="82" w:name="_Toc113562280"/>
      <w:r>
        <w:rPr>
          <w:rFonts w:ascii="楷体_GB2312" w:eastAsia="楷体_GB2312" w:hAnsi="仿宋" w:cs="Times New Roman" w:hint="eastAsia"/>
          <w:lang w:val="zh-CN"/>
        </w:rPr>
        <w:t>（二）评价依据</w:t>
      </w:r>
      <w:bookmarkEnd w:id="80"/>
      <w:bookmarkEnd w:id="81"/>
      <w:bookmarkEnd w:id="82"/>
    </w:p>
    <w:p>
      <w:pPr>
        <w:spacing w:line="360" w:lineRule="auto"/>
        <w:ind w:firstLine="420" w:firstLineChars="200"/>
        <w:rPr>
          <w:rFonts w:ascii="仿宋_GB2312" w:eastAsia="仿宋_GB2312" w:hAnsi="楷体"/>
          <w:b/>
          <w:bCs/>
          <w:sz w:val="32"/>
          <w:szCs w:val="32"/>
        </w:rPr>
      </w:pPr>
      <w:bookmarkStart w:id="83" w:name="_Toc486952618"/>
      <w:r>
        <w:rPr>
          <w:rFonts w:ascii="仿宋_GB2312" w:eastAsia="仿宋_GB2312" w:hAnsi="楷体" w:hint="eastAsia"/>
          <w:b/>
          <w:bCs/>
          <w:sz w:val="32"/>
          <w:szCs w:val="32"/>
        </w:rPr>
        <w:t>1.财政部门绩效评价依据</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（1）《中华人民共和国预算法》(2018年最新修订)；</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（2）《中共中央国务院关于全面实施预算绩效管理的意见》（中发〔2018〕34 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（3）《财政部关于推进预算绩效管理的指导意见》（财预[2011]416号）；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（4）《项目支出绩效评价管理办法》（财预〔2020〕10号）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（5）《预算绩效评价共性指标体系框架》的通知（财预〔2013〕53号）；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（6）《中共广东省委广东省人民政府关于全面实施预算绩效管理的若干意见》(粤发〔2019〕5号)；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（7）《广东省财政厅关于印发&lt;广东省省级财政绩效评价指南&gt;的通知》（粤财绩〔</w:t>
      </w:r>
      <w:r>
        <w:rPr>
          <w:rFonts w:ascii="仿宋_GB2312" w:eastAsia="仿宋_GB2312" w:hAnsi="仿宋" w:cstheme="majorBidi"/>
          <w:bCs/>
          <w:sz w:val="32"/>
          <w:szCs w:val="32"/>
        </w:rPr>
        <w:t>2021</w:t>
      </w:r>
      <w:r>
        <w:rPr>
          <w:rFonts w:ascii="仿宋_GB2312" w:eastAsia="仿宋_GB2312" w:hAnsi="仿宋" w:cstheme="majorBidi" w:hint="eastAsia"/>
          <w:bCs/>
          <w:sz w:val="32"/>
          <w:szCs w:val="32"/>
        </w:rPr>
        <w:t>〕</w:t>
      </w:r>
      <w:r>
        <w:rPr>
          <w:rFonts w:ascii="仿宋_GB2312" w:eastAsia="仿宋_GB2312" w:hAnsi="仿宋" w:cstheme="majorBidi"/>
          <w:bCs/>
          <w:sz w:val="32"/>
          <w:szCs w:val="32"/>
        </w:rPr>
        <w:t>1</w:t>
      </w:r>
      <w:r>
        <w:rPr>
          <w:rFonts w:ascii="仿宋_GB2312" w:eastAsia="仿宋_GB2312" w:hAnsi="仿宋" w:cstheme="majorBidi" w:hint="eastAsia"/>
          <w:bCs/>
          <w:sz w:val="32"/>
          <w:szCs w:val="32"/>
        </w:rPr>
        <w:t>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w:t>
      </w:r>
      <w:r>
        <w:rPr>
          <w:rFonts w:ascii="仿宋_GB2312" w:eastAsia="仿宋_GB2312" w:hAnsi="仿宋" w:cstheme="majorBidi"/>
          <w:bCs/>
          <w:sz w:val="32"/>
          <w:szCs w:val="32"/>
        </w:rPr>
        <w:t>8</w:t>
      </w:r>
      <w:r>
        <w:rPr>
          <w:rFonts w:ascii="仿宋_GB2312" w:eastAsia="仿宋_GB2312" w:hAnsi="仿宋" w:cstheme="majorBidi" w:hint="eastAsia"/>
          <w:bCs/>
          <w:sz w:val="32"/>
          <w:szCs w:val="32"/>
        </w:rPr>
        <w:t>）《江门市人民政府印发&lt;关于全面实施预算绩效管理的意见&gt;的通知》（江府〔2020〕6号）；</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w:t>
      </w:r>
      <w:r>
        <w:rPr>
          <w:rFonts w:ascii="仿宋_GB2312" w:eastAsia="仿宋_GB2312" w:hAnsi="仿宋" w:cstheme="majorBidi"/>
          <w:bCs/>
          <w:sz w:val="32"/>
          <w:szCs w:val="32"/>
        </w:rPr>
        <w:t>9</w:t>
      </w:r>
      <w:r>
        <w:rPr>
          <w:rFonts w:ascii="仿宋_GB2312" w:eastAsia="仿宋_GB2312" w:hAnsi="仿宋" w:cstheme="majorBidi" w:hint="eastAsia"/>
          <w:bCs/>
          <w:sz w:val="32"/>
          <w:szCs w:val="32"/>
        </w:rPr>
        <w:t>）《江门市预算绩效指标库汇编 （2020 年版）》；</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（1</w:t>
      </w:r>
      <w:r>
        <w:rPr>
          <w:rFonts w:ascii="仿宋_GB2312" w:eastAsia="仿宋_GB2312" w:hAnsi="仿宋" w:cstheme="majorBidi"/>
          <w:bCs/>
          <w:sz w:val="32"/>
          <w:szCs w:val="32"/>
        </w:rPr>
        <w:t>0</w:t>
      </w:r>
      <w:r>
        <w:rPr>
          <w:rFonts w:ascii="仿宋_GB2312" w:eastAsia="仿宋_GB2312" w:hAnsi="仿宋" w:cstheme="majorBidi" w:hint="eastAsia"/>
          <w:bCs/>
          <w:sz w:val="32"/>
          <w:szCs w:val="32"/>
        </w:rPr>
        <w:t>）《江海区全面实施预算绩效管理的工作方案》（江海府函〔2020〕59号）。</w:t>
      </w:r>
    </w:p>
    <w:p>
      <w:pPr>
        <w:spacing w:line="360" w:lineRule="auto"/>
        <w:ind w:firstLine="420" w:firstLineChars="200"/>
        <w:rPr>
          <w:rFonts w:ascii="仿宋_GB2312" w:eastAsia="仿宋_GB2312" w:hAnsi="楷体"/>
          <w:b/>
          <w:bCs/>
          <w:sz w:val="32"/>
          <w:szCs w:val="32"/>
        </w:rPr>
      </w:pPr>
      <w:r>
        <w:rPr>
          <w:rFonts w:ascii="仿宋_GB2312" w:eastAsia="仿宋_GB2312" w:hAnsi="楷体" w:hint="eastAsia"/>
          <w:b/>
          <w:bCs/>
          <w:sz w:val="32"/>
          <w:szCs w:val="32"/>
        </w:rPr>
        <w:t>2.单位自评和有关佐证材料</w:t>
      </w:r>
    </w:p>
    <w:p>
      <w:pPr>
        <w:widowControl/>
        <w:spacing w:line="360" w:lineRule="auto"/>
        <w:ind w:firstLine="420" w:firstLineChars="200"/>
        <w:jc w:val="left"/>
        <w:rPr>
          <w:rFonts w:ascii="仿宋_GB2312" w:eastAsia="仿宋_GB2312" w:hAnsi="仿宋" w:cstheme="minorBidi"/>
          <w:sz w:val="32"/>
          <w:szCs w:val="32"/>
        </w:rPr>
      </w:pPr>
      <w:r>
        <w:rPr>
          <w:rFonts w:ascii="仿宋_GB2312" w:eastAsia="仿宋_GB2312" w:hAnsi="仿宋" w:cstheme="minorBidi" w:hint="eastAsia"/>
          <w:sz w:val="32"/>
          <w:szCs w:val="32"/>
        </w:rPr>
        <w:t>（1）项目评价专家组确定、经江门市江海区财政局审定的绩效评价工作实施方案和绩效评价指标框架；</w:t>
      </w:r>
    </w:p>
    <w:p>
      <w:pPr>
        <w:widowControl/>
        <w:spacing w:line="360" w:lineRule="auto"/>
        <w:ind w:firstLine="420" w:firstLineChars="200"/>
        <w:jc w:val="left"/>
        <w:rPr>
          <w:rFonts w:ascii="仿宋_GB2312" w:eastAsia="仿宋_GB2312" w:hAnsi="仿宋" w:cstheme="minorBidi"/>
          <w:sz w:val="32"/>
          <w:szCs w:val="32"/>
        </w:rPr>
      </w:pPr>
      <w:r>
        <w:rPr>
          <w:rFonts w:ascii="仿宋_GB2312" w:eastAsia="仿宋_GB2312" w:hAnsi="仿宋" w:cstheme="minorBidi" w:hint="eastAsia"/>
          <w:sz w:val="32"/>
          <w:szCs w:val="32"/>
        </w:rPr>
        <w:t>（2） 实地调研等相关资料；</w:t>
      </w:r>
    </w:p>
    <w:p>
      <w:pPr>
        <w:spacing w:line="360" w:lineRule="auto"/>
        <w:ind w:firstLine="420" w:firstLineChars="200"/>
        <w:rPr>
          <w:rFonts w:ascii="仿宋_GB2312" w:eastAsia="仿宋_GB2312" w:hAnsi="仿宋" w:cstheme="minorBidi"/>
          <w:sz w:val="32"/>
          <w:szCs w:val="32"/>
        </w:rPr>
      </w:pPr>
      <w:r>
        <w:rPr>
          <w:rFonts w:ascii="仿宋_GB2312" w:eastAsia="仿宋_GB2312" w:hAnsi="仿宋" w:cstheme="minorBidi" w:hint="eastAsia"/>
          <w:sz w:val="32"/>
          <w:szCs w:val="32"/>
        </w:rPr>
        <w:t>（3） 申报单位报送的材料、自评报告及财政局有关科室的初审意见。</w:t>
      </w:r>
    </w:p>
    <w:p>
      <w:pPr>
        <w:pStyle w:val="Heading2"/>
        <w:spacing w:before="120" w:after="0" w:line="360" w:lineRule="auto"/>
        <w:ind w:left="420" w:leftChars="200"/>
        <w:rPr>
          <w:rFonts w:ascii="楷体_GB2312" w:eastAsia="楷体_GB2312" w:hAnsi="仿宋" w:cs="Times New Roman"/>
          <w:lang w:val="zh-CN"/>
        </w:rPr>
      </w:pPr>
      <w:bookmarkStart w:id="84" w:name="_Toc75771522"/>
      <w:bookmarkStart w:id="85" w:name="_Toc113562281"/>
      <w:r>
        <w:rPr>
          <w:rFonts w:ascii="楷体_GB2312" w:eastAsia="楷体_GB2312" w:hAnsi="仿宋" w:cs="Times New Roman" w:hint="eastAsia"/>
          <w:lang w:val="zh-CN"/>
        </w:rPr>
        <w:t>（三）评价方法</w:t>
      </w:r>
      <w:bookmarkEnd w:id="84"/>
      <w:bookmarkEnd w:id="85"/>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本次宣传业务经费（含国防教育）绩效评价工作遵循“客观、公正、科学、规范”的原则，通过对资金管理水平、项目管理水平、项目开展绩效、自评组织工作四方面分析，检测评价资金支出效率和效果。结合项目特点，本次评价方法主要采用目标与实施结果比较法和专家评议法。</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1.目标与实施结果比较法</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目标与实施结果比较法，是通过比较财政支出所产生的实际结果与预定的目标，确定分析完成目标或未完成目标的原因，从而评价绩效。用目标与实施结果比较法比较项目设定的绩效目标（及宏观政策目标）和实际实现的绩效，分析、评价其实现目标的程度，更符合公共经费项目的绩效评价。</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2.专家评议法</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专家评判法主要是聘请有关专家，通过相关资料的收集、汇总、分析、综合，就评价客体的某一方面进行评价、判断。专家评议法可以采用多种形式，包括背靠背评议和面对面评议，或二者结合。“背靠背”方法就是参与评议的专家之间不进行讨论，独立提出意见，独立进行评价，然后汇总所有专家的意见，形成最后的评价结论。</w:t>
      </w:r>
    </w:p>
    <w:p>
      <w:pPr>
        <w:pStyle w:val="Heading2"/>
        <w:spacing w:before="120" w:after="0" w:line="360" w:lineRule="auto"/>
        <w:ind w:left="420" w:leftChars="200"/>
        <w:rPr>
          <w:rFonts w:ascii="楷体_GB2312" w:eastAsia="楷体_GB2312" w:hAnsi="仿宋" w:cs="Times New Roman"/>
          <w:lang w:val="zh-CN"/>
        </w:rPr>
      </w:pPr>
      <w:bookmarkEnd w:id="83"/>
      <w:bookmarkStart w:id="86" w:name="_Toc75771523"/>
      <w:bookmarkStart w:id="87" w:name="_Toc486952619"/>
      <w:bookmarkStart w:id="88" w:name="_Toc113562282"/>
      <w:r>
        <w:rPr>
          <w:rFonts w:ascii="楷体_GB2312" w:eastAsia="楷体_GB2312" w:hAnsi="仿宋" w:cs="Times New Roman" w:hint="eastAsia"/>
          <w:lang w:val="zh-CN"/>
        </w:rPr>
        <w:t>（四）评价指标体系</w:t>
      </w:r>
      <w:bookmarkEnd w:id="86"/>
      <w:bookmarkEnd w:id="87"/>
      <w:bookmarkEnd w:id="88"/>
    </w:p>
    <w:p>
      <w:pPr>
        <w:spacing w:line="360" w:lineRule="auto"/>
        <w:ind w:firstLine="420" w:firstLineChars="200"/>
        <w:rPr>
          <w:rFonts w:ascii="仿宋_GB2312" w:eastAsia="仿宋_GB2312" w:hAnsi="仿宋" w:cs="Arial"/>
          <w:kern w:val="0"/>
          <w:sz w:val="32"/>
          <w:szCs w:val="32"/>
        </w:rPr>
      </w:pPr>
      <w:r>
        <w:rPr>
          <w:rFonts w:ascii="仿宋_GB2312" w:eastAsia="仿宋_GB2312" w:hAnsi="仿宋" w:cs="Arial" w:hint="eastAsia"/>
          <w:kern w:val="0"/>
          <w:sz w:val="32"/>
          <w:szCs w:val="32"/>
        </w:rPr>
        <w:t>指标体系是开展绩效评价的核心，</w:t>
      </w:r>
      <w:r>
        <w:rPr>
          <w:rFonts w:ascii="仿宋_GB2312" w:eastAsia="仿宋_GB2312" w:hAnsi="仿宋" w:cstheme="minorBidi" w:hint="eastAsia"/>
          <w:sz w:val="32"/>
          <w:szCs w:val="32"/>
        </w:rPr>
        <w:t>根据财政部202</w:t>
      </w:r>
      <w:r>
        <w:rPr>
          <w:rFonts w:ascii="仿宋_GB2312" w:eastAsia="仿宋_GB2312" w:hAnsi="仿宋" w:cstheme="minorBidi"/>
          <w:sz w:val="32"/>
          <w:szCs w:val="32"/>
        </w:rPr>
        <w:t>0</w:t>
      </w:r>
      <w:r>
        <w:rPr>
          <w:rFonts w:ascii="仿宋_GB2312" w:eastAsia="仿宋_GB2312" w:hAnsi="仿宋" w:cstheme="minorBidi" w:hint="eastAsia"/>
          <w:sz w:val="32"/>
          <w:szCs w:val="32"/>
        </w:rPr>
        <w:t>年出台的《财政支出绩效评价管理办法》，</w:t>
      </w:r>
      <w:r>
        <w:rPr>
          <w:rFonts w:ascii="仿宋_GB2312" w:eastAsia="仿宋_GB2312" w:hAnsi="仿宋" w:cs="Arial" w:hint="eastAsia"/>
          <w:kern w:val="0"/>
          <w:sz w:val="32"/>
          <w:szCs w:val="32"/>
        </w:rPr>
        <w:t>结合本次专项资金绩效评价的特点，评价专家组采用《江门市江海区财政支出项目绩效评价专家评分表》作为基本评价工具，该指标体系由</w:t>
      </w:r>
      <w:r>
        <w:rPr>
          <w:rFonts w:ascii="仿宋_GB2312" w:eastAsia="仿宋_GB2312" w:hAnsi="仿宋" w:cstheme="majorBidi" w:hint="eastAsia"/>
          <w:bCs/>
          <w:sz w:val="32"/>
          <w:szCs w:val="32"/>
        </w:rPr>
        <w:t>资金管理水平、项目管理水平、项目开展绩效和自评组织工作</w:t>
      </w:r>
      <w:r>
        <w:rPr>
          <w:rFonts w:ascii="仿宋_GB2312" w:eastAsia="仿宋_GB2312" w:hAnsi="仿宋" w:cs="Arial" w:hint="eastAsia"/>
          <w:kern w:val="0"/>
          <w:sz w:val="32"/>
          <w:szCs w:val="32"/>
        </w:rPr>
        <w:t>四类一级指标组成（详见表</w:t>
      </w:r>
      <w:r>
        <w:rPr>
          <w:rFonts w:ascii="仿宋_GB2312" w:eastAsia="仿宋_GB2312" w:hAnsi="仿宋" w:cs="Arial"/>
          <w:kern w:val="0"/>
          <w:sz w:val="32"/>
          <w:szCs w:val="32"/>
        </w:rPr>
        <w:t>3-1</w:t>
      </w:r>
      <w:r>
        <w:rPr>
          <w:rFonts w:ascii="仿宋_GB2312" w:eastAsia="仿宋_GB2312" w:hAnsi="仿宋" w:cs="Arial" w:hint="eastAsia"/>
          <w:kern w:val="0"/>
          <w:sz w:val="32"/>
          <w:szCs w:val="32"/>
        </w:rPr>
        <w:t>）。</w:t>
      </w:r>
      <w:r>
        <w:rPr>
          <w:rFonts w:ascii="仿宋_GB2312" w:eastAsia="仿宋_GB2312" w:hAnsi="仿宋"/>
          <w:sz w:val="32"/>
          <w:szCs w:val="32"/>
        </w:rPr>
        <w:t xml:space="preserve">绩效评价总分值为100分，评价结果根据综合评价意见分为优、良、中、低、差五个等级：90分（含）- 100 </w:t>
      </w:r>
      <w:r>
        <w:rPr>
          <w:rFonts w:ascii="仿宋_GB2312" w:eastAsia="仿宋_GB2312" w:hAnsi="仿宋" w:hint="eastAsia"/>
          <w:sz w:val="32"/>
          <w:szCs w:val="32"/>
        </w:rPr>
        <w:t>分为优，</w:t>
      </w:r>
      <w:r>
        <w:rPr>
          <w:rFonts w:ascii="仿宋_GB2312" w:eastAsia="仿宋_GB2312" w:hAnsi="仿宋"/>
          <w:sz w:val="32"/>
          <w:szCs w:val="32"/>
        </w:rPr>
        <w:t xml:space="preserve">80分 </w:t>
      </w:r>
      <w:r>
        <w:rPr>
          <w:rFonts w:ascii="仿宋_GB2312" w:eastAsia="仿宋_GB2312" w:hAnsi="仿宋" w:hint="eastAsia"/>
          <w:sz w:val="32"/>
          <w:szCs w:val="32"/>
        </w:rPr>
        <w:t>（含）</w:t>
      </w:r>
      <w:r>
        <w:rPr>
          <w:rFonts w:ascii="仿宋_GB2312" w:eastAsia="仿宋_GB2312" w:hAnsi="仿宋"/>
          <w:sz w:val="32"/>
          <w:szCs w:val="32"/>
        </w:rPr>
        <w:t xml:space="preserve">-90 </w:t>
      </w:r>
      <w:r>
        <w:rPr>
          <w:rFonts w:ascii="仿宋_GB2312" w:eastAsia="仿宋_GB2312" w:hAnsi="仿宋" w:hint="eastAsia"/>
          <w:sz w:val="32"/>
          <w:szCs w:val="32"/>
        </w:rPr>
        <w:t>分为良，</w:t>
      </w:r>
      <w:r>
        <w:rPr>
          <w:rFonts w:ascii="仿宋_GB2312" w:eastAsia="仿宋_GB2312" w:hAnsi="仿宋"/>
          <w:sz w:val="32"/>
          <w:szCs w:val="32"/>
        </w:rPr>
        <w:t xml:space="preserve">70 </w:t>
      </w:r>
      <w:r>
        <w:rPr>
          <w:rFonts w:ascii="仿宋_GB2312" w:eastAsia="仿宋_GB2312" w:hAnsi="仿宋" w:hint="eastAsia"/>
          <w:sz w:val="32"/>
          <w:szCs w:val="32"/>
        </w:rPr>
        <w:t>分（含）</w:t>
      </w:r>
      <w:r>
        <w:rPr>
          <w:rFonts w:ascii="仿宋_GB2312" w:eastAsia="仿宋_GB2312" w:hAnsi="仿宋"/>
          <w:sz w:val="32"/>
          <w:szCs w:val="32"/>
        </w:rPr>
        <w:t xml:space="preserve">-80分为中，60 </w:t>
      </w:r>
      <w:r>
        <w:rPr>
          <w:rFonts w:ascii="仿宋_GB2312" w:eastAsia="仿宋_GB2312" w:hAnsi="仿宋" w:hint="eastAsia"/>
          <w:sz w:val="32"/>
          <w:szCs w:val="32"/>
        </w:rPr>
        <w:t>分（含）</w:t>
      </w:r>
      <w:r>
        <w:rPr>
          <w:rFonts w:ascii="仿宋_GB2312" w:eastAsia="仿宋_GB2312" w:hAnsi="仿宋"/>
          <w:sz w:val="32"/>
          <w:szCs w:val="32"/>
        </w:rPr>
        <w:t>-70分为低，60分以下为差。</w:t>
      </w:r>
    </w:p>
    <w:p>
      <w:pPr>
        <w:spacing w:line="360" w:lineRule="auto"/>
        <w:jc w:val="center"/>
        <w:rPr>
          <w:rFonts w:ascii="仿宋_GB2312" w:eastAsia="仿宋_GB2312" w:hAnsi="仿宋" w:cstheme="minorBidi"/>
          <w:sz w:val="32"/>
          <w:szCs w:val="32"/>
        </w:rPr>
      </w:pPr>
      <w:r>
        <w:rPr>
          <w:rFonts w:ascii="黑体" w:eastAsia="黑体" w:hAnsi="黑体" w:hint="eastAsia"/>
          <w:sz w:val="28"/>
          <w:szCs w:val="28"/>
        </w:rPr>
        <w:t>表</w:t>
      </w:r>
      <w:r>
        <w:rPr>
          <w:rFonts w:ascii="黑体" w:eastAsia="黑体" w:hAnsi="黑体"/>
          <w:sz w:val="28"/>
          <w:szCs w:val="28"/>
        </w:rPr>
        <w:t>3-1</w:t>
      </w:r>
      <w:r>
        <w:rPr>
          <w:rFonts w:ascii="黑体" w:eastAsia="黑体" w:hAnsi="黑体" w:hint="eastAsia"/>
          <w:sz w:val="28"/>
          <w:szCs w:val="28"/>
        </w:rPr>
        <w:t xml:space="preserve"> 重点项目绩效评价指标体系简表</w:t>
      </w:r>
    </w:p>
    <w:tbl>
      <w:tblPr>
        <w:tblStyle w:val="TableNormal"/>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929"/>
        <w:gridCol w:w="2396"/>
        <w:gridCol w:w="5010"/>
      </w:tblGrid>
      <w:tr>
        <w:tblPrEx>
          <w:tblW w:w="8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32"/>
          <w:jc w:val="center"/>
        </w:trPr>
        <w:tc>
          <w:tcPr>
            <w:tcW w:w="959" w:type="dxa"/>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序号</w:t>
            </w:r>
          </w:p>
        </w:tc>
        <w:tc>
          <w:tcPr>
            <w:tcW w:w="2505" w:type="dxa"/>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一级指标</w:t>
            </w:r>
          </w:p>
        </w:tc>
        <w:tc>
          <w:tcPr>
            <w:tcW w:w="0" w:type="auto"/>
            <w:shd w:val="clear" w:color="auto" w:fill="F1F1F1" w:themeFill="background1" w:themeFillShade="F2"/>
            <w:vAlign w:val="center"/>
          </w:tcPr>
          <w:p>
            <w:pPr>
              <w:widowControl/>
              <w:jc w:val="center"/>
              <w:rPr>
                <w:rFonts w:ascii="仿宋_GB2312" w:eastAsia="仿宋_GB2312" w:hAnsi="宋体" w:cs="宋体"/>
                <w:b/>
                <w:bCs/>
                <w:kern w:val="0"/>
                <w:sz w:val="24"/>
              </w:rPr>
            </w:pPr>
            <w:r>
              <w:rPr>
                <w:rFonts w:ascii="仿宋_GB2312" w:eastAsia="仿宋_GB2312" w:hAnsi="宋体" w:cs="宋体" w:hint="eastAsia"/>
                <w:b/>
                <w:bCs/>
                <w:kern w:val="0"/>
                <w:sz w:val="24"/>
              </w:rPr>
              <w:t>二级指标</w:t>
            </w:r>
          </w:p>
        </w:tc>
      </w:tr>
      <w:tr>
        <w:tblPrEx>
          <w:tblW w:w="8335" w:type="dxa"/>
          <w:jc w:val="center"/>
          <w:tblCellMar>
            <w:top w:w="0" w:type="dxa"/>
            <w:left w:w="108" w:type="dxa"/>
            <w:bottom w:w="0" w:type="dxa"/>
            <w:right w:w="108" w:type="dxa"/>
          </w:tblCellMar>
        </w:tblPrEx>
        <w:trPr>
          <w:trHeight w:val="532"/>
          <w:jc w:val="center"/>
        </w:trPr>
        <w:tc>
          <w:tcPr>
            <w:tcW w:w="959" w:type="dxa"/>
            <w:vMerge w:val="restart"/>
            <w:tcBorders>
              <w:bottom w:val="single" w:sz="4" w:space="0" w:color="auto"/>
            </w:tcBorders>
            <w:vAlign w:val="center"/>
          </w:tcPr>
          <w:p>
            <w:pPr>
              <w:jc w:val="center"/>
              <w:rPr>
                <w:rFonts w:ascii="仿宋_GB2312" w:eastAsia="仿宋_GB2312" w:hAnsi="宋体" w:cs="宋体"/>
                <w:kern w:val="0"/>
                <w:sz w:val="24"/>
              </w:rPr>
            </w:pPr>
            <w:r>
              <w:rPr>
                <w:rFonts w:ascii="仿宋_GB2312" w:eastAsia="仿宋_GB2312" w:hAnsi="宋体" w:cs="宋体" w:hint="eastAsia"/>
                <w:kern w:val="0"/>
                <w:sz w:val="24"/>
              </w:rPr>
              <w:t>1</w:t>
            </w:r>
          </w:p>
        </w:tc>
        <w:tc>
          <w:tcPr>
            <w:tcW w:w="2505" w:type="dxa"/>
            <w:vMerge w:val="restart"/>
            <w:tcBorders>
              <w:bottom w:val="single" w:sz="4" w:space="0" w:color="auto"/>
            </w:tcBorders>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资金管理水平（20分）</w:t>
            </w:r>
          </w:p>
        </w:tc>
        <w:tc>
          <w:tcPr>
            <w:tcW w:w="0" w:type="auto"/>
            <w:tcBorders>
              <w:bottom w:val="single" w:sz="4" w:space="0" w:color="auto"/>
            </w:tcBorders>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财务管理制度（5分）</w:t>
            </w:r>
          </w:p>
        </w:tc>
      </w:tr>
      <w:tr>
        <w:tblPrEx>
          <w:tblW w:w="8335" w:type="dxa"/>
          <w:jc w:val="center"/>
          <w:tblCellMar>
            <w:top w:w="0" w:type="dxa"/>
            <w:left w:w="108" w:type="dxa"/>
            <w:bottom w:w="0" w:type="dxa"/>
            <w:right w:w="108" w:type="dxa"/>
          </w:tblCellMar>
        </w:tblPrEx>
        <w:trPr>
          <w:trHeight w:val="532"/>
          <w:jc w:val="center"/>
        </w:trPr>
        <w:tc>
          <w:tcPr>
            <w:tcW w:w="959" w:type="dxa"/>
            <w:vMerge/>
            <w:tcBorders>
              <w:bottom w:val="single" w:sz="4" w:space="0" w:color="auto"/>
            </w:tcBorders>
            <w:vAlign w:val="center"/>
          </w:tcPr>
          <w:p>
            <w:pPr>
              <w:jc w:val="center"/>
              <w:rPr>
                <w:rFonts w:ascii="仿宋_GB2312" w:eastAsia="仿宋_GB2312" w:hAnsi="宋体" w:cs="宋体"/>
                <w:kern w:val="0"/>
                <w:sz w:val="24"/>
              </w:rPr>
            </w:pPr>
          </w:p>
        </w:tc>
        <w:tc>
          <w:tcPr>
            <w:tcW w:w="2505" w:type="dxa"/>
            <w:vMerge/>
            <w:tcBorders>
              <w:bottom w:val="single" w:sz="4" w:space="0" w:color="auto"/>
            </w:tcBorders>
            <w:vAlign w:val="center"/>
          </w:tcPr>
          <w:p>
            <w:pPr>
              <w:widowControl/>
              <w:jc w:val="left"/>
              <w:rPr>
                <w:rFonts w:ascii="仿宋_GB2312" w:eastAsia="仿宋_GB2312" w:hAnsi="宋体" w:cs="宋体"/>
                <w:kern w:val="0"/>
                <w:sz w:val="24"/>
              </w:rPr>
            </w:pPr>
          </w:p>
        </w:tc>
        <w:tc>
          <w:tcPr>
            <w:tcW w:w="0" w:type="auto"/>
            <w:tcBorders>
              <w:bottom w:val="single" w:sz="4" w:space="0" w:color="auto"/>
            </w:tcBorders>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资金管理及制度落实情况（10分）</w:t>
            </w:r>
          </w:p>
        </w:tc>
      </w:tr>
      <w:tr>
        <w:tblPrEx>
          <w:tblW w:w="8335" w:type="dxa"/>
          <w:jc w:val="center"/>
          <w:tblCellMar>
            <w:top w:w="0" w:type="dxa"/>
            <w:left w:w="108" w:type="dxa"/>
            <w:bottom w:w="0" w:type="dxa"/>
            <w:right w:w="108" w:type="dxa"/>
          </w:tblCellMar>
        </w:tblPrEx>
        <w:trPr>
          <w:trHeight w:val="532"/>
          <w:jc w:val="center"/>
        </w:trPr>
        <w:tc>
          <w:tcPr>
            <w:tcW w:w="959" w:type="dxa"/>
            <w:vMerge/>
            <w:tcBorders>
              <w:bottom w:val="single" w:sz="4" w:space="0" w:color="auto"/>
            </w:tcBorders>
            <w:vAlign w:val="center"/>
          </w:tcPr>
          <w:p>
            <w:pPr>
              <w:widowControl/>
              <w:jc w:val="center"/>
              <w:rPr>
                <w:rFonts w:ascii="仿宋_GB2312" w:eastAsia="仿宋_GB2312" w:hAnsi="宋体" w:cs="宋体"/>
                <w:kern w:val="0"/>
                <w:sz w:val="24"/>
              </w:rPr>
            </w:pPr>
          </w:p>
        </w:tc>
        <w:tc>
          <w:tcPr>
            <w:tcW w:w="2505" w:type="dxa"/>
            <w:vMerge/>
            <w:tcBorders>
              <w:bottom w:val="single" w:sz="4" w:space="0" w:color="auto"/>
            </w:tcBorders>
            <w:vAlign w:val="center"/>
          </w:tcPr>
          <w:p>
            <w:pPr>
              <w:widowControl/>
              <w:jc w:val="left"/>
              <w:rPr>
                <w:rFonts w:ascii="仿宋_GB2312" w:eastAsia="仿宋_GB2312" w:hAnsi="宋体" w:cs="宋体"/>
                <w:kern w:val="0"/>
                <w:sz w:val="24"/>
              </w:rPr>
            </w:pPr>
          </w:p>
        </w:tc>
        <w:tc>
          <w:tcPr>
            <w:tcW w:w="0" w:type="auto"/>
            <w:tcBorders>
              <w:bottom w:val="single" w:sz="4" w:space="0" w:color="auto"/>
            </w:tcBorders>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资金使用的合理性（5分）</w:t>
            </w:r>
          </w:p>
        </w:tc>
      </w:tr>
      <w:tr>
        <w:tblPrEx>
          <w:tblW w:w="8335" w:type="dxa"/>
          <w:jc w:val="center"/>
          <w:tblCellMar>
            <w:top w:w="0" w:type="dxa"/>
            <w:left w:w="108" w:type="dxa"/>
            <w:bottom w:w="0" w:type="dxa"/>
            <w:right w:w="108" w:type="dxa"/>
          </w:tblCellMar>
        </w:tblPrEx>
        <w:trPr>
          <w:trHeight w:val="532"/>
          <w:jc w:val="center"/>
        </w:trPr>
        <w:tc>
          <w:tcPr>
            <w:tcW w:w="959" w:type="dxa"/>
            <w:vMerge w:val="restart"/>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2</w:t>
            </w:r>
          </w:p>
        </w:tc>
        <w:tc>
          <w:tcPr>
            <w:tcW w:w="2505"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项目管理水平（20分）</w:t>
            </w:r>
          </w:p>
        </w:tc>
        <w:tc>
          <w:tcPr>
            <w:tcW w:w="0" w:type="auto"/>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项目管理情况（6分）</w:t>
            </w:r>
          </w:p>
        </w:tc>
      </w:tr>
      <w:tr>
        <w:tblPrEx>
          <w:tblW w:w="8335" w:type="dxa"/>
          <w:jc w:val="center"/>
          <w:tblCellMar>
            <w:top w:w="0" w:type="dxa"/>
            <w:left w:w="108" w:type="dxa"/>
            <w:bottom w:w="0" w:type="dxa"/>
            <w:right w:w="108" w:type="dxa"/>
          </w:tblCellMar>
        </w:tblPrEx>
        <w:trPr>
          <w:trHeight w:val="532"/>
          <w:jc w:val="center"/>
        </w:trPr>
        <w:tc>
          <w:tcPr>
            <w:tcW w:w="959" w:type="dxa"/>
            <w:vMerge/>
            <w:vAlign w:val="center"/>
          </w:tcPr>
          <w:p>
            <w:pPr>
              <w:widowControl/>
              <w:jc w:val="center"/>
              <w:rPr>
                <w:rFonts w:ascii="仿宋_GB2312" w:eastAsia="仿宋_GB2312" w:hAnsi="宋体" w:cs="宋体"/>
                <w:kern w:val="0"/>
                <w:sz w:val="24"/>
              </w:rPr>
            </w:pPr>
          </w:p>
        </w:tc>
        <w:tc>
          <w:tcPr>
            <w:tcW w:w="2505" w:type="dxa"/>
            <w:vMerge/>
            <w:vAlign w:val="center"/>
          </w:tcPr>
          <w:p>
            <w:pPr>
              <w:widowControl/>
              <w:jc w:val="left"/>
              <w:rPr>
                <w:rFonts w:ascii="仿宋_GB2312" w:eastAsia="仿宋_GB2312" w:hAnsi="宋体" w:cs="宋体"/>
                <w:kern w:val="0"/>
                <w:sz w:val="24"/>
              </w:rPr>
            </w:pPr>
          </w:p>
        </w:tc>
        <w:tc>
          <w:tcPr>
            <w:tcW w:w="0" w:type="auto"/>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项目完成情况（9分）</w:t>
            </w:r>
          </w:p>
        </w:tc>
      </w:tr>
      <w:tr>
        <w:tblPrEx>
          <w:tblW w:w="8335" w:type="dxa"/>
          <w:jc w:val="center"/>
          <w:tblCellMar>
            <w:top w:w="0" w:type="dxa"/>
            <w:left w:w="108" w:type="dxa"/>
            <w:bottom w:w="0" w:type="dxa"/>
            <w:right w:w="108" w:type="dxa"/>
          </w:tblCellMar>
        </w:tblPrEx>
        <w:trPr>
          <w:trHeight w:val="532"/>
          <w:jc w:val="center"/>
        </w:trPr>
        <w:tc>
          <w:tcPr>
            <w:tcW w:w="959" w:type="dxa"/>
            <w:vMerge/>
            <w:vAlign w:val="center"/>
          </w:tcPr>
          <w:p>
            <w:pPr>
              <w:widowControl/>
              <w:jc w:val="center"/>
              <w:rPr>
                <w:rFonts w:ascii="仿宋_GB2312" w:eastAsia="仿宋_GB2312" w:hAnsi="宋体" w:cs="宋体"/>
                <w:kern w:val="0"/>
                <w:sz w:val="24"/>
              </w:rPr>
            </w:pPr>
          </w:p>
        </w:tc>
        <w:tc>
          <w:tcPr>
            <w:tcW w:w="2505" w:type="dxa"/>
            <w:vMerge/>
            <w:vAlign w:val="center"/>
          </w:tcPr>
          <w:p>
            <w:pPr>
              <w:widowControl/>
              <w:jc w:val="left"/>
              <w:rPr>
                <w:rFonts w:ascii="仿宋_GB2312" w:eastAsia="仿宋_GB2312" w:hAnsi="宋体" w:cs="宋体"/>
                <w:kern w:val="0"/>
                <w:sz w:val="24"/>
              </w:rPr>
            </w:pPr>
          </w:p>
        </w:tc>
        <w:tc>
          <w:tcPr>
            <w:tcW w:w="0" w:type="auto"/>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项目实施与改进情况（5分）</w:t>
            </w:r>
          </w:p>
        </w:tc>
      </w:tr>
      <w:tr>
        <w:tblPrEx>
          <w:tblW w:w="8335" w:type="dxa"/>
          <w:jc w:val="center"/>
          <w:tblCellMar>
            <w:top w:w="0" w:type="dxa"/>
            <w:left w:w="108" w:type="dxa"/>
            <w:bottom w:w="0" w:type="dxa"/>
            <w:right w:w="108" w:type="dxa"/>
          </w:tblCellMar>
        </w:tblPrEx>
        <w:trPr>
          <w:trHeight w:val="532"/>
          <w:jc w:val="center"/>
        </w:trPr>
        <w:tc>
          <w:tcPr>
            <w:tcW w:w="959" w:type="dxa"/>
            <w:vMerge w:val="restart"/>
            <w:tcBorders>
              <w:bottom w:val="single" w:sz="4" w:space="0" w:color="auto"/>
            </w:tcBorders>
            <w:vAlign w:val="center"/>
          </w:tcPr>
          <w:p>
            <w:pPr>
              <w:jc w:val="center"/>
              <w:rPr>
                <w:rFonts w:ascii="仿宋_GB2312" w:eastAsia="仿宋_GB2312" w:hAnsi="宋体" w:cs="宋体"/>
                <w:kern w:val="0"/>
                <w:sz w:val="24"/>
              </w:rPr>
            </w:pPr>
            <w:r>
              <w:rPr>
                <w:rFonts w:ascii="仿宋_GB2312" w:eastAsia="仿宋_GB2312" w:hAnsi="宋体" w:cs="宋体" w:hint="eastAsia"/>
                <w:kern w:val="0"/>
                <w:sz w:val="24"/>
              </w:rPr>
              <w:t>3</w:t>
            </w:r>
          </w:p>
        </w:tc>
        <w:tc>
          <w:tcPr>
            <w:tcW w:w="2505" w:type="dxa"/>
            <w:vMerge w:val="restart"/>
            <w:tcBorders>
              <w:bottom w:val="single" w:sz="4" w:space="0" w:color="auto"/>
            </w:tcBorders>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项目开展绩效（50分）</w:t>
            </w:r>
          </w:p>
        </w:tc>
        <w:tc>
          <w:tcPr>
            <w:tcW w:w="0" w:type="auto"/>
            <w:tcBorders>
              <w:bottom w:val="single" w:sz="4" w:space="0" w:color="auto"/>
            </w:tcBorders>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评价指标体系和评价标准的科学性和合理性（10分）</w:t>
            </w:r>
          </w:p>
        </w:tc>
      </w:tr>
      <w:tr>
        <w:tblPrEx>
          <w:tblW w:w="8335" w:type="dxa"/>
          <w:jc w:val="center"/>
          <w:tblCellMar>
            <w:top w:w="0" w:type="dxa"/>
            <w:left w:w="108" w:type="dxa"/>
            <w:bottom w:w="0" w:type="dxa"/>
            <w:right w:w="108" w:type="dxa"/>
          </w:tblCellMar>
        </w:tblPrEx>
        <w:trPr>
          <w:trHeight w:val="532"/>
          <w:jc w:val="center"/>
        </w:trPr>
        <w:tc>
          <w:tcPr>
            <w:tcW w:w="959" w:type="dxa"/>
            <w:vMerge/>
            <w:tcBorders>
              <w:bottom w:val="single" w:sz="4" w:space="0" w:color="auto"/>
            </w:tcBorders>
            <w:vAlign w:val="center"/>
          </w:tcPr>
          <w:p>
            <w:pPr>
              <w:widowControl/>
              <w:jc w:val="center"/>
              <w:rPr>
                <w:rFonts w:ascii="仿宋_GB2312" w:eastAsia="仿宋_GB2312" w:hAnsi="宋体" w:cs="宋体"/>
                <w:kern w:val="0"/>
                <w:sz w:val="24"/>
              </w:rPr>
            </w:pPr>
          </w:p>
        </w:tc>
        <w:tc>
          <w:tcPr>
            <w:tcW w:w="2505" w:type="dxa"/>
            <w:vMerge/>
            <w:tcBorders>
              <w:bottom w:val="single" w:sz="4" w:space="0" w:color="auto"/>
            </w:tcBorders>
            <w:vAlign w:val="center"/>
          </w:tcPr>
          <w:p>
            <w:pPr>
              <w:widowControl/>
              <w:jc w:val="left"/>
              <w:rPr>
                <w:rFonts w:ascii="仿宋_GB2312" w:eastAsia="仿宋_GB2312" w:hAnsi="宋体" w:cs="宋体"/>
                <w:kern w:val="0"/>
                <w:sz w:val="24"/>
              </w:rPr>
            </w:pPr>
          </w:p>
        </w:tc>
        <w:tc>
          <w:tcPr>
            <w:tcW w:w="0" w:type="auto"/>
            <w:tcBorders>
              <w:bottom w:val="single" w:sz="4" w:space="0" w:color="auto"/>
            </w:tcBorders>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绩效目标的完成程度（40分）</w:t>
            </w:r>
          </w:p>
        </w:tc>
      </w:tr>
      <w:tr>
        <w:tblPrEx>
          <w:tblW w:w="8335" w:type="dxa"/>
          <w:jc w:val="center"/>
          <w:tblCellMar>
            <w:top w:w="0" w:type="dxa"/>
            <w:left w:w="108" w:type="dxa"/>
            <w:bottom w:w="0" w:type="dxa"/>
            <w:right w:w="108" w:type="dxa"/>
          </w:tblCellMar>
        </w:tblPrEx>
        <w:trPr>
          <w:trHeight w:val="532"/>
          <w:jc w:val="center"/>
        </w:trPr>
        <w:tc>
          <w:tcPr>
            <w:tcW w:w="959" w:type="dxa"/>
            <w:vMerge w:val="restart"/>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4</w:t>
            </w:r>
          </w:p>
        </w:tc>
        <w:tc>
          <w:tcPr>
            <w:tcW w:w="2505" w:type="dxa"/>
            <w:vMerge w:val="restart"/>
            <w:shd w:val="clear" w:color="auto" w:fill="auto"/>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自评组织工作（10分）</w:t>
            </w:r>
          </w:p>
        </w:tc>
        <w:tc>
          <w:tcPr>
            <w:tcW w:w="0" w:type="auto"/>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自评工作质量（5分）</w:t>
            </w:r>
          </w:p>
        </w:tc>
      </w:tr>
      <w:tr>
        <w:tblPrEx>
          <w:tblW w:w="8335" w:type="dxa"/>
          <w:jc w:val="center"/>
          <w:tblCellMar>
            <w:top w:w="0" w:type="dxa"/>
            <w:left w:w="108" w:type="dxa"/>
            <w:bottom w:w="0" w:type="dxa"/>
            <w:right w:w="108" w:type="dxa"/>
          </w:tblCellMar>
        </w:tblPrEx>
        <w:trPr>
          <w:trHeight w:val="532"/>
          <w:jc w:val="center"/>
        </w:trPr>
        <w:tc>
          <w:tcPr>
            <w:tcW w:w="959" w:type="dxa"/>
            <w:vMerge/>
            <w:vAlign w:val="center"/>
          </w:tcPr>
          <w:p>
            <w:pPr>
              <w:widowControl/>
              <w:jc w:val="left"/>
              <w:rPr>
                <w:rFonts w:ascii="仿宋_GB2312" w:eastAsia="仿宋_GB2312" w:hAnsi="宋体" w:cs="宋体"/>
                <w:kern w:val="0"/>
                <w:sz w:val="24"/>
              </w:rPr>
            </w:pPr>
          </w:p>
        </w:tc>
        <w:tc>
          <w:tcPr>
            <w:tcW w:w="2505" w:type="dxa"/>
            <w:vMerge/>
            <w:vAlign w:val="center"/>
          </w:tcPr>
          <w:p>
            <w:pPr>
              <w:widowControl/>
              <w:jc w:val="left"/>
              <w:rPr>
                <w:rFonts w:ascii="仿宋_GB2312" w:eastAsia="仿宋_GB2312" w:hAnsi="宋体" w:cs="宋体"/>
                <w:kern w:val="0"/>
                <w:sz w:val="24"/>
              </w:rPr>
            </w:pPr>
          </w:p>
        </w:tc>
        <w:tc>
          <w:tcPr>
            <w:tcW w:w="0" w:type="auto"/>
            <w:shd w:val="clear" w:color="auto" w:fill="auto"/>
            <w:vAlign w:val="center"/>
          </w:tcPr>
          <w:p>
            <w:pPr>
              <w:widowControl/>
              <w:jc w:val="left"/>
              <w:rPr>
                <w:rFonts w:ascii="仿宋_GB2312" w:eastAsia="仿宋_GB2312" w:hAnsi="宋体" w:cs="宋体"/>
                <w:kern w:val="0"/>
                <w:sz w:val="24"/>
              </w:rPr>
            </w:pPr>
            <w:r>
              <w:rPr>
                <w:rFonts w:ascii="仿宋_GB2312" w:eastAsia="仿宋_GB2312" w:hAnsi="宋体" w:cs="宋体" w:hint="eastAsia"/>
                <w:kern w:val="0"/>
                <w:sz w:val="24"/>
              </w:rPr>
              <w:t>自评工作态度（5分）</w:t>
            </w:r>
          </w:p>
        </w:tc>
      </w:tr>
      <w:tr>
        <w:tblPrEx>
          <w:tblW w:w="8335" w:type="dxa"/>
          <w:jc w:val="center"/>
          <w:tblCellMar>
            <w:top w:w="0" w:type="dxa"/>
            <w:left w:w="108" w:type="dxa"/>
            <w:bottom w:w="0" w:type="dxa"/>
            <w:right w:w="108" w:type="dxa"/>
          </w:tblCellMar>
        </w:tblPrEx>
        <w:trPr>
          <w:trHeight w:val="532"/>
          <w:jc w:val="center"/>
        </w:trPr>
        <w:tc>
          <w:tcPr>
            <w:tcW w:w="959" w:type="dxa"/>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综合得分</w:t>
            </w:r>
          </w:p>
        </w:tc>
        <w:tc>
          <w:tcPr>
            <w:tcW w:w="7569" w:type="dxa"/>
            <w:gridSpan w:val="2"/>
            <w:vAlign w:val="center"/>
          </w:tcPr>
          <w:p>
            <w:pPr>
              <w:widowControl/>
              <w:jc w:val="center"/>
              <w:rPr>
                <w:rFonts w:ascii="仿宋_GB2312" w:eastAsia="仿宋_GB2312" w:hAnsi="宋体" w:cs="宋体"/>
                <w:kern w:val="0"/>
                <w:sz w:val="24"/>
              </w:rPr>
            </w:pPr>
            <w:r>
              <w:rPr>
                <w:rFonts w:ascii="仿宋_GB2312" w:eastAsia="仿宋_GB2312" w:hAnsi="宋体" w:cs="宋体" w:hint="eastAsia"/>
                <w:kern w:val="0"/>
                <w:sz w:val="24"/>
              </w:rPr>
              <w:t>100分</w:t>
            </w:r>
          </w:p>
        </w:tc>
      </w:tr>
    </w:tbl>
    <w:p>
      <w:pPr>
        <w:pStyle w:val="Heading2"/>
        <w:spacing w:before="120" w:after="0" w:line="360" w:lineRule="auto"/>
        <w:ind w:left="420" w:leftChars="200"/>
        <w:rPr>
          <w:rFonts w:ascii="楷体_GB2312" w:eastAsia="楷体_GB2312" w:hAnsi="仿宋" w:cs="Times New Roman"/>
          <w:lang w:val="zh-CN"/>
        </w:rPr>
      </w:pPr>
      <w:bookmarkStart w:id="89" w:name="_Toc113562283"/>
      <w:bookmarkStart w:id="90" w:name="_Toc75771524"/>
      <w:r>
        <w:rPr>
          <w:rFonts w:ascii="楷体_GB2312" w:eastAsia="楷体_GB2312" w:hAnsi="仿宋" w:cs="Times New Roman" w:hint="eastAsia"/>
          <w:lang w:val="zh-CN"/>
        </w:rPr>
        <w:t>（五）评价流程</w:t>
      </w:r>
      <w:bookmarkEnd w:id="89"/>
      <w:bookmarkEnd w:id="90"/>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本次宣传业务经费（含国防教育）绩效评价工作主要分为三个阶段：评价准备、评价实施、评价成果。</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theme="majorBidi" w:hint="eastAsia"/>
          <w:b/>
          <w:bCs/>
          <w:sz w:val="32"/>
          <w:szCs w:val="32"/>
        </w:rPr>
        <w:t>1. 评审准备</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（1）确定评价重点，拟定项目工作方案。</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（2）确定工作方案和评价指标体系。</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（3）组建评价专家组。根据本次专项特点，从公司专家库中遴选行业及绩效评价经验对口的专家，组成绩效评价专家组。本项目评价专家组组长为谭松发，组员4人：钟雪虹、胡嘉华、余恒、陈业培。</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（4）召开沟通会议。讲解本次评价项目的要点、重点、工作流程、时间计划及质量要求。</w:t>
      </w:r>
    </w:p>
    <w:p>
      <w:pPr>
        <w:widowControl/>
        <w:spacing w:line="360" w:lineRule="auto"/>
        <w:ind w:firstLine="420" w:firstLineChars="200"/>
        <w:jc w:val="left"/>
        <w:rPr>
          <w:rFonts w:ascii="仿宋_GB2312" w:eastAsia="仿宋_GB2312" w:hAnsi="仿宋" w:cstheme="majorBidi"/>
          <w:b/>
          <w:bCs/>
          <w:sz w:val="32"/>
          <w:szCs w:val="32"/>
        </w:rPr>
      </w:pPr>
      <w:r>
        <w:rPr>
          <w:rFonts w:ascii="仿宋_GB2312" w:eastAsia="仿宋_GB2312" w:hAnsi="仿宋" w:cstheme="majorBidi" w:hint="eastAsia"/>
          <w:b/>
          <w:bCs/>
          <w:sz w:val="32"/>
          <w:szCs w:val="32"/>
        </w:rPr>
        <w:t>2. 评价实施</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（1）评价专家组对专项提交的申报资料进行初步梳理，并对数据进行甄别、汇总和分析。</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（2）根据项目资料，评价专家组列示针对性问题及补充资料清单，由项目申报单位补充说明具体情况及相关必要材料。</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（3）评价专家组到项目申报单位实地调研，听取申报单位对项目实施及资金使用的介绍，就项目具体内容进行询问答辩。</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（4）根据书面资料及实地调研，完成绩效评价专家评分意见表及绩效评价报告初稿。</w:t>
      </w:r>
    </w:p>
    <w:p>
      <w:pPr>
        <w:widowControl/>
        <w:spacing w:line="360" w:lineRule="auto"/>
        <w:ind w:firstLine="420" w:firstLineChars="200"/>
        <w:jc w:val="left"/>
        <w:rPr>
          <w:rFonts w:ascii="仿宋_GB2312" w:eastAsia="仿宋_GB2312" w:hAnsi="仿宋" w:cs="Arial"/>
          <w:b/>
          <w:kern w:val="0"/>
          <w:sz w:val="32"/>
          <w:szCs w:val="32"/>
        </w:rPr>
      </w:pPr>
      <w:r>
        <w:rPr>
          <w:rFonts w:ascii="仿宋_GB2312" w:eastAsia="仿宋_GB2312" w:hAnsi="仿宋" w:cs="Arial" w:hint="eastAsia"/>
          <w:b/>
          <w:kern w:val="0"/>
          <w:sz w:val="32"/>
          <w:szCs w:val="32"/>
        </w:rPr>
        <w:t>3. 评价成果</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（1）评价专家组将评价成果初稿发送给江门市江海区财政局，听取其反馈意见。</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（2）根据反馈意见修改完善评分意见表及评价报告。</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（3）提交最终绩效评价成果。</w:t>
      </w:r>
    </w:p>
    <w:p>
      <w:pPr>
        <w:widowControl/>
        <w:spacing w:line="360" w:lineRule="auto"/>
        <w:ind w:firstLine="420" w:firstLineChars="200"/>
        <w:jc w:val="left"/>
        <w:rPr>
          <w:rFonts w:ascii="仿宋_GB2312" w:eastAsia="仿宋_GB2312" w:hAnsi="仿宋" w:cs="Arial"/>
          <w:kern w:val="0"/>
          <w:sz w:val="32"/>
          <w:szCs w:val="32"/>
        </w:rPr>
      </w:pPr>
    </w:p>
    <w:p>
      <w:pPr>
        <w:widowControl/>
        <w:spacing w:line="360" w:lineRule="auto"/>
        <w:ind w:firstLine="420" w:firstLineChars="200"/>
        <w:jc w:val="left"/>
        <w:rPr>
          <w:rFonts w:ascii="仿宋_GB2312" w:eastAsia="仿宋_GB2312" w:hAnsi="仿宋" w:cs="Arial"/>
          <w:kern w:val="0"/>
          <w:sz w:val="32"/>
          <w:szCs w:val="32"/>
        </w:rPr>
      </w:pP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26" o:spid="_x0000_s1025" type="#_x0000_t87" style="height:100.5pt;margin-left:116.4pt;margin-top:12pt;mso-height-relative:page;mso-width-relative:page;position:absolute;width:7.15pt;z-index:251659264" coordsize="21600,21600" adj="1800,10800" filled="f" stroked="t">
            <v:stroke joinstyle="round"/>
          </v:shape>
        </w:pict>
      </w:r>
      <w:r>
        <w:rPr>
          <w:rFonts w:ascii="仿宋_GB2312" w:eastAsia="仿宋_GB2312" w:hAnsi="Calibri"/>
          <w:b/>
          <w:sz w:val="28"/>
          <w:szCs w:val="28"/>
        </w:rPr>
        <w:pict>
          <v:roundrect id="_x0000_s1026" o:spid="_x0000_s1026" style="height:24.1pt;margin-left:147.2pt;margin-top:33.65pt;mso-height-relative:page;mso-width-relative:page;position:absolute;width:160.7pt;z-index:251661312"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确定工作方案和评价指标体系</w:t>
                  </w:r>
                </w:p>
              </w:txbxContent>
            </v:textbox>
          </v:roundrect>
        </w:pict>
      </w:r>
      <w:r>
        <w:rPr>
          <w:rFonts w:ascii="仿宋_GB2312" w:eastAsia="仿宋_GB2312" w:hAnsi="Calibri"/>
          <w:b/>
          <w:sz w:val="28"/>
          <w:szCs w:val="28"/>
        </w:rPr>
        <w:pict>
          <v:roundrect id="_x0000_s1026" o:spid="_x0000_s1027" style="height:24.1pt;margin-left:147.15pt;margin-top:6.75pt;mso-height-relative:page;mso-width-relative:page;position:absolute;width:160.7pt;z-index:251660288"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确定评价重点</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28" style="height:27pt;margin-left:23.55pt;margin-top:7.35pt;mso-height-relative:page;mso-width-relative:page;position:absolute;width:75.7pt;z-index:251658240" arcsize="10923f" coordsize="21600,21600" filled="t" fillcolor="#fac090" stroked="t">
            <v:fill color2="#f79646" focus="50%" type="gradient"/>
            <v:stroke joinstyle="round"/>
            <v:shadow on="t" color="#984807" origin="0,0" offset="1pt,2pt" matrix="1,0,0,1"/>
            <v:textbox>
              <w:txbxContent>
                <w:p>
                  <w:pPr>
                    <w:jc w:val="center"/>
                    <w:rPr>
                      <w:b/>
                      <w:sz w:val="18"/>
                      <w:szCs w:val="18"/>
                    </w:rPr>
                  </w:pPr>
                  <w:r>
                    <w:rPr>
                      <w:rFonts w:hint="eastAsia"/>
                      <w:b/>
                      <w:sz w:val="18"/>
                      <w:szCs w:val="18"/>
                    </w:rPr>
                    <w:t>评价准备</w:t>
                  </w:r>
                </w:p>
              </w:txbxContent>
            </v:textbox>
          </v:roundrect>
        </w:pict>
      </w:r>
      <w:r>
        <w:rPr>
          <w:rFonts w:ascii="仿宋_GB2312" w:eastAsia="仿宋_GB2312" w:hAnsi="Calibri"/>
          <w:b/>
          <w:sz w:val="28"/>
          <w:szCs w:val="28"/>
        </w:rPr>
        <w:pict>
          <v:roundrect id="_x0000_s1026" o:spid="_x0000_s1029" style="height:24.1pt;margin-left:147.15pt;margin-top:21.75pt;mso-height-relative:page;mso-width-relative:page;position:absolute;width:160.7pt;z-index:251662336"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组建评价专家组</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26" o:spid="_x0000_s1030" type="#_x0000_t67" style="height:45.75pt;margin-left:54.9pt;margin-top:15.75pt;mso-height-relative:page;mso-width-relative:page;position:absolute;width:14.25pt;z-index:251664384" coordsize="21600,21600" adj="16201,5400" filled="t" fillcolor="#93cddd" stroked="t">
            <v:fill color2="#dbeef4" angle="135" focus="50%" type="gradient"/>
            <v:stroke joinstyle="miter"/>
            <v:shadow on="t" color="#215968" opacity="0.5" origin="0,0" offset="1pt,2pt" matrix="1,0,0,1"/>
          </v:shape>
        </w:pict>
      </w:r>
      <w:r>
        <w:rPr>
          <w:rFonts w:ascii="仿宋_GB2312" w:eastAsia="仿宋_GB2312" w:hAnsi="Calibri"/>
          <w:b/>
          <w:sz w:val="28"/>
          <w:szCs w:val="28"/>
        </w:rPr>
        <w:pict>
          <v:roundrect id="_x0000_s1026" o:spid="_x0000_s1031" style="height:24.1pt;margin-left:147.1pt;margin-top:10.5pt;mso-height-relative:page;mso-width-relative:page;position:absolute;width:160.7pt;z-index:251663360"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召开沟通会议</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 id="_x0000_s1026" o:spid="_x0000_s1032" type="#_x0000_t87" style="height:102.75pt;margin-left:116.25pt;margin-top:16pt;mso-height-relative:page;mso-width-relative:page;position:absolute;width:3.55pt;z-index:251666432" coordsize="21600,21600" adj="652,10800" filled="f" stroked="t">
            <v:stroke joinstyle="round"/>
          </v:shape>
        </w:pict>
      </w:r>
      <w:r>
        <w:rPr>
          <w:rFonts w:ascii="仿宋_GB2312" w:eastAsia="仿宋_GB2312" w:hAnsi="Calibri"/>
          <w:b/>
          <w:sz w:val="28"/>
          <w:szCs w:val="28"/>
        </w:rPr>
        <w:pict>
          <v:roundrect id="_x0000_s1026" o:spid="_x0000_s1033" style="height:24.1pt;margin-left:147.1pt;margin-top:12pt;mso-height-relative:page;mso-width-relative:page;position:absolute;width:160.7pt;z-index:251667456"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对专项提交资料进行初步梳理</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34" style="height:25.5pt;margin-left:27pt;margin-top:12.05pt;mso-height-relative:page;mso-width-relative:page;position:absolute;width:75.75pt;z-index:251665408" arcsize="10923f" coordsize="21600,21600" filled="t" fillcolor="#fac090" stroked="t">
            <v:fill color2="#f79646" focus="50%" type="gradient"/>
            <v:stroke joinstyle="round"/>
            <v:shadow on="t" color="#984807" origin="0,0" offset="1pt,2pt" matrix="1,0,0,1"/>
            <v:textbox>
              <w:txbxContent>
                <w:p>
                  <w:pPr>
                    <w:jc w:val="center"/>
                    <w:rPr>
                      <w:b/>
                      <w:sz w:val="18"/>
                      <w:szCs w:val="18"/>
                    </w:rPr>
                  </w:pPr>
                  <w:r>
                    <w:rPr>
                      <w:rFonts w:hint="eastAsia"/>
                      <w:b/>
                      <w:sz w:val="18"/>
                      <w:szCs w:val="18"/>
                    </w:rPr>
                    <w:t>评价实施</w:t>
                  </w:r>
                </w:p>
              </w:txbxContent>
            </v:textbox>
          </v:roundrect>
        </w:pict>
      </w:r>
      <w:r>
        <w:rPr>
          <w:rFonts w:ascii="仿宋_GB2312" w:eastAsia="仿宋_GB2312" w:hAnsi="Calibri"/>
          <w:b/>
          <w:sz w:val="28"/>
          <w:szCs w:val="28"/>
        </w:rPr>
        <w:pict>
          <v:roundrect id="_x0000_s1026" o:spid="_x0000_s1035" style="height:24.1pt;margin-left:147.2pt;margin-top:32.25pt;mso-height-relative:page;mso-width-relative:page;position:absolute;width:160.7pt;z-index:251669504" arcsize="10923f" coordsize="21600,21600" filled="t" fillcolor="#93cddd" stroked="t">
            <v:fill color2="#dbeef4" angle="135" focus="50%" type="gradient"/>
            <v:stroke joinstyle="round"/>
            <v:shadow on="t" color="#215968" opacity="0.5" origin="0,0" offset="1pt,2pt" matrix="1,0,0,1"/>
            <v:textbox>
              <w:txbxContent>
                <w:p>
                  <w:pPr>
                    <w:rPr>
                      <w:i/>
                      <w:sz w:val="18"/>
                      <w:szCs w:val="18"/>
                    </w:rPr>
                  </w:pPr>
                  <w:r>
                    <w:rPr>
                      <w:rFonts w:hint="eastAsia"/>
                      <w:sz w:val="18"/>
                      <w:szCs w:val="18"/>
                    </w:rPr>
                    <w:t>实地调研和现场评价</w:t>
                  </w:r>
                </w:p>
              </w:txbxContent>
            </v:textbox>
          </v:roundrect>
        </w:pict>
      </w:r>
      <w:r>
        <w:rPr>
          <w:rFonts w:ascii="仿宋_GB2312" w:eastAsia="仿宋_GB2312" w:hAnsi="Calibri"/>
          <w:b/>
          <w:sz w:val="28"/>
          <w:szCs w:val="28"/>
        </w:rPr>
        <w:pict>
          <v:roundrect id="_x0000_s1026" o:spid="_x0000_s1036" style="height:24.1pt;margin-left:147.1pt;margin-top:2.15pt;mso-height-relative:page;mso-width-relative:page;position:absolute;width:160.7pt;z-index:251668480"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列示补充资料清单及针对性问题</w:t>
                  </w:r>
                </w:p>
              </w:txbxContent>
            </v:textbox>
          </v:roundrect>
        </w:pict>
      </w:r>
    </w:p>
    <w:p>
      <w:pPr>
        <w:tabs>
          <w:tab w:val="left" w:pos="3150"/>
        </w:tabs>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37" style="height:24.1pt;margin-left:147.1pt;margin-top:23.65pt;mso-height-relative:page;mso-width-relative:page;position:absolute;width:160.7pt;z-index:251676672"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完成评分意见表撰写初稿</w:t>
                  </w:r>
                </w:p>
                <w:p>
                  <w:pPr>
                    <w:rPr>
                      <w:i/>
                      <w:sz w:val="18"/>
                      <w:szCs w:val="18"/>
                    </w:rPr>
                  </w:pPr>
                </w:p>
              </w:txbxContent>
            </v:textbox>
          </v:roundrect>
        </w:pict>
      </w:r>
      <w:r>
        <w:rPr>
          <w:rFonts w:ascii="仿宋_GB2312" w:eastAsia="仿宋_GB2312" w:hAnsi="Calibri"/>
          <w:b/>
          <w:sz w:val="28"/>
          <w:szCs w:val="28"/>
        </w:rPr>
        <w:pict>
          <v:shape id="_x0000_s1026" o:spid="_x0000_s1038" type="#_x0000_t67" style="height:47.95pt;margin-left:55pt;margin-top:32.35pt;mso-height-relative:page;mso-width-relative:page;position:absolute;width:14.15pt;z-index:251670528" coordsize="21600,21600" adj="16201,5400" filled="t" fillcolor="#93cddd" stroked="t">
            <v:fill color2="#dbeef4" angle="135" focus="50%" type="gradient"/>
            <v:stroke joinstyle="miter"/>
            <v:shadow on="t" color="#215968" opacity="0.5" origin="0,0" offset="1pt,2pt" matrix="1,0,0,1"/>
          </v:shape>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39" style="height:24.1pt;margin-left:147.1pt;margin-top:33.6pt;mso-height-relative:page;mso-width-relative:page;position:absolute;width:160.7pt;z-index:251673600"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提交初稿听取反馈意见</w:t>
                  </w:r>
                </w:p>
              </w:txbxContent>
            </v:textbox>
          </v:roundrect>
        </w:pict>
      </w:r>
    </w:p>
    <w:p>
      <w:pPr>
        <w:tabs>
          <w:tab w:val="right" w:pos="8306"/>
        </w:tabs>
        <w:spacing w:before="156" w:beforeLines="50"/>
        <w:jc w:val="center"/>
        <w:rPr>
          <w:rFonts w:ascii="仿宋_GB2312" w:eastAsia="仿宋_GB2312" w:hAnsi="Calibri"/>
          <w:b/>
          <w:sz w:val="28"/>
          <w:szCs w:val="28"/>
        </w:rPr>
      </w:pPr>
      <w:r>
        <w:rPr>
          <w:rFonts w:ascii="仿宋_GB2312" w:eastAsia="仿宋_GB2312" w:hAnsi="Calibri"/>
          <w:b/>
          <w:sz w:val="28"/>
          <w:szCs w:val="28"/>
        </w:rPr>
        <w:pict>
          <v:shape id="_x0000_s1026" o:spid="_x0000_s1040" type="#_x0000_t87" style="height:70.5pt;margin-left:119.8pt;margin-top:2.3pt;mso-height-relative:page;mso-width-relative:page;position:absolute;width:3.6pt;z-index:251672576" coordsize="21600,21600" adj="1253,10800" filled="f" stroked="t">
            <v:stroke joinstyle="round"/>
          </v:shape>
        </w:pict>
      </w:r>
      <w:r>
        <w:rPr>
          <w:rFonts w:ascii="仿宋_GB2312" w:eastAsia="仿宋_GB2312" w:hAnsi="Calibri"/>
          <w:b/>
          <w:sz w:val="28"/>
          <w:szCs w:val="28"/>
        </w:rPr>
        <w:pict>
          <v:roundrect id="_x0000_s1026" o:spid="_x0000_s1041" style="height:27pt;margin-left:27pt;margin-top:24.05pt;mso-height-relative:page;mso-width-relative:page;position:absolute;width:75.75pt;z-index:251671552" arcsize="10923f" coordsize="21600,21600" filled="t" fillcolor="#fac090" stroked="t">
            <v:fill color2="#f79646" focus="50%" type="gradient"/>
            <v:stroke joinstyle="round"/>
            <v:shadow on="t" color="#984807" origin="0,0" offset="1pt,2pt" matrix="1,0,0,1"/>
            <v:textbox>
              <w:txbxContent>
                <w:p>
                  <w:pPr>
                    <w:jc w:val="center"/>
                    <w:rPr>
                      <w:b/>
                      <w:sz w:val="18"/>
                      <w:szCs w:val="18"/>
                    </w:rPr>
                  </w:pPr>
                  <w:r>
                    <w:rPr>
                      <w:rFonts w:hint="eastAsia"/>
                      <w:b/>
                      <w:sz w:val="18"/>
                      <w:szCs w:val="18"/>
                    </w:rPr>
                    <w:t>评价成果</w:t>
                  </w:r>
                </w:p>
              </w:txbxContent>
            </v:textbox>
          </v:roundrect>
        </w:pict>
      </w:r>
      <w:r>
        <w:rPr>
          <w:rFonts w:ascii="仿宋_GB2312" w:eastAsia="仿宋_GB2312" w:hAnsi="Calibri"/>
          <w:b/>
          <w:sz w:val="28"/>
          <w:szCs w:val="28"/>
        </w:rPr>
        <w:pict>
          <v:roundrect id="_x0000_s1026" o:spid="_x0000_s1042" style="height:24.1pt;margin-left:147.1pt;margin-top:23.9pt;mso-height-relative:page;mso-width-relative:page;position:absolute;width:160.7pt;z-index:251674624"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修改完善报告</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43" style="height:24.1pt;margin-left:147.1pt;margin-top:13.4pt;mso-height-relative:page;mso-width-relative:page;position:absolute;width:160.7pt;z-index:251675648" arcsize="10923f" coordsize="21600,21600" filled="t" fillcolor="#93cddd" stroked="t">
            <v:fill color2="#dbeef4" angle="135" focus="50%" type="gradient"/>
            <v:stroke joinstyle="round"/>
            <v:shadow on="t" color="#215968" opacity="0.5" origin="0,0" offset="1pt,2pt" matrix="1,0,0,1"/>
            <v:textbox>
              <w:txbxContent>
                <w:p>
                  <w:r>
                    <w:rPr>
                      <w:rFonts w:hint="eastAsia"/>
                      <w:sz w:val="18"/>
                      <w:szCs w:val="18"/>
                    </w:rPr>
                    <w:t>提交最终评价成果</w:t>
                  </w:r>
                </w:p>
              </w:txbxContent>
            </v:textbox>
          </v:roundrect>
        </w:pict>
      </w:r>
    </w:p>
    <w:p>
      <w:pPr>
        <w:jc w:val="center"/>
        <w:rPr>
          <w:rFonts w:ascii="黑体" w:eastAsia="黑体" w:hAnsi="黑体"/>
          <w:sz w:val="28"/>
          <w:szCs w:val="28"/>
        </w:rPr>
      </w:pPr>
    </w:p>
    <w:p>
      <w:pPr>
        <w:jc w:val="center"/>
        <w:rPr>
          <w:rFonts w:ascii="黑体" w:eastAsia="黑体" w:hAnsi="黑体"/>
          <w:sz w:val="28"/>
          <w:szCs w:val="28"/>
        </w:rPr>
      </w:pPr>
      <w:r>
        <w:rPr>
          <w:rFonts w:ascii="黑体" w:eastAsia="黑体" w:hAnsi="黑体" w:hint="eastAsia"/>
          <w:sz w:val="28"/>
          <w:szCs w:val="28"/>
        </w:rPr>
        <w:t>图</w:t>
      </w:r>
      <w:r>
        <w:rPr>
          <w:rFonts w:ascii="黑体" w:eastAsia="黑体" w:hAnsi="黑体"/>
          <w:sz w:val="28"/>
          <w:szCs w:val="28"/>
        </w:rPr>
        <w:t>3</w:t>
      </w:r>
      <w:r>
        <w:rPr>
          <w:rFonts w:ascii="黑体" w:eastAsia="黑体" w:hAnsi="黑体" w:hint="eastAsia"/>
          <w:sz w:val="28"/>
          <w:szCs w:val="28"/>
        </w:rPr>
        <w:t>-1 绩效评价工作流程图</w:t>
      </w:r>
    </w:p>
    <w:p>
      <w:pPr>
        <w:rPr>
          <w:rFonts w:ascii="仿宋_GB2312" w:eastAsia="仿宋_GB2312" w:hAnsi="仿宋"/>
          <w:sz w:val="32"/>
          <w:szCs w:val="32"/>
        </w:rPr>
      </w:pPr>
    </w:p>
    <w:p/>
    <w:p/>
    <w:p/>
    <w:p/>
    <w:p/>
    <w:p/>
    <w:p/>
    <w:p/>
    <w:p/>
    <w:p/>
    <w:p/>
    <w:p/>
    <w:p/>
    <w:p/>
    <w:p>
      <w:pPr>
        <w:pStyle w:val="Heading1"/>
      </w:pPr>
      <w:bookmarkStart w:id="91" w:name="_Toc113562284"/>
      <w:r>
        <w:rPr>
          <w:rFonts w:hint="eastAsia"/>
        </w:rPr>
        <w:t>附件：</w:t>
      </w:r>
      <w:r>
        <w:t>3</w:t>
      </w:r>
      <w:r>
        <w:rPr>
          <w:rFonts w:hint="eastAsia"/>
        </w:rPr>
        <w:t>. 专家组</w:t>
      </w:r>
      <w:bookmarkEnd w:id="77"/>
      <w:r>
        <w:rPr>
          <w:rFonts w:hint="eastAsia"/>
        </w:rPr>
        <w:t>实地调研照片</w:t>
      </w:r>
      <w:bookmarkEnd w:id="91"/>
    </w:p>
    <w:p>
      <w:pPr>
        <w:spacing w:line="240" w:lineRule="atLeast"/>
        <w:jc w:val="center"/>
        <w:rPr>
          <w:rFonts w:ascii="黑体" w:eastAsia="黑体" w:hAnsi="黑体"/>
          <w:sz w:val="28"/>
          <w:szCs w:val="28"/>
        </w:rPr>
      </w:pPr>
      <w:r>
        <w:rPr>
          <w:rFonts w:ascii="黑体" w:eastAsia="黑体" w:hAnsi="黑体" w:hint="eastAsia"/>
          <w:sz w:val="28"/>
          <w:szCs w:val="28"/>
        </w:rPr>
        <w:t>江海区委宣传部实地调研照片</w:t>
      </w:r>
      <w:r>
        <w:drawing>
          <wp:inline distT="0" distB="0" distL="0" distR="0">
            <wp:extent cx="5103495" cy="3829050"/>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xmlns:r="http://schemas.openxmlformats.org/officeDocument/2006/relationships" r:embed="rId9" cstate="print">
                      <a:extLst>
                        <a:ext uri="{28A0092B-C50C-407E-A947-70E740481C1C}">
                          <a14:useLocalDpi xmlns:a14="http://schemas.microsoft.com/office/drawing/2010/main" val="0"/>
                        </a:ext>
                      </a:extLst>
                    </a:blip>
                    <a:srcRect/>
                    <a:stretch>
                      <a:fillRect/>
                    </a:stretch>
                  </pic:blipFill>
                  <pic:spPr>
                    <a:xfrm>
                      <a:off x="0" y="0"/>
                      <a:ext cx="5105400" cy="3830278"/>
                    </a:xfrm>
                    <a:prstGeom prst="rect">
                      <a:avLst/>
                    </a:prstGeom>
                    <a:noFill/>
                    <a:ln>
                      <a:noFill/>
                    </a:ln>
                  </pic:spPr>
                </pic:pic>
              </a:graphicData>
            </a:graphic>
          </wp:inline>
        </w:drawing>
      </w:r>
      <w:r>
        <w:drawing>
          <wp:inline distT="0" distB="0" distL="0" distR="0">
            <wp:extent cx="5105400" cy="382968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xmlns:r="http://schemas.openxmlformats.org/officeDocument/2006/relationships" r:embed="rId10" cstate="print">
                      <a:extLst>
                        <a:ext uri="{28A0092B-C50C-407E-A947-70E740481C1C}">
                          <a14:useLocalDpi xmlns:a14="http://schemas.microsoft.com/office/drawing/2010/main" val="0"/>
                        </a:ext>
                      </a:extLst>
                    </a:blip>
                    <a:srcRect/>
                    <a:stretch>
                      <a:fillRect/>
                    </a:stretch>
                  </pic:blipFill>
                  <pic:spPr>
                    <a:xfrm>
                      <a:off x="0" y="0"/>
                      <a:ext cx="5107649" cy="3831965"/>
                    </a:xfrm>
                    <a:prstGeom prst="rect">
                      <a:avLst/>
                    </a:prstGeom>
                    <a:noFill/>
                    <a:ln>
                      <a:noFill/>
                    </a:ln>
                  </pic:spPr>
                </pic:pic>
              </a:graphicData>
            </a:graphic>
          </wp:inline>
        </w:drawing>
      </w:r>
    </w:p>
    <w:p>
      <w:pPr>
        <w:spacing w:line="240" w:lineRule="atLeast"/>
        <w:jc w:val="center"/>
        <w:rPr>
          <w:rFonts w:ascii="黑体" w:eastAsia="黑体" w:hAnsi="黑体"/>
          <w:sz w:val="28"/>
          <w:szCs w:val="28"/>
        </w:rPr>
      </w:pPr>
      <w:r>
        <w:rPr>
          <w:rFonts w:ascii="黑体" w:eastAsia="黑体" w:hAnsi="黑体" w:hint="eastAsia"/>
          <w:sz w:val="28"/>
          <w:szCs w:val="28"/>
        </w:rPr>
        <w:t>项目实施效果实地调研照片（国防教育长廊）</w:t>
      </w:r>
    </w:p>
    <w:p>
      <w:pPr>
        <w:spacing w:line="240" w:lineRule="atLeast"/>
        <w:jc w:val="center"/>
        <w:rPr>
          <w:rFonts w:ascii="黑体" w:eastAsia="黑体" w:hAnsi="黑体"/>
          <w:sz w:val="28"/>
          <w:szCs w:val="28"/>
        </w:rPr>
      </w:pPr>
      <w:r>
        <w:drawing>
          <wp:inline distT="0" distB="0" distL="0" distR="0">
            <wp:extent cx="2519680" cy="18891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xmlns:r="http://schemas.openxmlformats.org/officeDocument/2006/relationships" r:embed="rId11" cstate="print">
                      <a:extLst>
                        <a:ext uri="{28A0092B-C50C-407E-A947-70E740481C1C}">
                          <a14:useLocalDpi xmlns:a14="http://schemas.microsoft.com/office/drawing/2010/main" val="0"/>
                        </a:ext>
                      </a:extLst>
                    </a:blip>
                    <a:srcRect/>
                    <a:stretch>
                      <a:fillRect/>
                    </a:stretch>
                  </pic:blipFill>
                  <pic:spPr>
                    <a:xfrm>
                      <a:off x="0" y="0"/>
                      <a:ext cx="2520000" cy="1889394"/>
                    </a:xfrm>
                    <a:prstGeom prst="rect">
                      <a:avLst/>
                    </a:prstGeom>
                    <a:noFill/>
                    <a:ln>
                      <a:noFill/>
                    </a:ln>
                  </pic:spPr>
                </pic:pic>
              </a:graphicData>
            </a:graphic>
          </wp:inline>
        </w:drawing>
      </w:r>
      <w:r>
        <w:rPr>
          <w:rFonts w:ascii="黑体" w:eastAsia="黑体" w:hAnsi="黑体"/>
          <w:sz w:val="28"/>
          <w:szCs w:val="28"/>
        </w:rPr>
        <w:t xml:space="preserve"> </w:t>
      </w:r>
      <w:r>
        <w:drawing>
          <wp:inline distT="0" distB="0" distL="0" distR="0">
            <wp:extent cx="2519680" cy="188912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xmlns:r="http://schemas.openxmlformats.org/officeDocument/2006/relationships" r:embed="rId12" cstate="print">
                      <a:extLst>
                        <a:ext uri="{28A0092B-C50C-407E-A947-70E740481C1C}">
                          <a14:useLocalDpi xmlns:a14="http://schemas.microsoft.com/office/drawing/2010/main" val="0"/>
                        </a:ext>
                      </a:extLst>
                    </a:blip>
                    <a:srcRect/>
                    <a:stretch>
                      <a:fillRect/>
                    </a:stretch>
                  </pic:blipFill>
                  <pic:spPr>
                    <a:xfrm>
                      <a:off x="0" y="0"/>
                      <a:ext cx="2520000" cy="1889394"/>
                    </a:xfrm>
                    <a:prstGeom prst="rect">
                      <a:avLst/>
                    </a:prstGeom>
                    <a:noFill/>
                    <a:ln>
                      <a:noFill/>
                    </a:ln>
                  </pic:spPr>
                </pic:pic>
              </a:graphicData>
            </a:graphic>
          </wp:inline>
        </w:drawing>
      </w:r>
      <w:r>
        <w:drawing>
          <wp:inline distT="0" distB="0" distL="0" distR="0">
            <wp:extent cx="2519680" cy="188912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xmlns:r="http://schemas.openxmlformats.org/officeDocument/2006/relationships" r:embed="rId13" cstate="print">
                      <a:extLst>
                        <a:ext uri="{28A0092B-C50C-407E-A947-70E740481C1C}">
                          <a14:useLocalDpi xmlns:a14="http://schemas.microsoft.com/office/drawing/2010/main" val="0"/>
                        </a:ext>
                      </a:extLst>
                    </a:blip>
                    <a:srcRect/>
                    <a:stretch>
                      <a:fillRect/>
                    </a:stretch>
                  </pic:blipFill>
                  <pic:spPr>
                    <a:xfrm>
                      <a:off x="0" y="0"/>
                      <a:ext cx="2520000" cy="1889394"/>
                    </a:xfrm>
                    <a:prstGeom prst="rect">
                      <a:avLst/>
                    </a:prstGeom>
                    <a:noFill/>
                    <a:ln>
                      <a:noFill/>
                    </a:ln>
                  </pic:spPr>
                </pic:pic>
              </a:graphicData>
            </a:graphic>
          </wp:inline>
        </w:drawing>
      </w:r>
      <w:r>
        <w:rPr>
          <w:rFonts w:ascii="黑体" w:eastAsia="黑体" w:hAnsi="黑体"/>
          <w:sz w:val="28"/>
          <w:szCs w:val="28"/>
        </w:rPr>
        <w:t xml:space="preserve"> </w:t>
      </w:r>
      <w:r>
        <w:drawing>
          <wp:inline distT="0" distB="0" distL="0" distR="0">
            <wp:extent cx="2519680" cy="18891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xmlns:r="http://schemas.openxmlformats.org/officeDocument/2006/relationships" r:embed="rId14" cstate="print">
                      <a:extLst>
                        <a:ext uri="{28A0092B-C50C-407E-A947-70E740481C1C}">
                          <a14:useLocalDpi xmlns:a14="http://schemas.microsoft.com/office/drawing/2010/main" val="0"/>
                        </a:ext>
                      </a:extLst>
                    </a:blip>
                    <a:srcRect/>
                    <a:stretch>
                      <a:fillRect/>
                    </a:stretch>
                  </pic:blipFill>
                  <pic:spPr>
                    <a:xfrm>
                      <a:off x="0" y="0"/>
                      <a:ext cx="2520000" cy="1889394"/>
                    </a:xfrm>
                    <a:prstGeom prst="rect">
                      <a:avLst/>
                    </a:prstGeom>
                    <a:noFill/>
                    <a:ln>
                      <a:noFill/>
                    </a:ln>
                  </pic:spPr>
                </pic:pic>
              </a:graphicData>
            </a:graphic>
          </wp:inline>
        </w:drawing>
      </w:r>
    </w:p>
    <w:p>
      <w:pPr>
        <w:spacing w:line="240" w:lineRule="atLeast"/>
        <w:jc w:val="center"/>
        <w:rPr>
          <w:rFonts w:ascii="黑体" w:eastAsia="黑体" w:hAnsi="黑体"/>
          <w:b/>
          <w:sz w:val="32"/>
          <w:szCs w:val="32"/>
        </w:rPr>
      </w:pPr>
      <w:r>
        <w:drawing>
          <wp:inline distT="0" distB="0" distL="0" distR="0">
            <wp:extent cx="2519680" cy="188912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xmlns:r="http://schemas.openxmlformats.org/officeDocument/2006/relationships" r:embed="rId15" cstate="print">
                      <a:extLst>
                        <a:ext uri="{28A0092B-C50C-407E-A947-70E740481C1C}">
                          <a14:useLocalDpi xmlns:a14="http://schemas.microsoft.com/office/drawing/2010/main" val="0"/>
                        </a:ext>
                      </a:extLst>
                    </a:blip>
                    <a:srcRect/>
                    <a:stretch>
                      <a:fillRect/>
                    </a:stretch>
                  </pic:blipFill>
                  <pic:spPr>
                    <a:xfrm>
                      <a:off x="0" y="0"/>
                      <a:ext cx="2520000" cy="1889394"/>
                    </a:xfrm>
                    <a:prstGeom prst="rect">
                      <a:avLst/>
                    </a:prstGeom>
                    <a:noFill/>
                    <a:ln>
                      <a:noFill/>
                    </a:ln>
                  </pic:spPr>
                </pic:pic>
              </a:graphicData>
            </a:graphic>
          </wp:inline>
        </w:drawing>
      </w:r>
      <w:r>
        <w:rPr>
          <w:rFonts w:ascii="黑体" w:eastAsia="黑体" w:hAnsi="黑体" w:hint="eastAsia"/>
          <w:b/>
          <w:sz w:val="32"/>
          <w:szCs w:val="32"/>
        </w:rPr>
        <w:t xml:space="preserve"> </w:t>
      </w:r>
      <w:r>
        <w:drawing>
          <wp:inline distT="0" distB="0" distL="0" distR="0">
            <wp:extent cx="2519680" cy="188912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xmlns:r="http://schemas.openxmlformats.org/officeDocument/2006/relationships" r:embed="rId16" cstate="print">
                      <a:extLst>
                        <a:ext uri="{28A0092B-C50C-407E-A947-70E740481C1C}">
                          <a14:useLocalDpi xmlns:a14="http://schemas.microsoft.com/office/drawing/2010/main" val="0"/>
                        </a:ext>
                      </a:extLst>
                    </a:blip>
                    <a:srcRect/>
                    <a:stretch>
                      <a:fillRect/>
                    </a:stretch>
                  </pic:blipFill>
                  <pic:spPr>
                    <a:xfrm>
                      <a:off x="0" y="0"/>
                      <a:ext cx="2520000" cy="1889394"/>
                    </a:xfrm>
                    <a:prstGeom prst="rect">
                      <a:avLst/>
                    </a:prstGeom>
                    <a:noFill/>
                    <a:ln>
                      <a:noFill/>
                    </a:ln>
                  </pic:spPr>
                </pic:pic>
              </a:graphicData>
            </a:graphic>
          </wp:inline>
        </w:drawing>
      </w:r>
    </w:p>
    <w:sectPr>
      <w:pgSz w:w="11906" w:h="16838"/>
      <w:pgMar w:top="1440" w:right="1797" w:bottom="1304" w:left="1797" w:header="851" w:footer="794" w:gutter="0"/>
      <w:cols w:num="1" w:space="425"/>
      <w:docGrid w:type="lines" w:linePitch="312"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方正小标宋简体">
    <w:altName w:val="微软雅黑"/>
    <w:panose1 w:val="00000000000000000000"/>
    <w:charset w:val="86"/>
    <w:family w:val="script"/>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77620299"/>
      <w:richText/>
    </w:sdtPr>
    <w:sdtContent>
      <w:p>
        <w:pPr>
          <w:pStyle w:val="Footer"/>
          <w:jc w:val="center"/>
        </w:pPr>
        <w:r>
          <w:fldChar w:fldCharType="begin"/>
        </w:r>
        <w:r>
          <w:instrText>PAGE   \* MERGEFORMAT</w:instrText>
        </w:r>
        <w:r>
          <w:fldChar w:fldCharType="separate"/>
        </w:r>
        <w:r>
          <w:rPr>
            <w:lang w:val="zh-CN"/>
          </w:rPr>
          <w:t>2</w:t>
        </w:r>
        <w:r>
          <w:fldChar w:fldCharType="end"/>
        </w:r>
      </w:p>
    </w:sdtContent>
  </w:sdt>
  <w:p>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Bdr>
        <w:bottom w:val="single" w:sz="6" w:space="1" w:color="auto"/>
      </w:pBdr>
      <w:tabs>
        <w:tab w:val="center" w:pos="4153"/>
        <w:tab w:val="right" w:pos="8306"/>
      </w:tabs>
      <w:snapToGrid w:val="0"/>
      <w:jc w:val="center"/>
      <w:rPr>
        <w:rFonts w:ascii="楷体" w:eastAsia="楷体" w:hAnsi="楷体" w:cs="Arial"/>
        <w:kern w:val="0"/>
        <w:sz w:val="24"/>
      </w:rPr>
    </w:pPr>
    <w:r>
      <w:rPr>
        <w:rFonts w:ascii="楷体" w:eastAsia="楷体" w:hAnsi="楷体" w:cs="Arial" w:hint="eastAsia"/>
        <w:kern w:val="0"/>
        <w:sz w:val="24"/>
      </w:rPr>
      <w:t>202</w:t>
    </w:r>
    <w:r>
      <w:rPr>
        <w:rFonts w:ascii="楷体" w:eastAsia="楷体" w:hAnsi="楷体" w:cs="Arial"/>
        <w:kern w:val="0"/>
        <w:sz w:val="24"/>
      </w:rPr>
      <w:t>1</w:t>
    </w:r>
    <w:r>
      <w:rPr>
        <w:rFonts w:ascii="楷体" w:eastAsia="楷体" w:hAnsi="楷体" w:cs="Arial" w:hint="eastAsia"/>
        <w:kern w:val="0"/>
        <w:sz w:val="24"/>
      </w:rPr>
      <w:t>年度宣传业务经费（含国防教育）重点绩效评价报告</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stylePaneFormatFilter w:val="3F01"/>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docVars>
    <w:docVar w:name="commondata" w:val="eyJoZGlkIjoiMWY5Nzc2ZGNjN2MwOWFhN2ExYmZmNTQ4MzAyNjFmZDUifQ=="/>
  </w:docVar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semiHidden="0" w:uiPriority="39" w:qFormat="1"/>
    <w:lsdException w:name="toc 2" w:semiHidden="0" w:uiPriority="39" w:qFormat="1"/>
    <w:lsdException w:name="toc 3" w:semiHidden="0"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semiHidden="0" w:uiPriority="0" w:unhideWhenUsed="0" w:qFormat="1"/>
    <w:lsdException w:name="header" w:semiHidden="0" w:uiPriority="0" w:unhideWhenUsed="0" w:qFormat="1"/>
    <w:lsdException w:name="footer" w:semiHidden="0" w:unhideWhenUsed="0" w:qFormat="1"/>
    <w:lsdException w:name="index heading" w:uiPriority="0"/>
    <w:lsdException w:name="caption" w:uiPriority="0" w:qFormat="1"/>
    <w:lsdException w:name="table of figures" w:uiPriority="0"/>
    <w:lsdException w:name="envelope address" w:uiPriority="0"/>
    <w:lsdException w:name="envelope return" w:uiPriority="0"/>
    <w:lsdException w:name="footnote reference" w:uiPriority="0"/>
    <w:lsdException w:name="annotation reference" w:semiHidden="0" w:uiPriority="0" w:unhideWhenUsed="0" w:qFormat="1"/>
    <w:lsdException w:name="line number" w:uiPriority="0"/>
    <w:lsdException w:name="page number" w:uiPriority="0"/>
    <w:lsdException w:name="endnote reference" w:uiPriority="0"/>
    <w:lsdException w:name="endnote text" w:uiPriority="0"/>
    <w:lsdException w:name="table of authorities" w:semiHidden="0" w:uiPriority="0" w:unhideWhenUsed="0"/>
    <w:lsdException w:name="macro" w:uiPriority="0"/>
    <w:lsdException w:name="toa heading" w:uiPriority="0"/>
    <w:lsdException w:name="List" w:semiHidden="0" w:uiPriority="0" w:unhideWhenUsed="0"/>
    <w:lsdException w:name="List Bullet" w:semiHidden="0" w:uiPriority="0" w:unhideWhenUsed="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uiPriority="0"/>
    <w:lsdException w:name="Subtitle" w:semiHidden="0" w:uiPriority="0" w:unhideWhenUsed="0" w:qFormat="1"/>
    <w:lsdException w:name="Salutation" w:uiPriority="0"/>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Hyperlink" w:semiHidden="0" w:qFormat="1"/>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E-mail Signature" w:uiPriority="0"/>
    <w:lsdException w:name="Normal (Web)" w:semiHidden="0"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qFormat="1"/>
    <w:lsdException w:name="annotation subject" w:semiHidden="0" w:uiPriority="0" w:unhideWhenUsed="0" w:qFormat="1"/>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semiHidden="0" w:uiPriority="0" w:unhideWhenUsed="0" w:qFormat="1"/>
    <w:lsdException w:name="Table Grid" w:semiHidden="0" w:uiPriority="59" w:unhideWhenUsed="0" w:qFormat="1"/>
    <w:lsdException w:name="Table Theme" w:uiPriority="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4"/>
      <w:lang w:val="en-US" w:eastAsia="zh-CN" w:bidi="ar-SA"/>
    </w:rPr>
  </w:style>
  <w:style w:type="paragraph" w:styleId="Heading1">
    <w:name w:val="heading 1"/>
    <w:basedOn w:val="Normal"/>
    <w:next w:val="Normal"/>
    <w:link w:val="10"/>
    <w:qFormat/>
    <w:pPr>
      <w:keepNext/>
      <w:keepLines/>
      <w:ind w:left="420" w:firstLine="321" w:firstLineChars="100"/>
      <w:jc w:val="left"/>
      <w:outlineLvl w:val="0"/>
    </w:pPr>
    <w:rPr>
      <w:rFonts w:ascii="黑体" w:eastAsia="黑体" w:hAnsi="黑体"/>
      <w:b/>
      <w:bCs/>
      <w:kern w:val="44"/>
      <w:sz w:val="32"/>
      <w:szCs w:val="32"/>
    </w:rPr>
  </w:style>
  <w:style w:type="paragraph" w:styleId="Heading2">
    <w:name w:val="heading 2"/>
    <w:basedOn w:val="Normal"/>
    <w:next w:val="Normal"/>
    <w:link w:val="20"/>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0"/>
    <w:unhideWhenUsed/>
    <w:qFormat/>
    <w:pPr>
      <w:keepNext/>
      <w:keepLines/>
      <w:spacing w:before="260" w:after="260" w:line="416" w:lineRule="auto"/>
      <w:outlineLvl w:val="2"/>
    </w:pPr>
    <w:rPr>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CommentText">
    <w:name w:val="annotation text"/>
    <w:basedOn w:val="Normal"/>
    <w:link w:val="a3"/>
    <w:qFormat/>
    <w:pPr>
      <w:jc w:val="left"/>
    </w:pPr>
  </w:style>
  <w:style w:type="paragraph" w:styleId="TOC3">
    <w:name w:val="toc 3"/>
    <w:basedOn w:val="Normal"/>
    <w:next w:val="Normal"/>
    <w:uiPriority w:val="39"/>
    <w:unhideWhenUsed/>
    <w:qFormat/>
    <w:pPr>
      <w:widowControl/>
      <w:spacing w:after="100" w:line="276" w:lineRule="auto"/>
      <w:ind w:left="440"/>
      <w:jc w:val="left"/>
    </w:pPr>
    <w:rPr>
      <w:rFonts w:asciiTheme="minorHAnsi" w:eastAsiaTheme="minorEastAsia" w:hAnsiTheme="minorHAnsi" w:cstheme="minorBidi"/>
      <w:kern w:val="0"/>
      <w:sz w:val="22"/>
      <w:szCs w:val="22"/>
    </w:rPr>
  </w:style>
  <w:style w:type="paragraph" w:styleId="BalloonText">
    <w:name w:val="Balloon Text"/>
    <w:basedOn w:val="Normal"/>
    <w:link w:val="a"/>
    <w:qFormat/>
    <w:rPr>
      <w:sz w:val="18"/>
      <w:szCs w:val="18"/>
    </w:rPr>
  </w:style>
  <w:style w:type="paragraph" w:styleId="Footer">
    <w:name w:val="footer"/>
    <w:basedOn w:val="Normal"/>
    <w:link w:val="a1"/>
    <w:uiPriority w:val="99"/>
    <w:qFormat/>
    <w:pPr>
      <w:tabs>
        <w:tab w:val="center" w:pos="4153"/>
        <w:tab w:val="right" w:pos="8306"/>
      </w:tabs>
      <w:snapToGrid w:val="0"/>
      <w:jc w:val="left"/>
    </w:pPr>
    <w:rPr>
      <w:sz w:val="18"/>
      <w:szCs w:val="18"/>
    </w:rPr>
  </w:style>
  <w:style w:type="paragraph" w:styleId="Header">
    <w:name w:val="header"/>
    <w:basedOn w:val="Normal"/>
    <w:link w:val="a0"/>
    <w:qFormat/>
    <w:pPr>
      <w:pBdr>
        <w:bottom w:val="single" w:sz="6" w:space="1" w:color="auto"/>
      </w:pBdr>
      <w:tabs>
        <w:tab w:val="center" w:pos="4153"/>
        <w:tab w:val="right" w:pos="8306"/>
      </w:tabs>
      <w:snapToGrid w:val="0"/>
      <w:jc w:val="center"/>
    </w:pPr>
    <w:rPr>
      <w:sz w:val="18"/>
      <w:szCs w:val="18"/>
    </w:rPr>
  </w:style>
  <w:style w:type="paragraph" w:styleId="TOC1">
    <w:name w:val="toc 1"/>
    <w:basedOn w:val="Normal"/>
    <w:next w:val="Normal"/>
    <w:uiPriority w:val="39"/>
    <w:unhideWhenUsed/>
    <w:qFormat/>
    <w:pPr>
      <w:widowControl/>
      <w:tabs>
        <w:tab w:val="right" w:leader="dot" w:pos="8296"/>
      </w:tabs>
      <w:spacing w:after="100" w:line="276" w:lineRule="auto"/>
      <w:jc w:val="left"/>
    </w:pPr>
    <w:rPr>
      <w:rFonts w:asciiTheme="minorHAnsi" w:eastAsiaTheme="minorEastAsia" w:hAnsiTheme="minorHAnsi" w:cstheme="minorBidi"/>
      <w:kern w:val="0"/>
      <w:sz w:val="22"/>
      <w:szCs w:val="22"/>
    </w:rPr>
  </w:style>
  <w:style w:type="paragraph" w:styleId="Subtitle">
    <w:name w:val="Subtitle"/>
    <w:basedOn w:val="Normal"/>
    <w:next w:val="Normal"/>
    <w:link w:val="a2"/>
    <w:qFormat/>
    <w:pPr>
      <w:spacing w:before="240" w:after="60" w:line="312" w:lineRule="auto"/>
      <w:jc w:val="center"/>
      <w:outlineLvl w:val="1"/>
    </w:pPr>
    <w:rPr>
      <w:rFonts w:asciiTheme="majorHAnsi" w:hAnsiTheme="majorHAnsi" w:cstheme="majorBidi"/>
      <w:b/>
      <w:bCs/>
      <w:kern w:val="28"/>
      <w:sz w:val="32"/>
      <w:szCs w:val="32"/>
    </w:rPr>
  </w:style>
  <w:style w:type="paragraph" w:styleId="TOC2">
    <w:name w:val="toc 2"/>
    <w:basedOn w:val="Normal"/>
    <w:next w:val="Normal"/>
    <w:uiPriority w:val="39"/>
    <w:unhideWhenUsed/>
    <w:qFormat/>
    <w:pPr>
      <w:widowControl/>
      <w:tabs>
        <w:tab w:val="left" w:pos="1260"/>
        <w:tab w:val="right" w:leader="dot" w:pos="8296"/>
      </w:tabs>
      <w:spacing w:after="100" w:line="360" w:lineRule="exact"/>
      <w:ind w:left="221"/>
      <w:jc w:val="left"/>
    </w:pPr>
    <w:rPr>
      <w:rFonts w:asciiTheme="minorHAnsi" w:eastAsiaTheme="minorEastAsia" w:hAnsiTheme="minorHAnsi" w:cstheme="minorBidi"/>
      <w:kern w:val="0"/>
      <w:sz w:val="22"/>
      <w:szCs w:val="22"/>
    </w:rPr>
  </w:style>
  <w:style w:type="paragraph" w:styleId="NormalWeb">
    <w:name w:val="Normal (Web)"/>
    <w:basedOn w:val="Normal"/>
    <w:uiPriority w:val="99"/>
    <w:unhideWhenUsed/>
    <w:qFormat/>
    <w:pPr>
      <w:widowControl/>
      <w:spacing w:before="100" w:beforeAutospacing="1" w:after="100" w:afterAutospacing="1"/>
      <w:jc w:val="left"/>
    </w:pPr>
    <w:rPr>
      <w:rFonts w:ascii="宋体" w:hAnsi="宋体" w:cs="宋体"/>
      <w:kern w:val="0"/>
      <w:sz w:val="24"/>
    </w:rPr>
  </w:style>
  <w:style w:type="paragraph" w:styleId="CommentSubject">
    <w:name w:val="annotation subject"/>
    <w:basedOn w:val="CommentText"/>
    <w:next w:val="CommentText"/>
    <w:link w:val="a4"/>
    <w:qFormat/>
    <w:rPr>
      <w:b/>
      <w:bCs/>
    </w:rPr>
  </w:style>
  <w:style w:type="table" w:styleId="TableGrid">
    <w:name w:val="Table Grid"/>
    <w:basedOn w:val="TableNormal"/>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qFormat/>
    <w:rPr>
      <w:color w:val="0000FF" w:themeColor="hyperlink"/>
      <w:u w:val="single"/>
    </w:rPr>
  </w:style>
  <w:style w:type="character" w:styleId="CommentReference">
    <w:name w:val="annotation reference"/>
    <w:basedOn w:val="DefaultParagraphFont"/>
    <w:qFormat/>
    <w:rPr>
      <w:sz w:val="21"/>
      <w:szCs w:val="21"/>
    </w:rPr>
  </w:style>
  <w:style w:type="character" w:customStyle="1" w:styleId="a">
    <w:name w:val="批注框文本 字符"/>
    <w:basedOn w:val="DefaultParagraphFont"/>
    <w:link w:val="BalloonText"/>
    <w:qFormat/>
    <w:rPr>
      <w:kern w:val="2"/>
      <w:sz w:val="18"/>
      <w:szCs w:val="18"/>
    </w:rPr>
  </w:style>
  <w:style w:type="character" w:customStyle="1" w:styleId="a0">
    <w:name w:val="页眉 字符"/>
    <w:basedOn w:val="DefaultParagraphFont"/>
    <w:link w:val="Header"/>
    <w:qFormat/>
    <w:rPr>
      <w:kern w:val="2"/>
      <w:sz w:val="18"/>
      <w:szCs w:val="18"/>
    </w:rPr>
  </w:style>
  <w:style w:type="character" w:customStyle="1" w:styleId="a1">
    <w:name w:val="页脚 字符"/>
    <w:basedOn w:val="DefaultParagraphFont"/>
    <w:link w:val="Footer"/>
    <w:uiPriority w:val="99"/>
    <w:qFormat/>
    <w:rPr>
      <w:kern w:val="2"/>
      <w:sz w:val="18"/>
      <w:szCs w:val="18"/>
    </w:rPr>
  </w:style>
  <w:style w:type="table" w:customStyle="1" w:styleId="1">
    <w:name w:val="网格型1"/>
    <w:basedOn w:val="TableNormal"/>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DefaultParagraphFont"/>
    <w:link w:val="Heading1"/>
    <w:qFormat/>
    <w:rPr>
      <w:rFonts w:ascii="黑体" w:eastAsia="黑体" w:hAnsi="黑体"/>
      <w:b/>
      <w:bCs/>
      <w:kern w:val="44"/>
      <w:sz w:val="32"/>
      <w:szCs w:val="32"/>
    </w:rPr>
  </w:style>
  <w:style w:type="paragraph" w:customStyle="1" w:styleId="TOC10">
    <w:name w:val="TOC 标题1"/>
    <w:basedOn w:val="Heading1"/>
    <w:next w:val="Normal"/>
    <w:uiPriority w:val="39"/>
    <w:unhideWhenUsed/>
    <w:qFormat/>
    <w:pPr>
      <w:widowControl/>
      <w:spacing w:before="480" w:line="276" w:lineRule="auto"/>
      <w:outlineLvl w:val="9"/>
    </w:pPr>
    <w:rPr>
      <w:rFonts w:asciiTheme="majorHAnsi" w:eastAsiaTheme="majorEastAsia" w:hAnsiTheme="majorHAnsi" w:cstheme="majorBidi"/>
      <w:color w:val="376092" w:themeColor="accent1" w:themeShade="BF"/>
      <w:kern w:val="0"/>
      <w:sz w:val="28"/>
      <w:szCs w:val="28"/>
    </w:rPr>
  </w:style>
  <w:style w:type="paragraph" w:customStyle="1" w:styleId="11">
    <w:name w:val="样式1"/>
    <w:basedOn w:val="Normal"/>
    <w:link w:val="1Char"/>
    <w:qFormat/>
    <w:pPr>
      <w:pBdr>
        <w:bottom w:val="double" w:sz="4" w:space="1" w:color="auto"/>
      </w:pBdr>
      <w:adjustRightInd w:val="0"/>
      <w:snapToGrid w:val="0"/>
      <w:spacing w:line="360" w:lineRule="auto"/>
      <w:jc w:val="center"/>
    </w:pPr>
    <w:rPr>
      <w:rFonts w:eastAsia="仿宋_GB2312"/>
      <w:szCs w:val="21"/>
    </w:rPr>
  </w:style>
  <w:style w:type="character" w:customStyle="1" w:styleId="1Char">
    <w:name w:val="样式1 Char"/>
    <w:link w:val="11"/>
    <w:qFormat/>
    <w:rPr>
      <w:rFonts w:eastAsia="仿宋_GB2312"/>
      <w:kern w:val="2"/>
      <w:sz w:val="21"/>
      <w:szCs w:val="21"/>
    </w:rPr>
  </w:style>
  <w:style w:type="character" w:customStyle="1" w:styleId="a2">
    <w:name w:val="副标题 字符"/>
    <w:basedOn w:val="DefaultParagraphFont"/>
    <w:link w:val="Subtitle"/>
    <w:qFormat/>
    <w:rPr>
      <w:rFonts w:asciiTheme="majorHAnsi" w:hAnsiTheme="majorHAnsi" w:cstheme="majorBidi"/>
      <w:b/>
      <w:bCs/>
      <w:kern w:val="28"/>
      <w:sz w:val="32"/>
      <w:szCs w:val="32"/>
    </w:rPr>
  </w:style>
  <w:style w:type="table" w:customStyle="1" w:styleId="2">
    <w:name w:val="网格型2"/>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10">
    <w:name w:val="网格型11"/>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11">
    <w:name w:val="网格型111"/>
    <w:basedOn w:val="TableNormal"/>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TableNormal"/>
    <w:uiPriority w:val="59"/>
    <w:qFormat/>
    <w:rPr>
      <w:rFonts w:asciiTheme="minorHAnsi" w:eastAsiaTheme="minorEastAsia" w:hAnsiTheme="minorHAnsi" w:cstheme="minorBidi"/>
      <w:kern w:val="2"/>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DefaultParagraphFont"/>
    <w:link w:val="Heading2"/>
    <w:qFormat/>
    <w:rPr>
      <w:rFonts w:asciiTheme="majorHAnsi" w:eastAsiaTheme="majorEastAsia" w:hAnsiTheme="majorHAnsi" w:cstheme="majorBidi"/>
      <w:b/>
      <w:bCs/>
      <w:kern w:val="2"/>
      <w:sz w:val="32"/>
      <w:szCs w:val="32"/>
    </w:rPr>
  </w:style>
  <w:style w:type="table" w:customStyle="1" w:styleId="12">
    <w:name w:val="网格型12"/>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12">
    <w:name w:val="网格型112"/>
    <w:basedOn w:val="TableNormal"/>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网格型4"/>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5">
    <w:name w:val="网格型5"/>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ListParagraph">
    <w:name w:val="List Paragraph"/>
    <w:basedOn w:val="Normal"/>
    <w:uiPriority w:val="34"/>
    <w:qFormat/>
    <w:pPr>
      <w:ind w:firstLine="420" w:firstLineChars="200"/>
    </w:pPr>
  </w:style>
  <w:style w:type="character" w:customStyle="1" w:styleId="a3">
    <w:name w:val="批注文字 字符"/>
    <w:basedOn w:val="DefaultParagraphFont"/>
    <w:link w:val="CommentText"/>
    <w:qFormat/>
    <w:rPr>
      <w:kern w:val="2"/>
      <w:sz w:val="21"/>
      <w:szCs w:val="24"/>
    </w:rPr>
  </w:style>
  <w:style w:type="character" w:customStyle="1" w:styleId="a4">
    <w:name w:val="批注主题 字符"/>
    <w:basedOn w:val="a3"/>
    <w:link w:val="CommentSubject"/>
    <w:qFormat/>
    <w:rPr>
      <w:b/>
      <w:bCs/>
      <w:kern w:val="2"/>
      <w:sz w:val="21"/>
      <w:szCs w:val="24"/>
    </w:rPr>
  </w:style>
  <w:style w:type="paragraph" w:customStyle="1" w:styleId="reader-word-layer">
    <w:name w:val="reader-word-layer"/>
    <w:basedOn w:val="Normal"/>
    <w:qFormat/>
    <w:pPr>
      <w:widowControl/>
      <w:spacing w:before="100" w:beforeAutospacing="1" w:after="100" w:afterAutospacing="1"/>
      <w:jc w:val="left"/>
    </w:pPr>
    <w:rPr>
      <w:rFonts w:ascii="宋体" w:hAnsi="宋体" w:cs="宋体"/>
      <w:kern w:val="0"/>
      <w:sz w:val="24"/>
    </w:rPr>
  </w:style>
  <w:style w:type="character" w:customStyle="1" w:styleId="30">
    <w:name w:val="标题 3 字符"/>
    <w:basedOn w:val="DefaultParagraphFont"/>
    <w:link w:val="Heading3"/>
    <w:qFormat/>
    <w:rPr>
      <w:b/>
      <w:bCs/>
      <w:kern w:val="2"/>
      <w:sz w:val="32"/>
      <w:szCs w:val="32"/>
    </w:rPr>
  </w:style>
  <w:style w:type="character" w:customStyle="1" w:styleId="bjh-p">
    <w:name w:val="bjh-p"/>
    <w:basedOn w:val="DefaultParagraphFont"/>
    <w:qFormat/>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2.jpeg" /><Relationship Id="rId11" Type="http://schemas.openxmlformats.org/officeDocument/2006/relationships/image" Target="media/image3.jpeg" /><Relationship Id="rId12" Type="http://schemas.openxmlformats.org/officeDocument/2006/relationships/image" Target="media/image4.jpeg" /><Relationship Id="rId13" Type="http://schemas.openxmlformats.org/officeDocument/2006/relationships/image" Target="media/image5.jpeg" /><Relationship Id="rId14" Type="http://schemas.openxmlformats.org/officeDocument/2006/relationships/image" Target="media/image6.jpeg" /><Relationship Id="rId15" Type="http://schemas.openxmlformats.org/officeDocument/2006/relationships/image" Target="media/image7.jpeg" /><Relationship Id="rId16" Type="http://schemas.openxmlformats.org/officeDocument/2006/relationships/image" Target="media/image8.jpeg" /><Relationship Id="rId17" Type="http://schemas.openxmlformats.org/officeDocument/2006/relationships/theme" Target="theme/theme1.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header" Target="header1.xml" /><Relationship Id="rId7" Type="http://schemas.openxmlformats.org/officeDocument/2006/relationships/chart" Target="charts/chart1.xml" /><Relationship Id="rId8" Type="http://schemas.openxmlformats.org/officeDocument/2006/relationships/footer" Target="footer1.xml" /><Relationship Id="rId9" Type="http://schemas.openxmlformats.org/officeDocument/2006/relationships/image" Target="media/image1.jpeg" /></Relationships>
</file>

<file path=word/charts/_rels/chart1.xml.rels>&#65279;<?xml version="1.0" encoding="utf-8" standalone="yes"?><Relationships xmlns="http://schemas.openxmlformats.org/package/2006/relationships"><Relationship Id="rId1" Type="http://schemas.openxmlformats.org/officeDocument/2006/relationships/package" Target="../embeddings/Microsoft_Office_Excel_Worksheet1.xlsx" /></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400" b="0" i="0" u="none" strike="noStrike" kern="1200" spc="0" baseline="0">
                <a:solidFill>
                  <a:sysClr val="windowText" lastClr="000000"/>
                </a:solidFill>
                <a:latin typeface="+mn-lt"/>
                <a:ea typeface="+mn-ea"/>
                <a:cs typeface="+mn-cs"/>
              </a:defRPr>
            </a:pPr>
            <a:r>
              <a:rPr lang="zh-CN" altLang="en-US" b="0">
                <a:solidFill>
                  <a:sysClr val="windowText" lastClr="000000"/>
                </a:solidFill>
                <a:latin typeface="黑体" panose="02010609060101010101" charset="-122"/>
                <a:ea typeface="黑体" panose="02010609060101010101" charset="-122"/>
              </a:rPr>
              <a:t>图</a:t>
            </a:r>
            <a:r>
              <a:rPr lang="en-US" altLang="zh-CN" b="0">
                <a:solidFill>
                  <a:sysClr val="windowText" lastClr="000000"/>
                </a:solidFill>
                <a:latin typeface="黑体" panose="02010609060101010101" charset="-122"/>
                <a:ea typeface="黑体" panose="02010609060101010101" charset="-122"/>
              </a:rPr>
              <a:t>1-1 </a:t>
            </a:r>
            <a:r>
              <a:rPr lang="zh-CN" altLang="en-US" b="0" baseline="0">
                <a:solidFill>
                  <a:sysClr val="windowText" lastClr="000000"/>
                </a:solidFill>
                <a:latin typeface="黑体" panose="02010609060101010101" charset="-122"/>
                <a:ea typeface="黑体" panose="02010609060101010101" charset="-122"/>
              </a:rPr>
              <a:t> 一级指标得分情况</a:t>
            </a:r>
            <a:endParaRPr lang="zh-CN" altLang="en-US" b="0">
              <a:solidFill>
                <a:sysClr val="windowText" lastClr="000000"/>
              </a:solidFill>
              <a:latin typeface="黑体" panose="02010609060101010101" charset="-122"/>
              <a:ea typeface="黑体" panose="02010609060101010101" charset="-122"/>
            </a:endParaRPr>
          </a:p>
        </c:rich>
      </c:tx>
      <c:layout/>
      <c:overlay val="0"/>
      <c:spPr>
        <a:noFill/>
        <a:ln>
          <a:noFill/>
        </a:ln>
        <a:effectLst/>
      </c:spPr>
    </c:title>
    <c:autoTitleDeleted val="0"/>
    <c:plotArea>
      <c:layout/>
      <c:barChart>
        <c:barDir val="col"/>
        <c:grouping val="clustered"/>
        <c:varyColors val="0"/>
        <c:ser>
          <c:idx val="0"/>
          <c:order val="0"/>
          <c:tx>
            <c:strRef>
              <c:f>Sheet1!$B$1</c:f>
              <c:strCache>
                <c:ptCount val="1"/>
                <c:pt idx="0">
                  <c:v>分值</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ysClr val="windowText" lastClr="000000"/>
                    </a:solidFill>
                    <a:latin typeface="+mn-lt"/>
                    <a:ea typeface="+mn-ea"/>
                    <a:cs typeface="+mn-cs"/>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资金管理水平</c:v>
                </c:pt>
                <c:pt idx="1">
                  <c:v>项目管理水平</c:v>
                </c:pt>
                <c:pt idx="2">
                  <c:v>项目开展绩效</c:v>
                </c:pt>
                <c:pt idx="3">
                  <c:v>自评组织工作</c:v>
                </c:pt>
              </c:strCache>
            </c:strRef>
          </c:cat>
          <c:val>
            <c:numRef>
              <c:f>Sheet1!$B$2:$B$5</c:f>
              <c:numCache>
                <c:formatCode>General</c:formatCode>
                <c:ptCount val="4"/>
                <c:pt idx="0">
                  <c:v>20</c:v>
                </c:pt>
                <c:pt idx="1">
                  <c:v>20</c:v>
                </c:pt>
                <c:pt idx="2">
                  <c:v>50</c:v>
                </c:pt>
                <c:pt idx="3">
                  <c:v>10</c:v>
                </c:pt>
              </c:numCache>
            </c:numRef>
          </c:val>
        </c:ser>
        <c:ser>
          <c:idx val="1"/>
          <c:order val="1"/>
          <c:tx>
            <c:strRef>
              <c:f>Sheet1!$C$1</c:f>
              <c:strCache>
                <c:ptCount val="1"/>
                <c:pt idx="0">
                  <c:v>评价得分</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资金管理水平</c:v>
                </c:pt>
                <c:pt idx="1">
                  <c:v>项目管理水平</c:v>
                </c:pt>
                <c:pt idx="2">
                  <c:v>项目开展绩效</c:v>
                </c:pt>
                <c:pt idx="3">
                  <c:v>自评组织工作</c:v>
                </c:pt>
              </c:strCache>
            </c:strRef>
          </c:cat>
          <c:val>
            <c:numRef>
              <c:f>Sheet1!$C$2:$C$5</c:f>
              <c:numCache>
                <c:formatCode>General</c:formatCode>
                <c:ptCount val="4"/>
                <c:pt idx="0">
                  <c:v>17</c:v>
                </c:pt>
                <c:pt idx="1">
                  <c:v>13.5</c:v>
                </c:pt>
                <c:pt idx="2">
                  <c:v>46</c:v>
                </c:pt>
                <c:pt idx="3">
                  <c:v>6.5</c:v>
                </c:pt>
              </c:numCache>
            </c:numRef>
          </c:val>
        </c:ser>
        <c:dLbls>
          <c:showLegendKey val="0"/>
          <c:showVal val="1"/>
          <c:showCatName val="0"/>
          <c:showSerName val="0"/>
          <c:showPercent val="0"/>
          <c:showBubbleSize val="0"/>
        </c:dLbls>
        <c:gapWidth val="219"/>
        <c:axId val="925668264"/>
        <c:axId val="925667280"/>
      </c:barChart>
      <c:lineChart>
        <c:grouping val="standard"/>
        <c:varyColors val="0"/>
        <c:ser>
          <c:idx val="2"/>
          <c:order val="2"/>
          <c:tx>
            <c:strRef>
              <c:f>Sheet1!$D$1</c:f>
              <c:strCache>
                <c:ptCount val="1"/>
                <c:pt idx="0">
                  <c:v>得分率</c:v>
                </c:pt>
              </c:strCache>
            </c:strRef>
          </c:tx>
          <c:spPr>
            <a:ln w="28575" cap="rnd">
              <a:solidFill>
                <a:schemeClr val="accent3"/>
              </a:solidFill>
              <a:round/>
            </a:ln>
            <a:effectLst/>
          </c:spPr>
          <c:marker>
            <c:symbol val="none"/>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ysClr val="windowText" lastClr="000000"/>
                    </a:solidFill>
                    <a:latin typeface="+mn-lt"/>
                    <a:ea typeface="+mn-ea"/>
                    <a:cs typeface="+mn-cs"/>
                  </a:defRPr>
                </a:pPr>
              </a:p>
            </c:txPr>
            <c:dLblPos val="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资金管理水平</c:v>
                </c:pt>
                <c:pt idx="1">
                  <c:v>项目管理水平</c:v>
                </c:pt>
                <c:pt idx="2">
                  <c:v>项目开展绩效</c:v>
                </c:pt>
                <c:pt idx="3">
                  <c:v>自评组织工作</c:v>
                </c:pt>
              </c:strCache>
            </c:strRef>
          </c:cat>
          <c:val>
            <c:numRef>
              <c:f>Sheet1!$D$2:$D$5</c:f>
              <c:numCache>
                <c:formatCode>0%</c:formatCode>
                <c:ptCount val="4"/>
                <c:pt idx="0">
                  <c:v>0.85</c:v>
                </c:pt>
                <c:pt idx="1" c:formatCode="0.00%">
                  <c:v>0.675</c:v>
                </c:pt>
                <c:pt idx="2">
                  <c:v>0.92</c:v>
                </c:pt>
                <c:pt idx="3">
                  <c:v>0.65</c:v>
                </c:pt>
              </c:numCache>
            </c:numRef>
          </c:val>
          <c:smooth val="0"/>
        </c:ser>
        <c:dLbls>
          <c:showLegendKey val="0"/>
          <c:showVal val="1"/>
          <c:showCatName val="0"/>
          <c:showSerName val="0"/>
          <c:showPercent val="0"/>
          <c:showBubbleSize val="0"/>
        </c:dLbls>
        <c:marker val="0"/>
        <c:smooth val="0"/>
        <c:axId val="1144862128"/>
        <c:axId val="1144863440"/>
      </c:lineChart>
      <c:catAx>
        <c:axId val="925668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kern="1200" baseline="0">
                <a:solidFill>
                  <a:sysClr val="windowText" lastClr="000000"/>
                </a:solidFill>
                <a:latin typeface="+mn-lt"/>
                <a:ea typeface="+mn-ea"/>
                <a:cs typeface="+mn-cs"/>
              </a:defRPr>
            </a:pPr>
          </a:p>
        </c:txPr>
        <c:crossAx val="925667280"/>
        <c:crosses val="autoZero"/>
        <c:auto val="1"/>
        <c:lblAlgn val="ctr"/>
        <c:lblOffset val="100"/>
        <c:noMultiLvlLbl val="0"/>
      </c:catAx>
      <c:valAx>
        <c:axId val="925667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kern="1200" baseline="0">
                <a:solidFill>
                  <a:sysClr val="windowText" lastClr="000000"/>
                </a:solidFill>
                <a:latin typeface="+mn-lt"/>
                <a:ea typeface="+mn-ea"/>
                <a:cs typeface="+mn-cs"/>
              </a:defRPr>
            </a:pPr>
          </a:p>
        </c:txPr>
        <c:crossAx val="925668264"/>
        <c:crosses val="autoZero"/>
        <c:crossBetween val="between"/>
      </c:valAx>
      <c:catAx>
        <c:axId val="1144862128"/>
        <c:scaling>
          <c:orientation val="minMax"/>
        </c:scaling>
        <c:delete val="1"/>
        <c:axPos val="b"/>
        <c:numFmt formatCode="General" sourceLinked="1"/>
        <c:majorTickMark val="out"/>
        <c:minorTickMark val="none"/>
        <c:tickLblPos val="nextTo"/>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1144863440"/>
        <c:crosses val="autoZero"/>
        <c:auto val="1"/>
        <c:lblAlgn val="ctr"/>
        <c:lblOffset val="100"/>
        <c:noMultiLvlLbl val="0"/>
      </c:catAx>
      <c:valAx>
        <c:axId val="1144863440"/>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lang="zh-CN" sz="900" b="0" i="0" u="none" strike="noStrike" kern="1200" baseline="0">
                <a:solidFill>
                  <a:sysClr val="windowText" lastClr="000000"/>
                </a:solidFill>
                <a:latin typeface="+mn-lt"/>
                <a:ea typeface="+mn-ea"/>
                <a:cs typeface="+mn-cs"/>
              </a:defRPr>
            </a:pPr>
          </a:p>
        </c:txPr>
        <c:crossAx val="1144862128"/>
        <c:crosses val="max"/>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ysClr val="windowText" lastClr="000000"/>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9AFA75A-B790-4E95-A6ED-FAF985A3AE77}">
  <ds:schemaRefs/>
</ds:datastoreItem>
</file>

<file path=docProps/app.xml><?xml version="1.0" encoding="utf-8"?>
<Properties xmlns="http://schemas.openxmlformats.org/officeDocument/2006/extended-properties" xmlns:vt="http://schemas.openxmlformats.org/officeDocument/2006/docPropsVTypes">
  <Template>Normal</Template>
  <TotalTime>664</TotalTime>
  <Pages>41</Pages>
  <Words>16911</Words>
  <Characters>18407</Characters>
  <Application>Microsoft Office Word</Application>
  <DocSecurity>0</DocSecurity>
  <Lines>156</Lines>
  <Paragraphs>44</Paragraphs>
  <ScaleCrop>false</ScaleCrop>
  <Company>china</Company>
  <LinksUpToDate>false</LinksUpToDate>
  <CharactersWithSpaces>18570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黄国第</cp:lastModifiedBy>
  <cp:revision>871</cp:revision>
  <cp:lastPrinted>2022-09-09T07:11:00Z</cp:lastPrinted>
  <dcterms:created xsi:type="dcterms:W3CDTF">2017-07-21T07:43:00Z</dcterms:created>
  <dcterms:modified xsi:type="dcterms:W3CDTF">2022-10-28T11:03:30Z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518339F65EAC4C53A771B4686D15E82B</vt:lpwstr>
  </property>
  <property fmtid="{D5CDD505-2E9C-101B-9397-08002B2CF9AE}" pid="3" name="KSOProductBuildVer">
    <vt:lpwstr>2052-11.8.2.9022</vt:lpwstr>
  </property>
</Properties>
</file>