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78" w:lineRule="exact"/>
        <w:jc w:val="left"/>
        <w:textAlignment w:val="auto"/>
        <w:rPr>
          <w:rFonts w:hint="eastAsia" w:ascii="方正黑体_GBK" w:hAnsi="方正黑体_GBK" w:eastAsia="方正黑体_GBK" w:cs="方正黑体_GBK"/>
          <w:b w:val="0"/>
          <w:bCs/>
          <w:snapToGrid w:val="0"/>
          <w:color w:val="auto"/>
          <w:spacing w:val="11"/>
          <w:sz w:val="24"/>
          <w:szCs w:val="24"/>
          <w:lang w:val="en-US" w:eastAsia="zh-CN"/>
        </w:rPr>
      </w:pPr>
      <w:r>
        <w:rPr>
          <w:rFonts w:hint="eastAsia" w:ascii="方正黑体_GBK" w:hAnsi="方正黑体_GBK" w:eastAsia="方正黑体_GBK" w:cs="方正黑体_GBK"/>
          <w:b w:val="0"/>
          <w:bCs/>
          <w:snapToGrid w:val="0"/>
          <w:color w:val="auto"/>
          <w:spacing w:val="11"/>
          <w:sz w:val="24"/>
          <w:szCs w:val="24"/>
          <w:lang w:val="en-US" w:eastAsia="zh-CN"/>
        </w:rPr>
        <w:t>附件9</w:t>
      </w:r>
    </w:p>
    <w:p>
      <w:pPr>
        <w:keepNext w:val="0"/>
        <w:keepLines w:val="0"/>
        <w:pageBreakBefore w:val="0"/>
        <w:widowControl w:val="0"/>
        <w:kinsoku/>
        <w:wordWrap/>
        <w:overflowPunct/>
        <w:topLinePunct w:val="0"/>
        <w:bidi w:val="0"/>
        <w:snapToGrid/>
        <w:spacing w:line="578" w:lineRule="exact"/>
        <w:jc w:val="center"/>
        <w:textAlignment w:val="auto"/>
        <w:rPr>
          <w:rFonts w:hint="default" w:ascii="Times New Roman" w:hAnsi="Times New Roman" w:eastAsia="方正小标宋简体" w:cs="Times New Roman"/>
          <w:b w:val="0"/>
          <w:bCs/>
          <w:snapToGrid w:val="0"/>
          <w:color w:val="auto"/>
          <w:spacing w:val="11"/>
          <w:sz w:val="44"/>
          <w:szCs w:val="44"/>
        </w:rPr>
      </w:pPr>
      <w:r>
        <w:rPr>
          <w:rFonts w:hint="default" w:ascii="Times New Roman" w:hAnsi="Times New Roman" w:eastAsia="方正小标宋简体" w:cs="Times New Roman"/>
          <w:b w:val="0"/>
          <w:bCs/>
          <w:snapToGrid w:val="0"/>
          <w:color w:val="auto"/>
          <w:spacing w:val="11"/>
          <w:sz w:val="44"/>
          <w:szCs w:val="44"/>
          <w:lang w:eastAsia="zh-CN"/>
        </w:rPr>
        <w:t>江海区</w:t>
      </w:r>
      <w:r>
        <w:rPr>
          <w:rFonts w:hint="default" w:ascii="Times New Roman" w:hAnsi="Times New Roman" w:eastAsia="方正小标宋简体" w:cs="Times New Roman"/>
          <w:b w:val="0"/>
          <w:bCs/>
          <w:snapToGrid w:val="0"/>
          <w:color w:val="auto"/>
          <w:spacing w:val="11"/>
          <w:sz w:val="44"/>
          <w:szCs w:val="44"/>
        </w:rPr>
        <w:t>202</w:t>
      </w:r>
      <w:r>
        <w:rPr>
          <w:rFonts w:hint="default" w:ascii="Times New Roman" w:hAnsi="Times New Roman" w:eastAsia="方正小标宋简体" w:cs="Times New Roman"/>
          <w:b w:val="0"/>
          <w:bCs/>
          <w:snapToGrid w:val="0"/>
          <w:color w:val="auto"/>
          <w:spacing w:val="11"/>
          <w:sz w:val="44"/>
          <w:szCs w:val="44"/>
          <w:lang w:val="en-US" w:eastAsia="zh-CN"/>
        </w:rPr>
        <w:t>2</w:t>
      </w:r>
      <w:r>
        <w:rPr>
          <w:rFonts w:hint="default" w:ascii="Times New Roman" w:hAnsi="Times New Roman" w:eastAsia="方正小标宋简体" w:cs="Times New Roman"/>
          <w:b w:val="0"/>
          <w:bCs/>
          <w:snapToGrid w:val="0"/>
          <w:color w:val="auto"/>
          <w:spacing w:val="11"/>
          <w:sz w:val="44"/>
          <w:szCs w:val="44"/>
        </w:rPr>
        <w:t>年社会保险基金预算调整草案</w:t>
      </w:r>
    </w:p>
    <w:p>
      <w:pPr>
        <w:keepNext w:val="0"/>
        <w:keepLines w:val="0"/>
        <w:pageBreakBefore w:val="0"/>
        <w:widowControl w:val="0"/>
        <w:kinsoku/>
        <w:wordWrap/>
        <w:overflowPunct/>
        <w:topLinePunct w:val="0"/>
        <w:bidi w:val="0"/>
        <w:snapToGrid/>
        <w:spacing w:line="578" w:lineRule="exact"/>
        <w:ind w:firstLine="927" w:firstLineChars="200"/>
        <w:textAlignment w:val="auto"/>
        <w:rPr>
          <w:rFonts w:hint="default" w:ascii="Times New Roman" w:hAnsi="Times New Roman" w:eastAsia="方正仿宋_GBK" w:cs="Times New Roman"/>
          <w:b/>
          <w:snapToGrid w:val="0"/>
          <w:color w:val="auto"/>
          <w:spacing w:val="11"/>
          <w:sz w:val="44"/>
          <w:szCs w:val="44"/>
        </w:rPr>
      </w:pPr>
    </w:p>
    <w:p>
      <w:pPr>
        <w:keepNext w:val="0"/>
        <w:keepLines w:val="0"/>
        <w:pageBreakBefore w:val="0"/>
        <w:widowControl w:val="0"/>
        <w:kinsoku/>
        <w:wordWrap/>
        <w:overflowPunct/>
        <w:topLinePunct w:val="0"/>
        <w:bidi w:val="0"/>
        <w:snapToGrid/>
        <w:spacing w:line="578" w:lineRule="exact"/>
        <w:ind w:firstLine="684" w:firstLineChars="200"/>
        <w:textAlignment w:val="auto"/>
        <w:rPr>
          <w:rFonts w:hint="default" w:ascii="Times New Roman" w:hAnsi="Times New Roman" w:eastAsia="方正仿宋_GBK" w:cs="Times New Roman"/>
          <w:snapToGrid w:val="0"/>
          <w:color w:val="auto"/>
          <w:spacing w:val="11"/>
          <w:kern w:val="0"/>
          <w:sz w:val="32"/>
          <w:szCs w:val="32"/>
        </w:rPr>
      </w:pPr>
      <w:r>
        <w:rPr>
          <w:rFonts w:hint="default" w:ascii="Times New Roman" w:hAnsi="Times New Roman" w:eastAsia="方正仿宋_GBK" w:cs="Times New Roman"/>
          <w:snapToGrid w:val="0"/>
          <w:color w:val="auto"/>
          <w:spacing w:val="11"/>
          <w:kern w:val="0"/>
          <w:sz w:val="32"/>
          <w:szCs w:val="32"/>
        </w:rPr>
        <w:t>为进一步提高社保基金预算编制质量，确保预算科学、准确，</w:t>
      </w:r>
      <w:r>
        <w:rPr>
          <w:rFonts w:hint="default" w:ascii="Times New Roman" w:hAnsi="Times New Roman" w:eastAsia="方正仿宋_GBK" w:cs="Times New Roman"/>
          <w:snapToGrid w:val="0"/>
          <w:color w:val="auto"/>
          <w:spacing w:val="11"/>
          <w:sz w:val="32"/>
          <w:szCs w:val="22"/>
        </w:rPr>
        <w:t>根据</w:t>
      </w:r>
      <w:r>
        <w:rPr>
          <w:rFonts w:hint="default" w:ascii="Times New Roman" w:hAnsi="Times New Roman" w:eastAsia="方正仿宋_GBK" w:cs="Times New Roman"/>
          <w:snapToGrid w:val="0"/>
          <w:color w:val="auto"/>
          <w:spacing w:val="11"/>
          <w:sz w:val="32"/>
          <w:szCs w:val="22"/>
          <w:lang w:eastAsia="zh-CN"/>
        </w:rPr>
        <w:t>《转发关于做好</w:t>
      </w:r>
      <w:r>
        <w:rPr>
          <w:rFonts w:hint="default" w:ascii="Times New Roman" w:hAnsi="Times New Roman" w:eastAsia="方正仿宋_GBK" w:cs="Times New Roman"/>
          <w:snapToGrid w:val="0"/>
          <w:color w:val="auto"/>
          <w:spacing w:val="11"/>
          <w:sz w:val="32"/>
          <w:szCs w:val="22"/>
          <w:lang w:val="en-US" w:eastAsia="zh-CN"/>
        </w:rPr>
        <w:t>2022年社会保险基金预算调整工作额通知</w:t>
      </w:r>
      <w:r>
        <w:rPr>
          <w:rFonts w:hint="default" w:ascii="Times New Roman" w:hAnsi="Times New Roman" w:eastAsia="方正仿宋_GBK" w:cs="Times New Roman"/>
          <w:snapToGrid w:val="0"/>
          <w:color w:val="auto"/>
          <w:spacing w:val="11"/>
          <w:sz w:val="32"/>
          <w:szCs w:val="22"/>
          <w:lang w:eastAsia="zh-CN"/>
        </w:rPr>
        <w:t>》</w:t>
      </w:r>
      <w:r>
        <w:rPr>
          <w:rFonts w:hint="default" w:ascii="Times New Roman" w:hAnsi="Times New Roman" w:eastAsia="方正仿宋_GBK" w:cs="Times New Roman"/>
          <w:snapToGrid w:val="0"/>
          <w:color w:val="auto"/>
          <w:spacing w:val="11"/>
          <w:sz w:val="32"/>
          <w:szCs w:val="22"/>
        </w:rPr>
        <w:t>（</w:t>
      </w:r>
      <w:r>
        <w:rPr>
          <w:rFonts w:hint="default" w:ascii="Times New Roman" w:hAnsi="Times New Roman" w:eastAsia="方正仿宋_GBK" w:cs="Times New Roman"/>
          <w:snapToGrid w:val="0"/>
          <w:color w:val="auto"/>
          <w:spacing w:val="11"/>
          <w:sz w:val="32"/>
          <w:szCs w:val="22"/>
          <w:lang w:eastAsia="zh-CN"/>
        </w:rPr>
        <w:t>江社保函</w:t>
      </w:r>
      <w:r>
        <w:rPr>
          <w:rFonts w:hint="default" w:ascii="Times New Roman" w:hAnsi="Times New Roman" w:eastAsia="仿宋" w:cs="Times New Roman"/>
          <w:snapToGrid w:val="0"/>
          <w:color w:val="auto"/>
          <w:spacing w:val="11"/>
          <w:sz w:val="32"/>
          <w:szCs w:val="32"/>
        </w:rPr>
        <w:t>〔</w:t>
      </w:r>
      <w:r>
        <w:rPr>
          <w:rFonts w:hint="default" w:ascii="Times New Roman" w:hAnsi="Times New Roman" w:eastAsia="方正仿宋_GBK" w:cs="Times New Roman"/>
          <w:snapToGrid w:val="0"/>
          <w:color w:val="auto"/>
          <w:spacing w:val="11"/>
          <w:sz w:val="32"/>
          <w:szCs w:val="32"/>
        </w:rPr>
        <w:t>20</w:t>
      </w:r>
      <w:r>
        <w:rPr>
          <w:rFonts w:hint="default" w:ascii="Times New Roman" w:hAnsi="Times New Roman" w:eastAsia="方正仿宋_GBK" w:cs="Times New Roman"/>
          <w:snapToGrid w:val="0"/>
          <w:color w:val="auto"/>
          <w:spacing w:val="11"/>
          <w:sz w:val="32"/>
          <w:szCs w:val="32"/>
          <w:lang w:val="en-US" w:eastAsia="zh-CN"/>
        </w:rPr>
        <w:t>22</w:t>
      </w:r>
      <w:r>
        <w:rPr>
          <w:rFonts w:hint="default" w:ascii="Times New Roman" w:hAnsi="Times New Roman" w:eastAsia="仿宋" w:cs="Times New Roman"/>
          <w:snapToGrid w:val="0"/>
          <w:color w:val="auto"/>
          <w:spacing w:val="11"/>
          <w:sz w:val="32"/>
          <w:szCs w:val="32"/>
        </w:rPr>
        <w:t>〕</w:t>
      </w:r>
      <w:r>
        <w:rPr>
          <w:rFonts w:hint="default" w:ascii="Times New Roman" w:hAnsi="Times New Roman" w:eastAsia="方正仿宋_GBK" w:cs="Times New Roman"/>
          <w:snapToGrid w:val="0"/>
          <w:color w:val="auto"/>
          <w:spacing w:val="11"/>
          <w:sz w:val="32"/>
          <w:szCs w:val="32"/>
          <w:lang w:val="en-US" w:eastAsia="zh-CN"/>
        </w:rPr>
        <w:t>77</w:t>
      </w:r>
      <w:r>
        <w:rPr>
          <w:rFonts w:hint="default" w:ascii="Times New Roman" w:hAnsi="Times New Roman" w:eastAsia="方正仿宋_GBK" w:cs="Times New Roman"/>
          <w:snapToGrid w:val="0"/>
          <w:color w:val="auto"/>
          <w:spacing w:val="11"/>
          <w:sz w:val="32"/>
          <w:szCs w:val="32"/>
        </w:rPr>
        <w:t>号</w:t>
      </w:r>
      <w:r>
        <w:rPr>
          <w:rFonts w:hint="default" w:ascii="Times New Roman" w:hAnsi="Times New Roman" w:eastAsia="方正仿宋_GBK" w:cs="Times New Roman"/>
          <w:snapToGrid w:val="0"/>
          <w:color w:val="auto"/>
          <w:spacing w:val="11"/>
          <w:sz w:val="32"/>
          <w:szCs w:val="22"/>
        </w:rPr>
        <w:t>）</w:t>
      </w:r>
      <w:r>
        <w:rPr>
          <w:rFonts w:hint="default" w:ascii="Times New Roman" w:hAnsi="Times New Roman" w:eastAsia="方正仿宋_GBK" w:cs="Times New Roman"/>
          <w:snapToGrid w:val="0"/>
          <w:color w:val="auto"/>
          <w:spacing w:val="11"/>
          <w:sz w:val="32"/>
          <w:szCs w:val="22"/>
          <w:lang w:eastAsia="zh-CN"/>
        </w:rPr>
        <w:t>精神，结合市局基金预算调整通知要求，</w:t>
      </w:r>
      <w:r>
        <w:rPr>
          <w:rFonts w:hint="default" w:ascii="Times New Roman" w:hAnsi="Times New Roman" w:eastAsia="方正仿宋_GBK" w:cs="Times New Roman"/>
          <w:snapToGrid w:val="0"/>
          <w:color w:val="auto"/>
          <w:spacing w:val="11"/>
          <w:kern w:val="0"/>
          <w:sz w:val="32"/>
          <w:szCs w:val="32"/>
          <w:lang w:eastAsia="zh-CN"/>
        </w:rPr>
        <w:t>综合考虑影响预算执行的政策变动因素，科学合理预测，适当调整我区</w:t>
      </w:r>
      <w:r>
        <w:rPr>
          <w:rFonts w:hint="default" w:ascii="Times New Roman" w:hAnsi="Times New Roman" w:eastAsia="方正仿宋_GBK" w:cs="Times New Roman"/>
          <w:snapToGrid w:val="0"/>
          <w:color w:val="auto"/>
          <w:spacing w:val="11"/>
          <w:sz w:val="32"/>
          <w:szCs w:val="32"/>
        </w:rPr>
        <w:t>机关事业单位基本养老保险</w:t>
      </w:r>
      <w:r>
        <w:rPr>
          <w:rFonts w:hint="default" w:ascii="Times New Roman" w:hAnsi="Times New Roman" w:eastAsia="方正仿宋_GBK" w:cs="Times New Roman"/>
          <w:snapToGrid w:val="0"/>
          <w:color w:val="auto"/>
          <w:spacing w:val="11"/>
          <w:sz w:val="32"/>
          <w:szCs w:val="32"/>
          <w:lang w:eastAsia="zh-CN"/>
        </w:rPr>
        <w:t>、企业职工基本养老保险、</w:t>
      </w:r>
      <w:r>
        <w:rPr>
          <w:rFonts w:hint="default" w:ascii="Times New Roman" w:hAnsi="Times New Roman" w:eastAsia="方正仿宋_GBK" w:cs="Times New Roman"/>
          <w:snapToGrid w:val="0"/>
          <w:color w:val="auto"/>
          <w:spacing w:val="11"/>
          <w:sz w:val="32"/>
          <w:szCs w:val="32"/>
        </w:rPr>
        <w:t>失业保险</w:t>
      </w:r>
      <w:r>
        <w:rPr>
          <w:rFonts w:hint="default" w:ascii="Times New Roman" w:hAnsi="Times New Roman" w:eastAsia="方正仿宋_GBK" w:cs="Times New Roman"/>
          <w:snapToGrid w:val="0"/>
          <w:color w:val="auto"/>
          <w:spacing w:val="11"/>
          <w:sz w:val="32"/>
          <w:szCs w:val="32"/>
          <w:lang w:eastAsia="zh-CN"/>
        </w:rPr>
        <w:t>、</w:t>
      </w:r>
      <w:r>
        <w:rPr>
          <w:rFonts w:hint="default" w:ascii="Times New Roman" w:hAnsi="Times New Roman" w:eastAsia="方正仿宋_GBK" w:cs="Times New Roman"/>
          <w:b w:val="0"/>
          <w:bCs/>
          <w:snapToGrid w:val="0"/>
          <w:color w:val="auto"/>
          <w:spacing w:val="11"/>
          <w:kern w:val="0"/>
          <w:sz w:val="32"/>
          <w:szCs w:val="32"/>
          <w:lang w:eastAsia="zh-CN"/>
        </w:rPr>
        <w:t>工伤保险、城镇职工基本医疗保险（含生育保险）</w:t>
      </w:r>
      <w:r>
        <w:rPr>
          <w:rFonts w:hint="default" w:ascii="Times New Roman" w:hAnsi="Times New Roman" w:eastAsia="方正仿宋_GBK" w:cs="Times New Roman"/>
          <w:b w:val="0"/>
          <w:bCs/>
          <w:snapToGrid w:val="0"/>
          <w:color w:val="auto"/>
          <w:spacing w:val="11"/>
          <w:kern w:val="0"/>
          <w:sz w:val="32"/>
          <w:szCs w:val="32"/>
          <w:lang w:val="en-US" w:eastAsia="zh-CN"/>
        </w:rPr>
        <w:t>五</w:t>
      </w:r>
      <w:r>
        <w:rPr>
          <w:rFonts w:hint="default" w:ascii="Times New Roman" w:hAnsi="Times New Roman" w:eastAsia="方正仿宋_GBK" w:cs="Times New Roman"/>
          <w:snapToGrid w:val="0"/>
          <w:color w:val="auto"/>
          <w:spacing w:val="11"/>
          <w:kern w:val="0"/>
          <w:sz w:val="32"/>
          <w:szCs w:val="32"/>
        </w:rPr>
        <w:t>项社会保险基金收支预算</w:t>
      </w:r>
      <w:r>
        <w:rPr>
          <w:rFonts w:hint="default" w:ascii="Times New Roman" w:hAnsi="Times New Roman" w:eastAsia="方正仿宋_GBK" w:cs="Times New Roman"/>
          <w:snapToGrid w:val="0"/>
          <w:color w:val="auto"/>
          <w:spacing w:val="11"/>
          <w:kern w:val="0"/>
          <w:sz w:val="32"/>
          <w:szCs w:val="32"/>
          <w:lang w:eastAsia="zh-CN"/>
        </w:rPr>
        <w:t>，</w:t>
      </w:r>
      <w:r>
        <w:rPr>
          <w:rFonts w:hint="default" w:ascii="Times New Roman" w:hAnsi="Times New Roman" w:eastAsia="方正仿宋_GBK" w:cs="Times New Roman"/>
          <w:snapToGrid w:val="0"/>
          <w:color w:val="auto"/>
          <w:spacing w:val="11"/>
          <w:kern w:val="0"/>
          <w:sz w:val="32"/>
          <w:szCs w:val="32"/>
        </w:rPr>
        <w:t>现将江门市</w:t>
      </w:r>
      <w:r>
        <w:rPr>
          <w:rFonts w:hint="default" w:ascii="Times New Roman" w:hAnsi="Times New Roman" w:eastAsia="方正仿宋_GBK" w:cs="Times New Roman"/>
          <w:snapToGrid w:val="0"/>
          <w:color w:val="auto"/>
          <w:spacing w:val="11"/>
          <w:kern w:val="0"/>
          <w:sz w:val="32"/>
          <w:szCs w:val="32"/>
          <w:lang w:eastAsia="zh-CN"/>
        </w:rPr>
        <w:t>江海区</w:t>
      </w:r>
      <w:r>
        <w:rPr>
          <w:rFonts w:hint="default" w:ascii="Times New Roman" w:hAnsi="Times New Roman" w:eastAsia="方正仿宋_GBK" w:cs="Times New Roman"/>
          <w:snapToGrid w:val="0"/>
          <w:color w:val="auto"/>
          <w:spacing w:val="11"/>
          <w:kern w:val="0"/>
          <w:sz w:val="32"/>
          <w:szCs w:val="32"/>
        </w:rPr>
        <w:t>202</w:t>
      </w:r>
      <w:r>
        <w:rPr>
          <w:rFonts w:hint="default" w:ascii="Times New Roman" w:hAnsi="Times New Roman" w:eastAsia="方正仿宋_GBK" w:cs="Times New Roman"/>
          <w:snapToGrid w:val="0"/>
          <w:color w:val="auto"/>
          <w:spacing w:val="11"/>
          <w:kern w:val="0"/>
          <w:sz w:val="32"/>
          <w:szCs w:val="32"/>
          <w:lang w:val="en-US" w:eastAsia="zh-CN"/>
        </w:rPr>
        <w:t>2</w:t>
      </w:r>
      <w:r>
        <w:rPr>
          <w:rFonts w:hint="default" w:ascii="Times New Roman" w:hAnsi="Times New Roman" w:eastAsia="方正仿宋_GBK" w:cs="Times New Roman"/>
          <w:snapToGrid w:val="0"/>
          <w:color w:val="auto"/>
          <w:spacing w:val="11"/>
          <w:kern w:val="0"/>
          <w:sz w:val="32"/>
          <w:szCs w:val="32"/>
        </w:rPr>
        <w:t>年社会保险基金预算调整草案说明如下：</w:t>
      </w:r>
    </w:p>
    <w:p>
      <w:pPr>
        <w:keepNext w:val="0"/>
        <w:keepLines w:val="0"/>
        <w:pageBreakBefore w:val="0"/>
        <w:widowControl w:val="0"/>
        <w:kinsoku/>
        <w:wordWrap/>
        <w:overflowPunct/>
        <w:topLinePunct w:val="0"/>
        <w:bidi w:val="0"/>
        <w:snapToGrid/>
        <w:spacing w:line="578" w:lineRule="exact"/>
        <w:ind w:firstLine="684" w:firstLineChars="200"/>
        <w:textAlignment w:val="auto"/>
        <w:rPr>
          <w:rFonts w:hint="eastAsia" w:ascii="方正黑体_GBK" w:hAnsi="方正黑体_GBK" w:eastAsia="方正黑体_GBK" w:cs="方正黑体_GBK"/>
          <w:b w:val="0"/>
          <w:bCs/>
          <w:snapToGrid w:val="0"/>
          <w:color w:val="auto"/>
          <w:spacing w:val="11"/>
          <w:kern w:val="0"/>
          <w:sz w:val="32"/>
          <w:szCs w:val="32"/>
          <w:lang w:eastAsia="zh-CN"/>
        </w:rPr>
      </w:pPr>
      <w:r>
        <w:rPr>
          <w:rFonts w:hint="eastAsia" w:ascii="方正黑体_GBK" w:hAnsi="方正黑体_GBK" w:eastAsia="方正黑体_GBK" w:cs="方正黑体_GBK"/>
          <w:b w:val="0"/>
          <w:bCs/>
          <w:snapToGrid w:val="0"/>
          <w:color w:val="auto"/>
          <w:spacing w:val="11"/>
          <w:kern w:val="0"/>
          <w:sz w:val="32"/>
          <w:szCs w:val="32"/>
          <w:lang w:eastAsia="zh-CN"/>
        </w:rPr>
        <w:t>一、20</w:t>
      </w:r>
      <w:r>
        <w:rPr>
          <w:rFonts w:hint="eastAsia" w:ascii="方正黑体_GBK" w:hAnsi="方正黑体_GBK" w:eastAsia="方正黑体_GBK" w:cs="方正黑体_GBK"/>
          <w:b w:val="0"/>
          <w:bCs/>
          <w:snapToGrid w:val="0"/>
          <w:color w:val="auto"/>
          <w:spacing w:val="11"/>
          <w:kern w:val="0"/>
          <w:sz w:val="32"/>
          <w:szCs w:val="32"/>
          <w:lang w:val="en-US" w:eastAsia="zh-CN"/>
        </w:rPr>
        <w:t>22</w:t>
      </w:r>
      <w:r>
        <w:rPr>
          <w:rFonts w:hint="eastAsia" w:ascii="方正黑体_GBK" w:hAnsi="方正黑体_GBK" w:eastAsia="方正黑体_GBK" w:cs="方正黑体_GBK"/>
          <w:b w:val="0"/>
          <w:bCs/>
          <w:snapToGrid w:val="0"/>
          <w:color w:val="auto"/>
          <w:spacing w:val="11"/>
          <w:kern w:val="0"/>
          <w:sz w:val="32"/>
          <w:szCs w:val="32"/>
          <w:lang w:eastAsia="zh-CN"/>
        </w:rPr>
        <w:t>年</w:t>
      </w:r>
      <w:r>
        <w:rPr>
          <w:rFonts w:hint="eastAsia" w:ascii="方正黑体_GBK" w:hAnsi="方正黑体_GBK" w:eastAsia="方正黑体_GBK" w:cs="方正黑体_GBK"/>
          <w:b w:val="0"/>
          <w:bCs/>
          <w:snapToGrid w:val="0"/>
          <w:color w:val="auto"/>
          <w:spacing w:val="11"/>
          <w:kern w:val="0"/>
          <w:sz w:val="32"/>
          <w:szCs w:val="32"/>
          <w:lang w:val="en-US" w:eastAsia="zh-CN"/>
        </w:rPr>
        <w:t>1-11月</w:t>
      </w:r>
      <w:r>
        <w:rPr>
          <w:rFonts w:hint="eastAsia" w:ascii="方正黑体_GBK" w:hAnsi="方正黑体_GBK" w:eastAsia="方正黑体_GBK" w:cs="方正黑体_GBK"/>
          <w:b w:val="0"/>
          <w:bCs/>
          <w:snapToGrid w:val="0"/>
          <w:color w:val="auto"/>
          <w:spacing w:val="11"/>
          <w:kern w:val="0"/>
          <w:sz w:val="32"/>
          <w:szCs w:val="32"/>
          <w:lang w:eastAsia="zh-CN"/>
        </w:rPr>
        <w:t>社会保险基金预算执行情况</w:t>
      </w:r>
    </w:p>
    <w:p>
      <w:pPr>
        <w:keepNext w:val="0"/>
        <w:keepLines w:val="0"/>
        <w:pageBreakBefore w:val="0"/>
        <w:widowControl w:val="0"/>
        <w:kinsoku/>
        <w:wordWrap/>
        <w:overflowPunct/>
        <w:topLinePunct w:val="0"/>
        <w:bidi w:val="0"/>
        <w:snapToGrid/>
        <w:spacing w:line="578" w:lineRule="exact"/>
        <w:ind w:firstLine="684" w:firstLineChars="200"/>
        <w:textAlignment w:val="auto"/>
        <w:rPr>
          <w:rFonts w:hint="default" w:ascii="Times New Roman" w:hAnsi="Times New Roman" w:eastAsia="方正仿宋_GBK" w:cs="Times New Roman"/>
          <w:snapToGrid w:val="0"/>
          <w:color w:val="auto"/>
          <w:spacing w:val="11"/>
          <w:sz w:val="32"/>
          <w:szCs w:val="32"/>
          <w:lang w:eastAsia="zh-CN"/>
        </w:rPr>
      </w:pPr>
      <w:r>
        <w:rPr>
          <w:rFonts w:hint="default" w:ascii="Times New Roman" w:hAnsi="Times New Roman" w:eastAsia="方正仿宋_GBK" w:cs="Times New Roman"/>
          <w:snapToGrid w:val="0"/>
          <w:color w:val="auto"/>
          <w:spacing w:val="11"/>
          <w:sz w:val="32"/>
          <w:szCs w:val="32"/>
        </w:rPr>
        <w:t>20</w:t>
      </w:r>
      <w:r>
        <w:rPr>
          <w:rFonts w:hint="default" w:ascii="Times New Roman" w:hAnsi="Times New Roman" w:eastAsia="方正仿宋_GBK" w:cs="Times New Roman"/>
          <w:snapToGrid w:val="0"/>
          <w:color w:val="auto"/>
          <w:spacing w:val="11"/>
          <w:sz w:val="32"/>
          <w:szCs w:val="32"/>
          <w:lang w:val="en-US" w:eastAsia="zh-CN"/>
        </w:rPr>
        <w:t>22</w:t>
      </w:r>
      <w:r>
        <w:rPr>
          <w:rFonts w:hint="default" w:ascii="Times New Roman" w:hAnsi="Times New Roman" w:eastAsia="方正仿宋_GBK" w:cs="Times New Roman"/>
          <w:snapToGrid w:val="0"/>
          <w:color w:val="auto"/>
          <w:spacing w:val="11"/>
          <w:kern w:val="0"/>
          <w:sz w:val="32"/>
          <w:szCs w:val="32"/>
        </w:rPr>
        <w:t>年</w:t>
      </w:r>
      <w:r>
        <w:rPr>
          <w:rFonts w:hint="default" w:ascii="Times New Roman" w:hAnsi="Times New Roman" w:eastAsia="方正仿宋_GBK" w:cs="Times New Roman"/>
          <w:snapToGrid w:val="0"/>
          <w:color w:val="auto"/>
          <w:spacing w:val="11"/>
          <w:kern w:val="0"/>
          <w:sz w:val="32"/>
          <w:szCs w:val="32"/>
          <w:lang w:val="en-US" w:eastAsia="zh-CN"/>
        </w:rPr>
        <w:t>1-11月</w:t>
      </w:r>
      <w:r>
        <w:rPr>
          <w:rFonts w:hint="default" w:ascii="Times New Roman" w:hAnsi="Times New Roman" w:eastAsia="方正仿宋_GBK" w:cs="Times New Roman"/>
          <w:snapToGrid w:val="0"/>
          <w:color w:val="auto"/>
          <w:spacing w:val="11"/>
          <w:kern w:val="0"/>
          <w:sz w:val="32"/>
          <w:szCs w:val="32"/>
        </w:rPr>
        <w:t>江海区</w:t>
      </w:r>
      <w:r>
        <w:rPr>
          <w:rFonts w:hint="default" w:ascii="Times New Roman" w:hAnsi="Times New Roman" w:eastAsia="方正仿宋_GBK" w:cs="Times New Roman"/>
          <w:snapToGrid w:val="0"/>
          <w:color w:val="auto"/>
          <w:spacing w:val="11"/>
          <w:kern w:val="0"/>
          <w:sz w:val="32"/>
          <w:szCs w:val="32"/>
          <w:lang w:val="en-US" w:eastAsia="zh-CN"/>
        </w:rPr>
        <w:t>五</w:t>
      </w:r>
      <w:r>
        <w:rPr>
          <w:rFonts w:hint="default" w:ascii="Times New Roman" w:hAnsi="Times New Roman" w:eastAsia="方正仿宋_GBK" w:cs="Times New Roman"/>
          <w:snapToGrid w:val="0"/>
          <w:color w:val="auto"/>
          <w:spacing w:val="11"/>
          <w:kern w:val="0"/>
          <w:sz w:val="32"/>
          <w:szCs w:val="32"/>
        </w:rPr>
        <w:t>项社会保险基金（</w:t>
      </w:r>
      <w:r>
        <w:rPr>
          <w:rFonts w:hint="default" w:ascii="Times New Roman" w:hAnsi="Times New Roman" w:eastAsia="方正仿宋_GBK" w:cs="Times New Roman"/>
          <w:snapToGrid w:val="0"/>
          <w:color w:val="auto"/>
          <w:spacing w:val="11"/>
          <w:sz w:val="32"/>
          <w:szCs w:val="32"/>
        </w:rPr>
        <w:t>包括机关事业单位基本养老保险</w:t>
      </w:r>
      <w:r>
        <w:rPr>
          <w:rFonts w:hint="default" w:ascii="Times New Roman" w:hAnsi="Times New Roman" w:eastAsia="方正仿宋_GBK" w:cs="Times New Roman"/>
          <w:snapToGrid w:val="0"/>
          <w:color w:val="auto"/>
          <w:spacing w:val="11"/>
          <w:sz w:val="32"/>
          <w:szCs w:val="32"/>
          <w:lang w:eastAsia="zh-CN"/>
        </w:rPr>
        <w:t>、企业职工基本养老保险、</w:t>
      </w:r>
      <w:r>
        <w:rPr>
          <w:rFonts w:hint="default" w:ascii="Times New Roman" w:hAnsi="Times New Roman" w:eastAsia="方正仿宋_GBK" w:cs="Times New Roman"/>
          <w:snapToGrid w:val="0"/>
          <w:color w:val="auto"/>
          <w:spacing w:val="11"/>
          <w:sz w:val="32"/>
          <w:szCs w:val="32"/>
        </w:rPr>
        <w:t>失业保险</w:t>
      </w:r>
      <w:r>
        <w:rPr>
          <w:rFonts w:hint="default" w:ascii="Times New Roman" w:hAnsi="Times New Roman" w:eastAsia="方正仿宋_GBK" w:cs="Times New Roman"/>
          <w:snapToGrid w:val="0"/>
          <w:color w:val="auto"/>
          <w:spacing w:val="11"/>
          <w:sz w:val="32"/>
          <w:szCs w:val="32"/>
          <w:lang w:eastAsia="zh-CN"/>
        </w:rPr>
        <w:t>、</w:t>
      </w:r>
      <w:r>
        <w:rPr>
          <w:rFonts w:hint="default" w:ascii="Times New Roman" w:hAnsi="Times New Roman" w:eastAsia="方正仿宋_GBK" w:cs="Times New Roman"/>
          <w:b w:val="0"/>
          <w:bCs/>
          <w:snapToGrid w:val="0"/>
          <w:color w:val="auto"/>
          <w:spacing w:val="11"/>
          <w:kern w:val="0"/>
          <w:sz w:val="32"/>
          <w:szCs w:val="32"/>
          <w:lang w:eastAsia="zh-CN"/>
        </w:rPr>
        <w:t>工伤保险、城镇职工基本医疗保险（含生育保险）</w:t>
      </w:r>
      <w:r>
        <w:rPr>
          <w:rFonts w:hint="default" w:ascii="Times New Roman" w:hAnsi="Times New Roman" w:eastAsia="方正仿宋_GBK" w:cs="Times New Roman"/>
          <w:snapToGrid w:val="0"/>
          <w:color w:val="auto"/>
          <w:spacing w:val="11"/>
          <w:sz w:val="32"/>
          <w:szCs w:val="32"/>
        </w:rPr>
        <w:t>）总收入</w:t>
      </w:r>
      <w:r>
        <w:rPr>
          <w:rFonts w:hint="default" w:ascii="Times New Roman" w:hAnsi="Times New Roman" w:eastAsia="方正仿宋_GBK" w:cs="Times New Roman"/>
          <w:snapToGrid w:val="0"/>
          <w:color w:val="auto"/>
          <w:spacing w:val="11"/>
          <w:sz w:val="32"/>
          <w:szCs w:val="32"/>
          <w:lang w:val="en-US" w:eastAsia="zh-CN"/>
        </w:rPr>
        <w:t>359,556</w:t>
      </w:r>
      <w:r>
        <w:rPr>
          <w:rFonts w:hint="default" w:ascii="Times New Roman" w:hAnsi="Times New Roman" w:eastAsia="方正仿宋_GBK" w:cs="Times New Roman"/>
          <w:snapToGrid w:val="0"/>
          <w:color w:val="auto"/>
          <w:spacing w:val="11"/>
          <w:sz w:val="32"/>
          <w:szCs w:val="32"/>
        </w:rPr>
        <w:t>万元，完成20</w:t>
      </w:r>
      <w:r>
        <w:rPr>
          <w:rFonts w:hint="default" w:ascii="Times New Roman" w:hAnsi="Times New Roman" w:eastAsia="方正仿宋_GBK" w:cs="Times New Roman"/>
          <w:snapToGrid w:val="0"/>
          <w:color w:val="auto"/>
          <w:spacing w:val="11"/>
          <w:sz w:val="32"/>
          <w:szCs w:val="32"/>
          <w:lang w:val="en-US" w:eastAsia="zh-CN"/>
        </w:rPr>
        <w:t>22</w:t>
      </w:r>
      <w:r>
        <w:rPr>
          <w:rFonts w:hint="default" w:ascii="Times New Roman" w:hAnsi="Times New Roman" w:eastAsia="方正仿宋_GBK" w:cs="Times New Roman"/>
          <w:snapToGrid w:val="0"/>
          <w:color w:val="auto"/>
          <w:spacing w:val="11"/>
          <w:sz w:val="32"/>
          <w:szCs w:val="32"/>
        </w:rPr>
        <w:t>年</w:t>
      </w:r>
      <w:r>
        <w:rPr>
          <w:rFonts w:hint="default" w:ascii="Times New Roman" w:hAnsi="Times New Roman" w:eastAsia="方正仿宋_GBK" w:cs="Times New Roman"/>
          <w:snapToGrid w:val="0"/>
          <w:color w:val="auto"/>
          <w:spacing w:val="11"/>
          <w:sz w:val="32"/>
          <w:szCs w:val="32"/>
          <w:lang w:eastAsia="zh-CN"/>
        </w:rPr>
        <w:t>初</w:t>
      </w:r>
      <w:r>
        <w:rPr>
          <w:rFonts w:hint="default" w:ascii="Times New Roman" w:hAnsi="Times New Roman" w:eastAsia="方正仿宋_GBK" w:cs="Times New Roman"/>
          <w:snapToGrid w:val="0"/>
          <w:color w:val="auto"/>
          <w:spacing w:val="11"/>
          <w:sz w:val="32"/>
          <w:szCs w:val="32"/>
        </w:rPr>
        <w:t>收入预算</w:t>
      </w:r>
      <w:r>
        <w:rPr>
          <w:rFonts w:hint="default" w:ascii="Times New Roman" w:hAnsi="Times New Roman" w:eastAsia="方正仿宋_GBK" w:cs="Times New Roman"/>
          <w:snapToGrid w:val="0"/>
          <w:color w:val="auto"/>
          <w:spacing w:val="11"/>
          <w:sz w:val="32"/>
          <w:szCs w:val="32"/>
          <w:lang w:val="en-US" w:eastAsia="zh-CN"/>
        </w:rPr>
        <w:t>337,464万元</w:t>
      </w:r>
      <w:r>
        <w:rPr>
          <w:rFonts w:hint="default" w:ascii="Times New Roman" w:hAnsi="Times New Roman" w:eastAsia="方正仿宋_GBK" w:cs="Times New Roman"/>
          <w:snapToGrid w:val="0"/>
          <w:color w:val="auto"/>
          <w:spacing w:val="11"/>
          <w:sz w:val="32"/>
          <w:szCs w:val="32"/>
        </w:rPr>
        <w:t>的</w:t>
      </w:r>
      <w:r>
        <w:rPr>
          <w:rFonts w:hint="default" w:ascii="Times New Roman" w:hAnsi="Times New Roman" w:eastAsia="方正仿宋_GBK" w:cs="Times New Roman"/>
          <w:snapToGrid w:val="0"/>
          <w:color w:val="auto"/>
          <w:spacing w:val="11"/>
          <w:sz w:val="32"/>
          <w:szCs w:val="32"/>
          <w:lang w:val="en-US" w:eastAsia="zh-CN"/>
        </w:rPr>
        <w:t>106.55</w:t>
      </w:r>
      <w:r>
        <w:rPr>
          <w:rFonts w:hint="default" w:ascii="Times New Roman" w:hAnsi="Times New Roman" w:eastAsia="方正仿宋_GBK" w:cs="Times New Roman"/>
          <w:b w:val="0"/>
          <w:bCs w:val="0"/>
          <w:snapToGrid w:val="0"/>
          <w:color w:val="auto"/>
          <w:spacing w:val="11"/>
          <w:sz w:val="32"/>
          <w:szCs w:val="32"/>
        </w:rPr>
        <w:t>%</w:t>
      </w:r>
      <w:r>
        <w:rPr>
          <w:rFonts w:hint="default" w:ascii="Times New Roman" w:hAnsi="Times New Roman" w:eastAsia="方正仿宋_GBK" w:cs="Times New Roman"/>
          <w:snapToGrid w:val="0"/>
          <w:color w:val="auto"/>
          <w:spacing w:val="11"/>
          <w:sz w:val="32"/>
          <w:szCs w:val="32"/>
        </w:rPr>
        <w:t>；总支出</w:t>
      </w:r>
      <w:r>
        <w:rPr>
          <w:rFonts w:hint="default" w:ascii="Times New Roman" w:hAnsi="Times New Roman" w:eastAsia="方正仿宋_GBK" w:cs="Times New Roman"/>
          <w:snapToGrid w:val="0"/>
          <w:color w:val="auto"/>
          <w:spacing w:val="11"/>
          <w:sz w:val="32"/>
          <w:szCs w:val="32"/>
          <w:lang w:val="en-US" w:eastAsia="zh-CN"/>
        </w:rPr>
        <w:t>315,047</w:t>
      </w:r>
      <w:r>
        <w:rPr>
          <w:rFonts w:hint="default" w:ascii="Times New Roman" w:hAnsi="Times New Roman" w:eastAsia="方正仿宋_GBK" w:cs="Times New Roman"/>
          <w:snapToGrid w:val="0"/>
          <w:color w:val="auto"/>
          <w:spacing w:val="11"/>
          <w:sz w:val="32"/>
          <w:szCs w:val="32"/>
        </w:rPr>
        <w:t>万元，完成20</w:t>
      </w:r>
      <w:r>
        <w:rPr>
          <w:rFonts w:hint="default" w:ascii="Times New Roman" w:hAnsi="Times New Roman" w:eastAsia="方正仿宋_GBK" w:cs="Times New Roman"/>
          <w:snapToGrid w:val="0"/>
          <w:color w:val="auto"/>
          <w:spacing w:val="11"/>
          <w:sz w:val="32"/>
          <w:szCs w:val="32"/>
          <w:lang w:val="en-US" w:eastAsia="zh-CN"/>
        </w:rPr>
        <w:t>22</w:t>
      </w:r>
      <w:r>
        <w:rPr>
          <w:rFonts w:hint="default" w:ascii="Times New Roman" w:hAnsi="Times New Roman" w:eastAsia="方正仿宋_GBK" w:cs="Times New Roman"/>
          <w:snapToGrid w:val="0"/>
          <w:color w:val="auto"/>
          <w:spacing w:val="11"/>
          <w:sz w:val="32"/>
          <w:szCs w:val="32"/>
        </w:rPr>
        <w:t>年</w:t>
      </w:r>
      <w:r>
        <w:rPr>
          <w:rFonts w:hint="default" w:ascii="Times New Roman" w:hAnsi="Times New Roman" w:eastAsia="方正仿宋_GBK" w:cs="Times New Roman"/>
          <w:snapToGrid w:val="0"/>
          <w:color w:val="auto"/>
          <w:spacing w:val="11"/>
          <w:sz w:val="32"/>
          <w:szCs w:val="32"/>
          <w:lang w:eastAsia="zh-CN"/>
        </w:rPr>
        <w:t>年初</w:t>
      </w:r>
      <w:r>
        <w:rPr>
          <w:rFonts w:hint="default" w:ascii="Times New Roman" w:hAnsi="Times New Roman" w:eastAsia="方正仿宋_GBK" w:cs="Times New Roman"/>
          <w:snapToGrid w:val="0"/>
          <w:color w:val="auto"/>
          <w:spacing w:val="11"/>
          <w:sz w:val="32"/>
          <w:szCs w:val="32"/>
        </w:rPr>
        <w:t>支出预算</w:t>
      </w:r>
      <w:r>
        <w:rPr>
          <w:rFonts w:hint="default" w:ascii="Times New Roman" w:hAnsi="Times New Roman" w:eastAsia="方正仿宋_GBK" w:cs="Times New Roman"/>
          <w:snapToGrid w:val="0"/>
          <w:color w:val="auto"/>
          <w:spacing w:val="11"/>
          <w:sz w:val="32"/>
          <w:szCs w:val="32"/>
          <w:lang w:val="en-US" w:eastAsia="zh-CN"/>
        </w:rPr>
        <w:t>333,493万元</w:t>
      </w:r>
      <w:r>
        <w:rPr>
          <w:rFonts w:hint="default" w:ascii="Times New Roman" w:hAnsi="Times New Roman" w:eastAsia="方正仿宋_GBK" w:cs="Times New Roman"/>
          <w:snapToGrid w:val="0"/>
          <w:color w:val="auto"/>
          <w:spacing w:val="11"/>
          <w:sz w:val="32"/>
          <w:szCs w:val="32"/>
        </w:rPr>
        <w:t>的</w:t>
      </w:r>
      <w:r>
        <w:rPr>
          <w:rFonts w:hint="default" w:ascii="Times New Roman" w:hAnsi="Times New Roman" w:eastAsia="方正仿宋_GBK" w:cs="Times New Roman"/>
          <w:snapToGrid w:val="0"/>
          <w:color w:val="auto"/>
          <w:spacing w:val="11"/>
          <w:sz w:val="32"/>
          <w:szCs w:val="32"/>
          <w:lang w:val="en-US" w:eastAsia="zh-CN"/>
        </w:rPr>
        <w:t>94.47</w:t>
      </w:r>
      <w:r>
        <w:rPr>
          <w:rFonts w:hint="default" w:ascii="Times New Roman" w:hAnsi="Times New Roman" w:eastAsia="方正仿宋_GBK" w:cs="Times New Roman"/>
          <w:snapToGrid w:val="0"/>
          <w:color w:val="auto"/>
          <w:spacing w:val="11"/>
          <w:sz w:val="32"/>
          <w:szCs w:val="32"/>
        </w:rPr>
        <w:t>%；当期结余</w:t>
      </w:r>
      <w:r>
        <w:rPr>
          <w:rFonts w:hint="default" w:ascii="Times New Roman" w:hAnsi="Times New Roman" w:eastAsia="方正仿宋_GBK" w:cs="Times New Roman"/>
          <w:snapToGrid w:val="0"/>
          <w:color w:val="auto"/>
          <w:spacing w:val="11"/>
          <w:sz w:val="32"/>
          <w:szCs w:val="32"/>
          <w:lang w:val="en-US" w:eastAsia="zh-CN"/>
        </w:rPr>
        <w:t>44,509</w:t>
      </w:r>
      <w:r>
        <w:rPr>
          <w:rFonts w:hint="default" w:ascii="Times New Roman" w:hAnsi="Times New Roman" w:eastAsia="方正仿宋_GBK" w:cs="Times New Roman"/>
          <w:snapToGrid w:val="0"/>
          <w:color w:val="auto"/>
          <w:spacing w:val="11"/>
          <w:sz w:val="32"/>
          <w:szCs w:val="32"/>
        </w:rPr>
        <w:t>万元，历年累计结余</w:t>
      </w:r>
      <w:r>
        <w:rPr>
          <w:rFonts w:hint="default" w:ascii="Times New Roman" w:hAnsi="Times New Roman" w:eastAsia="方正仿宋_GBK" w:cs="Times New Roman"/>
          <w:snapToGrid w:val="0"/>
          <w:color w:val="auto"/>
          <w:spacing w:val="11"/>
          <w:sz w:val="32"/>
          <w:szCs w:val="32"/>
          <w:lang w:val="en-US" w:eastAsia="zh-CN"/>
        </w:rPr>
        <w:t>270,361</w:t>
      </w:r>
      <w:r>
        <w:rPr>
          <w:rFonts w:hint="default" w:ascii="Times New Roman" w:hAnsi="Times New Roman" w:eastAsia="方正仿宋_GBK" w:cs="Times New Roman"/>
          <w:snapToGrid w:val="0"/>
          <w:color w:val="auto"/>
          <w:spacing w:val="11"/>
          <w:sz w:val="32"/>
          <w:szCs w:val="32"/>
        </w:rPr>
        <w:t>万元</w:t>
      </w:r>
      <w:r>
        <w:rPr>
          <w:rFonts w:hint="default" w:ascii="Times New Roman" w:hAnsi="Times New Roman" w:eastAsia="方正仿宋_GBK" w:cs="Times New Roman"/>
          <w:snapToGrid w:val="0"/>
          <w:color w:val="auto"/>
          <w:spacing w:val="11"/>
          <w:sz w:val="32"/>
          <w:szCs w:val="32"/>
          <w:lang w:eastAsia="zh-CN"/>
        </w:rPr>
        <w:t>。</w:t>
      </w:r>
    </w:p>
    <w:p>
      <w:pPr>
        <w:keepNext w:val="0"/>
        <w:keepLines w:val="0"/>
        <w:pageBreakBefore w:val="0"/>
        <w:widowControl w:val="0"/>
        <w:kinsoku/>
        <w:wordWrap/>
        <w:overflowPunct/>
        <w:topLinePunct w:val="0"/>
        <w:bidi w:val="0"/>
        <w:snapToGrid/>
        <w:spacing w:line="578" w:lineRule="exact"/>
        <w:ind w:firstLine="684" w:firstLineChars="200"/>
        <w:textAlignment w:val="auto"/>
        <w:rPr>
          <w:rFonts w:hint="default" w:ascii="方正黑体_GBK" w:hAnsi="方正黑体_GBK" w:eastAsia="方正黑体_GBK" w:cs="方正黑体_GBK"/>
          <w:b w:val="0"/>
          <w:bCs/>
          <w:snapToGrid w:val="0"/>
          <w:color w:val="auto"/>
          <w:spacing w:val="11"/>
          <w:kern w:val="0"/>
          <w:sz w:val="32"/>
          <w:szCs w:val="32"/>
          <w:lang w:eastAsia="zh-CN"/>
        </w:rPr>
      </w:pPr>
      <w:r>
        <w:rPr>
          <w:rFonts w:hint="default" w:ascii="方正黑体_GBK" w:hAnsi="方正黑体_GBK" w:eastAsia="方正黑体_GBK" w:cs="方正黑体_GBK"/>
          <w:b w:val="0"/>
          <w:bCs/>
          <w:snapToGrid w:val="0"/>
          <w:color w:val="auto"/>
          <w:spacing w:val="11"/>
          <w:kern w:val="0"/>
          <w:sz w:val="32"/>
          <w:szCs w:val="32"/>
          <w:lang w:eastAsia="zh-CN"/>
        </w:rPr>
        <w:t>二、202</w:t>
      </w:r>
      <w:r>
        <w:rPr>
          <w:rFonts w:hint="default" w:ascii="方正黑体_GBK" w:hAnsi="方正黑体_GBK" w:eastAsia="方正黑体_GBK" w:cs="方正黑体_GBK"/>
          <w:b w:val="0"/>
          <w:bCs/>
          <w:snapToGrid w:val="0"/>
          <w:color w:val="auto"/>
          <w:spacing w:val="11"/>
          <w:kern w:val="0"/>
          <w:sz w:val="32"/>
          <w:szCs w:val="32"/>
          <w:lang w:val="en-US" w:eastAsia="zh-CN"/>
        </w:rPr>
        <w:t>2</w:t>
      </w:r>
      <w:r>
        <w:rPr>
          <w:rFonts w:hint="default" w:ascii="方正黑体_GBK" w:hAnsi="方正黑体_GBK" w:eastAsia="方正黑体_GBK" w:cs="方正黑体_GBK"/>
          <w:b w:val="0"/>
          <w:bCs/>
          <w:snapToGrid w:val="0"/>
          <w:color w:val="auto"/>
          <w:spacing w:val="11"/>
          <w:kern w:val="0"/>
          <w:sz w:val="32"/>
          <w:szCs w:val="32"/>
          <w:lang w:eastAsia="zh-CN"/>
        </w:rPr>
        <w:t>年社会保险基金预算调整情况</w:t>
      </w:r>
    </w:p>
    <w:p>
      <w:pPr>
        <w:keepNext w:val="0"/>
        <w:keepLines w:val="0"/>
        <w:pageBreakBefore w:val="0"/>
        <w:widowControl w:val="0"/>
        <w:kinsoku/>
        <w:wordWrap/>
        <w:overflowPunct/>
        <w:topLinePunct w:val="0"/>
        <w:bidi w:val="0"/>
        <w:snapToGrid/>
        <w:spacing w:line="578" w:lineRule="exact"/>
        <w:ind w:firstLine="684" w:firstLineChars="200"/>
        <w:textAlignment w:val="auto"/>
        <w:rPr>
          <w:rFonts w:hint="default" w:ascii="Times New Roman" w:hAnsi="Times New Roman" w:eastAsia="方正仿宋_GBK" w:cs="Times New Roman"/>
          <w:snapToGrid w:val="0"/>
          <w:color w:val="auto"/>
          <w:spacing w:val="11"/>
          <w:sz w:val="32"/>
          <w:szCs w:val="32"/>
        </w:rPr>
      </w:pPr>
      <w:r>
        <w:rPr>
          <w:rFonts w:hint="default" w:ascii="Times New Roman" w:hAnsi="Times New Roman" w:eastAsia="方正仿宋_GBK" w:cs="Times New Roman"/>
          <w:snapToGrid w:val="0"/>
          <w:color w:val="auto"/>
          <w:spacing w:val="11"/>
          <w:sz w:val="32"/>
          <w:szCs w:val="32"/>
          <w:lang w:eastAsia="zh-CN"/>
        </w:rPr>
        <w:t>江海区</w:t>
      </w:r>
      <w:r>
        <w:rPr>
          <w:rFonts w:hint="default" w:ascii="Times New Roman" w:hAnsi="Times New Roman" w:eastAsia="方正仿宋_GBK" w:cs="Times New Roman"/>
          <w:snapToGrid w:val="0"/>
          <w:color w:val="auto"/>
          <w:spacing w:val="11"/>
          <w:sz w:val="32"/>
          <w:szCs w:val="32"/>
          <w:lang w:val="en-US" w:eastAsia="zh-CN"/>
        </w:rPr>
        <w:t>五</w:t>
      </w:r>
      <w:r>
        <w:rPr>
          <w:rFonts w:hint="default" w:ascii="Times New Roman" w:hAnsi="Times New Roman" w:eastAsia="方正仿宋_GBK" w:cs="Times New Roman"/>
          <w:snapToGrid w:val="0"/>
          <w:color w:val="auto"/>
          <w:spacing w:val="11"/>
          <w:sz w:val="32"/>
          <w:szCs w:val="32"/>
        </w:rPr>
        <w:t>项</w:t>
      </w:r>
      <w:r>
        <w:rPr>
          <w:rFonts w:hint="default" w:ascii="Times New Roman" w:hAnsi="Times New Roman" w:eastAsia="方正仿宋_GBK" w:cs="Times New Roman"/>
          <w:snapToGrid w:val="0"/>
          <w:color w:val="auto"/>
          <w:spacing w:val="11"/>
          <w:kern w:val="0"/>
          <w:sz w:val="32"/>
          <w:szCs w:val="32"/>
        </w:rPr>
        <w:t>社会保险</w:t>
      </w:r>
      <w:r>
        <w:rPr>
          <w:rFonts w:hint="default" w:ascii="Times New Roman" w:hAnsi="Times New Roman" w:eastAsia="方正仿宋_GBK" w:cs="Times New Roman"/>
          <w:snapToGrid w:val="0"/>
          <w:color w:val="auto"/>
          <w:spacing w:val="11"/>
          <w:sz w:val="32"/>
          <w:szCs w:val="32"/>
        </w:rPr>
        <w:t>基金</w:t>
      </w:r>
      <w:r>
        <w:rPr>
          <w:rFonts w:hint="default" w:ascii="Times New Roman" w:hAnsi="Times New Roman" w:eastAsia="方正仿宋_GBK" w:cs="Times New Roman"/>
          <w:snapToGrid w:val="0"/>
          <w:color w:val="auto"/>
          <w:spacing w:val="11"/>
          <w:kern w:val="0"/>
          <w:sz w:val="32"/>
          <w:szCs w:val="32"/>
        </w:rPr>
        <w:t>（</w:t>
      </w:r>
      <w:r>
        <w:rPr>
          <w:rFonts w:hint="default" w:ascii="Times New Roman" w:hAnsi="Times New Roman" w:eastAsia="方正仿宋_GBK" w:cs="Times New Roman"/>
          <w:snapToGrid w:val="0"/>
          <w:color w:val="auto"/>
          <w:spacing w:val="11"/>
          <w:sz w:val="32"/>
          <w:szCs w:val="32"/>
        </w:rPr>
        <w:t>包括机关事业单位基本养老保险</w:t>
      </w:r>
      <w:r>
        <w:rPr>
          <w:rFonts w:hint="default" w:ascii="Times New Roman" w:hAnsi="Times New Roman" w:eastAsia="方正仿宋_GBK" w:cs="Times New Roman"/>
          <w:snapToGrid w:val="0"/>
          <w:color w:val="auto"/>
          <w:spacing w:val="11"/>
          <w:sz w:val="32"/>
          <w:szCs w:val="32"/>
          <w:lang w:eastAsia="zh-CN"/>
        </w:rPr>
        <w:t>、企业职工基本养老保险、</w:t>
      </w:r>
      <w:r>
        <w:rPr>
          <w:rFonts w:hint="default" w:ascii="Times New Roman" w:hAnsi="Times New Roman" w:eastAsia="方正仿宋_GBK" w:cs="Times New Roman"/>
          <w:snapToGrid w:val="0"/>
          <w:color w:val="auto"/>
          <w:spacing w:val="11"/>
          <w:sz w:val="32"/>
          <w:szCs w:val="32"/>
        </w:rPr>
        <w:t>失业保险</w:t>
      </w:r>
      <w:r>
        <w:rPr>
          <w:rFonts w:hint="default" w:ascii="Times New Roman" w:hAnsi="Times New Roman" w:eastAsia="方正仿宋_GBK" w:cs="Times New Roman"/>
          <w:snapToGrid w:val="0"/>
          <w:color w:val="auto"/>
          <w:spacing w:val="11"/>
          <w:sz w:val="32"/>
          <w:szCs w:val="32"/>
          <w:lang w:eastAsia="zh-CN"/>
        </w:rPr>
        <w:t>、</w:t>
      </w:r>
      <w:r>
        <w:rPr>
          <w:rFonts w:hint="default" w:ascii="Times New Roman" w:hAnsi="Times New Roman" w:eastAsia="方正仿宋_GBK" w:cs="Times New Roman"/>
          <w:b w:val="0"/>
          <w:bCs/>
          <w:snapToGrid w:val="0"/>
          <w:color w:val="auto"/>
          <w:spacing w:val="11"/>
          <w:kern w:val="0"/>
          <w:sz w:val="32"/>
          <w:szCs w:val="32"/>
          <w:lang w:eastAsia="zh-CN"/>
        </w:rPr>
        <w:t>工伤保险、城镇职工基本医疗保险（含生育保险）</w:t>
      </w:r>
      <w:r>
        <w:rPr>
          <w:rFonts w:hint="default" w:ascii="Times New Roman" w:hAnsi="Times New Roman" w:eastAsia="方正仿宋_GBK" w:cs="Times New Roman"/>
          <w:snapToGrid w:val="0"/>
          <w:color w:val="auto"/>
          <w:spacing w:val="11"/>
          <w:sz w:val="32"/>
          <w:szCs w:val="32"/>
        </w:rPr>
        <w:t>）调整后预算</w:t>
      </w:r>
      <w:r>
        <w:rPr>
          <w:rFonts w:hint="default" w:ascii="Times New Roman" w:hAnsi="Times New Roman" w:eastAsia="方正仿宋_GBK" w:cs="Times New Roman"/>
          <w:snapToGrid w:val="0"/>
          <w:color w:val="auto"/>
          <w:spacing w:val="11"/>
          <w:sz w:val="32"/>
          <w:szCs w:val="32"/>
          <w:lang w:eastAsia="zh-CN"/>
        </w:rPr>
        <w:t>总</w:t>
      </w:r>
      <w:r>
        <w:rPr>
          <w:rFonts w:hint="default" w:ascii="Times New Roman" w:hAnsi="Times New Roman" w:eastAsia="方正仿宋_GBK" w:cs="Times New Roman"/>
          <w:snapToGrid w:val="0"/>
          <w:color w:val="auto"/>
          <w:spacing w:val="11"/>
          <w:sz w:val="32"/>
          <w:szCs w:val="32"/>
        </w:rPr>
        <w:t>收入</w:t>
      </w:r>
      <w:r>
        <w:rPr>
          <w:rFonts w:hint="default" w:ascii="Times New Roman" w:hAnsi="Times New Roman" w:eastAsia="方正仿宋_GBK" w:cs="Times New Roman"/>
          <w:snapToGrid w:val="0"/>
          <w:color w:val="auto"/>
          <w:spacing w:val="11"/>
          <w:sz w:val="32"/>
          <w:szCs w:val="32"/>
          <w:lang w:val="en-US" w:eastAsia="zh-CN"/>
        </w:rPr>
        <w:t>374,609</w:t>
      </w:r>
      <w:r>
        <w:rPr>
          <w:rFonts w:hint="default" w:ascii="Times New Roman" w:hAnsi="Times New Roman" w:eastAsia="方正仿宋_GBK" w:cs="Times New Roman"/>
          <w:snapToGrid w:val="0"/>
          <w:color w:val="auto"/>
          <w:spacing w:val="11"/>
          <w:sz w:val="32"/>
          <w:szCs w:val="32"/>
        </w:rPr>
        <w:t>万元，较年初预算调</w:t>
      </w:r>
      <w:r>
        <w:rPr>
          <w:rFonts w:hint="default" w:ascii="Times New Roman" w:hAnsi="Times New Roman" w:eastAsia="方正仿宋_GBK" w:cs="Times New Roman"/>
          <w:snapToGrid w:val="0"/>
          <w:color w:val="auto"/>
          <w:spacing w:val="11"/>
          <w:sz w:val="32"/>
          <w:szCs w:val="32"/>
          <w:lang w:eastAsia="zh-CN"/>
        </w:rPr>
        <w:t>增</w:t>
      </w:r>
      <w:r>
        <w:rPr>
          <w:rFonts w:hint="default" w:ascii="Times New Roman" w:hAnsi="Times New Roman" w:eastAsia="方正仿宋_GBK" w:cs="Times New Roman"/>
          <w:snapToGrid w:val="0"/>
          <w:color w:val="auto"/>
          <w:spacing w:val="11"/>
          <w:sz w:val="32"/>
          <w:szCs w:val="32"/>
          <w:lang w:val="en-US" w:eastAsia="zh-CN"/>
        </w:rPr>
        <w:t>37,145</w:t>
      </w:r>
      <w:r>
        <w:rPr>
          <w:rFonts w:hint="default" w:ascii="Times New Roman" w:hAnsi="Times New Roman" w:eastAsia="方正仿宋_GBK" w:cs="Times New Roman"/>
          <w:snapToGrid w:val="0"/>
          <w:color w:val="auto"/>
          <w:spacing w:val="11"/>
          <w:sz w:val="32"/>
          <w:szCs w:val="32"/>
        </w:rPr>
        <w:t>万元，增幅为</w:t>
      </w:r>
      <w:r>
        <w:rPr>
          <w:rFonts w:hint="default" w:ascii="Times New Roman" w:hAnsi="Times New Roman" w:eastAsia="方正仿宋_GBK" w:cs="Times New Roman"/>
          <w:snapToGrid w:val="0"/>
          <w:color w:val="auto"/>
          <w:spacing w:val="11"/>
          <w:sz w:val="32"/>
          <w:szCs w:val="32"/>
          <w:lang w:val="en-US" w:eastAsia="zh-CN"/>
        </w:rPr>
        <w:t>11.01</w:t>
      </w:r>
      <w:r>
        <w:rPr>
          <w:rFonts w:hint="default" w:ascii="Times New Roman" w:hAnsi="Times New Roman" w:eastAsia="方正仿宋_GBK" w:cs="Times New Roman"/>
          <w:snapToGrid w:val="0"/>
          <w:color w:val="auto"/>
          <w:spacing w:val="11"/>
          <w:sz w:val="32"/>
          <w:szCs w:val="32"/>
        </w:rPr>
        <w:t>%</w:t>
      </w:r>
      <w:r>
        <w:rPr>
          <w:rFonts w:hint="default" w:ascii="Times New Roman" w:hAnsi="Times New Roman" w:eastAsia="方正仿宋_GBK" w:cs="Times New Roman"/>
          <w:snapToGrid w:val="0"/>
          <w:color w:val="auto"/>
          <w:spacing w:val="11"/>
          <w:sz w:val="32"/>
          <w:szCs w:val="32"/>
          <w:lang w:eastAsia="zh-CN"/>
        </w:rPr>
        <w:t>，</w:t>
      </w:r>
      <w:r>
        <w:rPr>
          <w:rFonts w:hint="default" w:ascii="Times New Roman" w:hAnsi="Times New Roman" w:eastAsia="方正仿宋_GBK" w:cs="Times New Roman"/>
          <w:snapToGrid w:val="0"/>
          <w:color w:val="auto"/>
          <w:spacing w:val="11"/>
          <w:sz w:val="32"/>
          <w:szCs w:val="32"/>
        </w:rPr>
        <w:t>其中调整后预算征收收入</w:t>
      </w:r>
      <w:r>
        <w:rPr>
          <w:rFonts w:hint="default" w:ascii="Times New Roman" w:hAnsi="Times New Roman" w:eastAsia="方正仿宋_GBK" w:cs="Times New Roman"/>
          <w:snapToGrid w:val="0"/>
          <w:color w:val="auto"/>
          <w:spacing w:val="11"/>
          <w:sz w:val="32"/>
          <w:szCs w:val="32"/>
          <w:lang w:val="en-US" w:eastAsia="zh-CN"/>
        </w:rPr>
        <w:t>236,486万</w:t>
      </w:r>
      <w:r>
        <w:rPr>
          <w:rFonts w:hint="default" w:ascii="Times New Roman" w:hAnsi="Times New Roman" w:eastAsia="方正仿宋_GBK" w:cs="Times New Roman"/>
          <w:snapToGrid w:val="0"/>
          <w:color w:val="auto"/>
          <w:spacing w:val="11"/>
          <w:sz w:val="32"/>
          <w:szCs w:val="32"/>
        </w:rPr>
        <w:t>元，调增</w:t>
      </w:r>
      <w:r>
        <w:rPr>
          <w:rFonts w:hint="default" w:ascii="Times New Roman" w:hAnsi="Times New Roman" w:eastAsia="方正仿宋_GBK" w:cs="Times New Roman"/>
          <w:snapToGrid w:val="0"/>
          <w:color w:val="auto"/>
          <w:spacing w:val="11"/>
          <w:sz w:val="32"/>
          <w:szCs w:val="32"/>
          <w:lang w:val="en-US" w:eastAsia="zh-CN"/>
        </w:rPr>
        <w:t>23,245</w:t>
      </w:r>
      <w:r>
        <w:rPr>
          <w:rFonts w:hint="default" w:ascii="Times New Roman" w:hAnsi="Times New Roman" w:eastAsia="方正仿宋_GBK" w:cs="Times New Roman"/>
          <w:snapToGrid w:val="0"/>
          <w:color w:val="auto"/>
          <w:spacing w:val="11"/>
          <w:sz w:val="32"/>
          <w:szCs w:val="32"/>
        </w:rPr>
        <w:t>万元，增幅为</w:t>
      </w:r>
      <w:r>
        <w:rPr>
          <w:rFonts w:hint="default" w:ascii="Times New Roman" w:hAnsi="Times New Roman" w:eastAsia="方正仿宋_GBK" w:cs="Times New Roman"/>
          <w:snapToGrid w:val="0"/>
          <w:color w:val="auto"/>
          <w:spacing w:val="11"/>
          <w:sz w:val="32"/>
          <w:szCs w:val="32"/>
          <w:lang w:val="en-US" w:eastAsia="zh-CN"/>
        </w:rPr>
        <w:t>10.9</w:t>
      </w:r>
      <w:r>
        <w:rPr>
          <w:rFonts w:hint="default" w:ascii="Times New Roman" w:hAnsi="Times New Roman" w:eastAsia="方正仿宋_GBK" w:cs="Times New Roman"/>
          <w:snapToGrid w:val="0"/>
          <w:color w:val="auto"/>
          <w:spacing w:val="11"/>
          <w:sz w:val="32"/>
          <w:szCs w:val="32"/>
        </w:rPr>
        <w:t>%</w:t>
      </w:r>
      <w:r>
        <w:rPr>
          <w:rFonts w:hint="default" w:ascii="Times New Roman" w:hAnsi="Times New Roman" w:eastAsia="方正仿宋_GBK" w:cs="Times New Roman"/>
          <w:snapToGrid w:val="0"/>
          <w:color w:val="auto"/>
          <w:spacing w:val="11"/>
          <w:sz w:val="32"/>
          <w:szCs w:val="32"/>
          <w:lang w:eastAsia="zh-CN"/>
        </w:rPr>
        <w:t>；</w:t>
      </w:r>
      <w:r>
        <w:rPr>
          <w:rFonts w:hint="default" w:ascii="Times New Roman" w:hAnsi="Times New Roman" w:eastAsia="方正仿宋_GBK" w:cs="Times New Roman"/>
          <w:snapToGrid w:val="0"/>
          <w:color w:val="auto"/>
          <w:spacing w:val="11"/>
          <w:sz w:val="32"/>
          <w:szCs w:val="32"/>
          <w:lang w:val="en-US" w:eastAsia="zh-CN"/>
        </w:rPr>
        <w:t>五</w:t>
      </w:r>
      <w:r>
        <w:rPr>
          <w:rFonts w:hint="default" w:ascii="Times New Roman" w:hAnsi="Times New Roman" w:eastAsia="方正仿宋_GBK" w:cs="Times New Roman"/>
          <w:snapToGrid w:val="0"/>
          <w:color w:val="auto"/>
          <w:spacing w:val="11"/>
          <w:sz w:val="32"/>
          <w:szCs w:val="32"/>
        </w:rPr>
        <w:t>项社保基金调整后预算支出</w:t>
      </w:r>
      <w:r>
        <w:rPr>
          <w:rFonts w:hint="default" w:ascii="Times New Roman" w:hAnsi="Times New Roman" w:eastAsia="方正仿宋_GBK" w:cs="Times New Roman"/>
          <w:snapToGrid w:val="0"/>
          <w:color w:val="auto"/>
          <w:spacing w:val="11"/>
          <w:sz w:val="32"/>
          <w:szCs w:val="32"/>
          <w:lang w:val="en-US" w:eastAsia="zh-CN"/>
        </w:rPr>
        <w:t>359,139</w:t>
      </w:r>
      <w:r>
        <w:rPr>
          <w:rFonts w:hint="default" w:ascii="Times New Roman" w:hAnsi="Times New Roman" w:eastAsia="方正仿宋_GBK" w:cs="Times New Roman"/>
          <w:snapToGrid w:val="0"/>
          <w:color w:val="auto"/>
          <w:spacing w:val="11"/>
          <w:sz w:val="32"/>
          <w:szCs w:val="32"/>
        </w:rPr>
        <w:t>万元，较年初预算调增</w:t>
      </w:r>
      <w:r>
        <w:rPr>
          <w:rFonts w:hint="default" w:ascii="Times New Roman" w:hAnsi="Times New Roman" w:eastAsia="方正仿宋_GBK" w:cs="Times New Roman"/>
          <w:snapToGrid w:val="0"/>
          <w:color w:val="auto"/>
          <w:spacing w:val="11"/>
          <w:sz w:val="32"/>
          <w:szCs w:val="32"/>
          <w:lang w:val="en-US" w:eastAsia="zh-CN"/>
        </w:rPr>
        <w:t>25,646</w:t>
      </w:r>
      <w:r>
        <w:rPr>
          <w:rFonts w:hint="default" w:ascii="Times New Roman" w:hAnsi="Times New Roman" w:eastAsia="方正仿宋_GBK" w:cs="Times New Roman"/>
          <w:snapToGrid w:val="0"/>
          <w:color w:val="auto"/>
          <w:spacing w:val="11"/>
          <w:sz w:val="32"/>
          <w:szCs w:val="32"/>
        </w:rPr>
        <w:t>万元，增幅为</w:t>
      </w:r>
      <w:r>
        <w:rPr>
          <w:rFonts w:hint="default" w:ascii="Times New Roman" w:hAnsi="Times New Roman" w:eastAsia="方正仿宋_GBK" w:cs="Times New Roman"/>
          <w:snapToGrid w:val="0"/>
          <w:color w:val="auto"/>
          <w:spacing w:val="11"/>
          <w:sz w:val="32"/>
          <w:szCs w:val="32"/>
          <w:lang w:val="en-US" w:eastAsia="zh-CN"/>
        </w:rPr>
        <w:t>7.69</w:t>
      </w:r>
      <w:r>
        <w:rPr>
          <w:rFonts w:hint="default" w:ascii="Times New Roman" w:hAnsi="Times New Roman" w:eastAsia="方正仿宋_GBK" w:cs="Times New Roman"/>
          <w:snapToGrid w:val="0"/>
          <w:color w:val="auto"/>
          <w:spacing w:val="11"/>
          <w:sz w:val="32"/>
          <w:szCs w:val="32"/>
        </w:rPr>
        <w:t>%；当期结余</w:t>
      </w:r>
      <w:r>
        <w:rPr>
          <w:rFonts w:hint="default" w:ascii="Times New Roman" w:hAnsi="Times New Roman" w:eastAsia="方正仿宋_GBK" w:cs="Times New Roman"/>
          <w:snapToGrid w:val="0"/>
          <w:color w:val="auto"/>
          <w:spacing w:val="11"/>
          <w:sz w:val="32"/>
          <w:szCs w:val="32"/>
          <w:lang w:val="en-US" w:eastAsia="zh-CN"/>
        </w:rPr>
        <w:t>15,470</w:t>
      </w:r>
      <w:r>
        <w:rPr>
          <w:rFonts w:hint="default" w:ascii="Times New Roman" w:hAnsi="Times New Roman" w:eastAsia="方正仿宋_GBK" w:cs="Times New Roman"/>
          <w:snapToGrid w:val="0"/>
          <w:color w:val="auto"/>
          <w:spacing w:val="11"/>
          <w:sz w:val="32"/>
          <w:szCs w:val="32"/>
        </w:rPr>
        <w:t>万元</w:t>
      </w:r>
      <w:r>
        <w:rPr>
          <w:rFonts w:hint="default" w:ascii="Times New Roman" w:hAnsi="Times New Roman" w:eastAsia="方正仿宋_GBK" w:cs="Times New Roman"/>
          <w:snapToGrid w:val="0"/>
          <w:color w:val="auto"/>
          <w:spacing w:val="11"/>
          <w:sz w:val="32"/>
          <w:szCs w:val="32"/>
          <w:lang w:eastAsia="zh-CN"/>
        </w:rPr>
        <w:t>，</w:t>
      </w:r>
      <w:r>
        <w:rPr>
          <w:rFonts w:hint="default" w:ascii="Times New Roman" w:hAnsi="Times New Roman" w:eastAsia="方正仿宋_GBK" w:cs="Times New Roman"/>
          <w:snapToGrid w:val="0"/>
          <w:color w:val="auto"/>
          <w:spacing w:val="11"/>
          <w:sz w:val="32"/>
          <w:szCs w:val="32"/>
        </w:rPr>
        <w:t>历年累计结余</w:t>
      </w:r>
      <w:r>
        <w:rPr>
          <w:rFonts w:hint="default" w:ascii="Times New Roman" w:hAnsi="Times New Roman" w:eastAsia="方正仿宋_GBK" w:cs="Times New Roman"/>
          <w:snapToGrid w:val="0"/>
          <w:color w:val="auto"/>
          <w:spacing w:val="11"/>
          <w:sz w:val="32"/>
          <w:szCs w:val="32"/>
          <w:lang w:val="en-US" w:eastAsia="zh-CN"/>
        </w:rPr>
        <w:t>242</w:t>
      </w:r>
      <w:r>
        <w:rPr>
          <w:rFonts w:hint="default" w:ascii="Times New Roman" w:hAnsi="Times New Roman" w:eastAsia="方正仿宋_GBK" w:cs="Times New Roman"/>
          <w:snapToGrid w:val="0"/>
          <w:color w:val="auto"/>
          <w:spacing w:val="11"/>
          <w:sz w:val="32"/>
          <w:szCs w:val="32"/>
        </w:rPr>
        <w:t>,</w:t>
      </w:r>
      <w:r>
        <w:rPr>
          <w:rFonts w:hint="default" w:ascii="Times New Roman" w:hAnsi="Times New Roman" w:eastAsia="方正仿宋_GBK" w:cs="Times New Roman"/>
          <w:snapToGrid w:val="0"/>
          <w:color w:val="auto"/>
          <w:spacing w:val="11"/>
          <w:sz w:val="32"/>
          <w:szCs w:val="32"/>
          <w:lang w:val="en-US" w:eastAsia="zh-CN"/>
        </w:rPr>
        <w:t>446</w:t>
      </w:r>
      <w:r>
        <w:rPr>
          <w:rFonts w:hint="default" w:ascii="Times New Roman" w:hAnsi="Times New Roman" w:eastAsia="方正仿宋_GBK" w:cs="Times New Roman"/>
          <w:snapToGrid w:val="0"/>
          <w:color w:val="auto"/>
          <w:spacing w:val="11"/>
          <w:sz w:val="32"/>
          <w:szCs w:val="32"/>
        </w:rPr>
        <w:t>万元。</w:t>
      </w:r>
    </w:p>
    <w:p>
      <w:pPr>
        <w:keepNext w:val="0"/>
        <w:keepLines w:val="0"/>
        <w:pageBreakBefore w:val="0"/>
        <w:widowControl w:val="0"/>
        <w:kinsoku/>
        <w:wordWrap/>
        <w:overflowPunct/>
        <w:topLinePunct w:val="0"/>
        <w:autoSpaceDE w:val="0"/>
        <w:autoSpaceDN w:val="0"/>
        <w:bidi w:val="0"/>
        <w:adjustRightInd w:val="0"/>
        <w:snapToGrid/>
        <w:spacing w:line="578" w:lineRule="exact"/>
        <w:ind w:firstLine="684" w:firstLineChars="200"/>
        <w:textAlignment w:val="auto"/>
        <w:rPr>
          <w:rFonts w:hint="eastAsia" w:ascii="方正楷体_GBK" w:hAnsi="方正楷体_GBK" w:eastAsia="方正楷体_GBK" w:cs="方正楷体_GBK"/>
          <w:b/>
          <w:snapToGrid w:val="0"/>
          <w:color w:val="auto"/>
          <w:spacing w:val="11"/>
          <w:sz w:val="32"/>
          <w:szCs w:val="32"/>
        </w:rPr>
      </w:pPr>
      <w:r>
        <w:rPr>
          <w:rFonts w:hint="eastAsia" w:ascii="方正楷体_GBK" w:hAnsi="方正楷体_GBK" w:eastAsia="方正楷体_GBK" w:cs="方正楷体_GBK"/>
          <w:b w:val="0"/>
          <w:bCs/>
          <w:snapToGrid w:val="0"/>
          <w:color w:val="auto"/>
          <w:spacing w:val="11"/>
          <w:sz w:val="32"/>
          <w:szCs w:val="32"/>
        </w:rPr>
        <w:t>（</w:t>
      </w:r>
      <w:r>
        <w:rPr>
          <w:rFonts w:hint="eastAsia" w:ascii="方正楷体_GBK" w:hAnsi="方正楷体_GBK" w:eastAsia="方正楷体_GBK" w:cs="方正楷体_GBK"/>
          <w:b w:val="0"/>
          <w:bCs/>
          <w:snapToGrid w:val="0"/>
          <w:color w:val="auto"/>
          <w:spacing w:val="11"/>
          <w:sz w:val="32"/>
          <w:szCs w:val="32"/>
          <w:lang w:eastAsia="zh-CN"/>
        </w:rPr>
        <w:t>一</w:t>
      </w:r>
      <w:r>
        <w:rPr>
          <w:rFonts w:hint="eastAsia" w:ascii="方正楷体_GBK" w:hAnsi="方正楷体_GBK" w:eastAsia="方正楷体_GBK" w:cs="方正楷体_GBK"/>
          <w:b w:val="0"/>
          <w:bCs/>
          <w:snapToGrid w:val="0"/>
          <w:color w:val="auto"/>
          <w:spacing w:val="11"/>
          <w:sz w:val="32"/>
          <w:szCs w:val="32"/>
        </w:rPr>
        <w:t>）机关事业单位</w:t>
      </w:r>
      <w:r>
        <w:rPr>
          <w:rFonts w:hint="eastAsia" w:ascii="方正楷体_GBK" w:hAnsi="方正楷体_GBK" w:eastAsia="方正楷体_GBK" w:cs="方正楷体_GBK"/>
          <w:b w:val="0"/>
          <w:bCs/>
          <w:snapToGrid w:val="0"/>
          <w:color w:val="auto"/>
          <w:spacing w:val="11"/>
          <w:sz w:val="32"/>
          <w:szCs w:val="32"/>
          <w:lang w:eastAsia="zh-CN"/>
        </w:rPr>
        <w:t>基本</w:t>
      </w:r>
      <w:r>
        <w:rPr>
          <w:rFonts w:hint="eastAsia" w:ascii="方正楷体_GBK" w:hAnsi="方正楷体_GBK" w:eastAsia="方正楷体_GBK" w:cs="方正楷体_GBK"/>
          <w:b w:val="0"/>
          <w:bCs/>
          <w:snapToGrid w:val="0"/>
          <w:color w:val="auto"/>
          <w:spacing w:val="11"/>
          <w:sz w:val="32"/>
          <w:szCs w:val="32"/>
        </w:rPr>
        <w:t>养老保险</w:t>
      </w:r>
    </w:p>
    <w:p>
      <w:pPr>
        <w:keepNext w:val="0"/>
        <w:keepLines w:val="0"/>
        <w:pageBreakBefore w:val="0"/>
        <w:widowControl w:val="0"/>
        <w:kinsoku/>
        <w:wordWrap/>
        <w:overflowPunct/>
        <w:topLinePunct w:val="0"/>
        <w:autoSpaceDE w:val="0"/>
        <w:autoSpaceDN w:val="0"/>
        <w:bidi w:val="0"/>
        <w:adjustRightInd w:val="0"/>
        <w:snapToGrid/>
        <w:spacing w:line="578" w:lineRule="exact"/>
        <w:ind w:firstLine="684" w:firstLineChars="200"/>
        <w:textAlignment w:val="auto"/>
        <w:rPr>
          <w:rFonts w:hint="default" w:ascii="Times New Roman" w:hAnsi="Times New Roman" w:eastAsia="方正仿宋_GBK" w:cs="Times New Roman"/>
          <w:snapToGrid w:val="0"/>
          <w:color w:val="auto"/>
          <w:spacing w:val="11"/>
          <w:sz w:val="32"/>
          <w:szCs w:val="32"/>
        </w:rPr>
      </w:pPr>
      <w:r>
        <w:rPr>
          <w:rFonts w:hint="default" w:ascii="Times New Roman" w:hAnsi="Times New Roman" w:eastAsia="方正仿宋_GBK" w:cs="Times New Roman"/>
          <w:snapToGrid w:val="0"/>
          <w:color w:val="auto"/>
          <w:spacing w:val="11"/>
          <w:sz w:val="32"/>
          <w:szCs w:val="32"/>
          <w:lang w:eastAsia="zh-CN"/>
        </w:rPr>
        <w:t>机关事业单位基本养老保险基金</w:t>
      </w:r>
      <w:r>
        <w:rPr>
          <w:rFonts w:hint="default" w:ascii="Times New Roman" w:hAnsi="Times New Roman" w:eastAsia="方正仿宋_GBK" w:cs="Times New Roman"/>
          <w:snapToGrid w:val="0"/>
          <w:color w:val="auto"/>
          <w:spacing w:val="11"/>
          <w:sz w:val="32"/>
          <w:szCs w:val="32"/>
        </w:rPr>
        <w:t>调整后预算收入</w:t>
      </w:r>
      <w:r>
        <w:rPr>
          <w:rFonts w:hint="default" w:ascii="Times New Roman" w:hAnsi="Times New Roman" w:eastAsia="方正仿宋_GBK" w:cs="Times New Roman"/>
          <w:snapToGrid w:val="0"/>
          <w:color w:val="auto"/>
          <w:spacing w:val="11"/>
          <w:sz w:val="32"/>
          <w:szCs w:val="32"/>
          <w:lang w:val="en-US" w:eastAsia="zh-CN"/>
        </w:rPr>
        <w:t>11,660</w:t>
      </w:r>
      <w:r>
        <w:rPr>
          <w:rFonts w:hint="default" w:ascii="Times New Roman" w:hAnsi="Times New Roman" w:eastAsia="方正仿宋_GBK" w:cs="Times New Roman"/>
          <w:snapToGrid w:val="0"/>
          <w:color w:val="auto"/>
          <w:spacing w:val="11"/>
          <w:sz w:val="32"/>
          <w:szCs w:val="32"/>
        </w:rPr>
        <w:t>万元，较年初预算调</w:t>
      </w:r>
      <w:r>
        <w:rPr>
          <w:rFonts w:hint="default" w:ascii="Times New Roman" w:hAnsi="Times New Roman" w:eastAsia="方正仿宋_GBK" w:cs="Times New Roman"/>
          <w:snapToGrid w:val="0"/>
          <w:color w:val="auto"/>
          <w:spacing w:val="11"/>
          <w:sz w:val="32"/>
          <w:szCs w:val="32"/>
          <w:lang w:eastAsia="zh-CN"/>
        </w:rPr>
        <w:t>增</w:t>
      </w:r>
      <w:r>
        <w:rPr>
          <w:rFonts w:hint="default" w:ascii="Times New Roman" w:hAnsi="Times New Roman" w:eastAsia="方正仿宋_GBK" w:cs="Times New Roman"/>
          <w:snapToGrid w:val="0"/>
          <w:color w:val="auto"/>
          <w:spacing w:val="11"/>
          <w:sz w:val="32"/>
          <w:szCs w:val="32"/>
          <w:lang w:val="en-US" w:eastAsia="zh-CN"/>
        </w:rPr>
        <w:t>2,228</w:t>
      </w:r>
      <w:r>
        <w:rPr>
          <w:rFonts w:hint="default" w:ascii="Times New Roman" w:hAnsi="Times New Roman" w:eastAsia="方正仿宋_GBK" w:cs="Times New Roman"/>
          <w:snapToGrid w:val="0"/>
          <w:color w:val="auto"/>
          <w:spacing w:val="11"/>
          <w:sz w:val="32"/>
          <w:szCs w:val="32"/>
        </w:rPr>
        <w:t>万元，</w:t>
      </w:r>
      <w:r>
        <w:rPr>
          <w:rFonts w:hint="default" w:ascii="Times New Roman" w:hAnsi="Times New Roman" w:eastAsia="方正仿宋_GBK" w:cs="Times New Roman"/>
          <w:snapToGrid w:val="0"/>
          <w:color w:val="auto"/>
          <w:spacing w:val="11"/>
          <w:sz w:val="32"/>
          <w:szCs w:val="32"/>
          <w:lang w:eastAsia="zh-CN"/>
        </w:rPr>
        <w:t>增</w:t>
      </w:r>
      <w:r>
        <w:rPr>
          <w:rFonts w:hint="default" w:ascii="Times New Roman" w:hAnsi="Times New Roman" w:eastAsia="方正仿宋_GBK" w:cs="Times New Roman"/>
          <w:snapToGrid w:val="0"/>
          <w:color w:val="auto"/>
          <w:spacing w:val="11"/>
          <w:sz w:val="32"/>
          <w:szCs w:val="32"/>
        </w:rPr>
        <w:t>幅为</w:t>
      </w:r>
      <w:r>
        <w:rPr>
          <w:rFonts w:hint="default" w:ascii="Times New Roman" w:hAnsi="Times New Roman" w:eastAsia="方正仿宋_GBK" w:cs="Times New Roman"/>
          <w:snapToGrid w:val="0"/>
          <w:color w:val="auto"/>
          <w:spacing w:val="11"/>
          <w:sz w:val="32"/>
          <w:szCs w:val="32"/>
          <w:lang w:val="en-US" w:eastAsia="zh-CN"/>
        </w:rPr>
        <w:t>23.62</w:t>
      </w:r>
      <w:r>
        <w:rPr>
          <w:rFonts w:hint="default" w:ascii="Times New Roman" w:hAnsi="Times New Roman" w:eastAsia="方正仿宋_GBK" w:cs="Times New Roman"/>
          <w:snapToGrid w:val="0"/>
          <w:color w:val="auto"/>
          <w:spacing w:val="11"/>
          <w:sz w:val="32"/>
          <w:szCs w:val="32"/>
        </w:rPr>
        <w:t>%</w:t>
      </w:r>
      <w:r>
        <w:rPr>
          <w:rFonts w:hint="default" w:ascii="Times New Roman" w:hAnsi="Times New Roman" w:eastAsia="方正仿宋_GBK" w:cs="Times New Roman"/>
          <w:snapToGrid w:val="0"/>
          <w:color w:val="auto"/>
          <w:spacing w:val="11"/>
          <w:sz w:val="32"/>
          <w:szCs w:val="32"/>
          <w:lang w:eastAsia="zh-CN"/>
        </w:rPr>
        <w:t>，</w:t>
      </w:r>
      <w:r>
        <w:rPr>
          <w:rFonts w:hint="default" w:ascii="Times New Roman" w:hAnsi="Times New Roman" w:eastAsia="方正仿宋_GBK" w:cs="Times New Roman"/>
          <w:snapToGrid w:val="0"/>
          <w:color w:val="auto"/>
          <w:spacing w:val="11"/>
          <w:sz w:val="32"/>
          <w:szCs w:val="32"/>
        </w:rPr>
        <w:t>其中调整后预算征收收入</w:t>
      </w:r>
      <w:r>
        <w:rPr>
          <w:rFonts w:hint="default" w:ascii="Times New Roman" w:hAnsi="Times New Roman" w:eastAsia="方正仿宋_GBK" w:cs="Times New Roman"/>
          <w:snapToGrid w:val="0"/>
          <w:color w:val="auto"/>
          <w:spacing w:val="11"/>
          <w:sz w:val="32"/>
          <w:szCs w:val="32"/>
          <w:lang w:val="en-US" w:eastAsia="zh-CN"/>
        </w:rPr>
        <w:t>10,932万</w:t>
      </w:r>
      <w:r>
        <w:rPr>
          <w:rFonts w:hint="default" w:ascii="Times New Roman" w:hAnsi="Times New Roman" w:eastAsia="方正仿宋_GBK" w:cs="Times New Roman"/>
          <w:snapToGrid w:val="0"/>
          <w:color w:val="auto"/>
          <w:spacing w:val="11"/>
          <w:sz w:val="32"/>
          <w:szCs w:val="32"/>
        </w:rPr>
        <w:t>元，</w:t>
      </w:r>
      <w:r>
        <w:rPr>
          <w:rFonts w:hint="default" w:ascii="Times New Roman" w:hAnsi="Times New Roman" w:eastAsia="方正仿宋_GBK" w:cs="Times New Roman"/>
          <w:snapToGrid w:val="0"/>
          <w:color w:val="auto"/>
          <w:spacing w:val="11"/>
          <w:sz w:val="32"/>
          <w:szCs w:val="32"/>
          <w:lang w:eastAsia="zh-CN"/>
        </w:rPr>
        <w:t>较年初预算</w:t>
      </w:r>
      <w:r>
        <w:rPr>
          <w:rFonts w:hint="default" w:ascii="Times New Roman" w:hAnsi="Times New Roman" w:eastAsia="方正仿宋_GBK" w:cs="Times New Roman"/>
          <w:snapToGrid w:val="0"/>
          <w:color w:val="auto"/>
          <w:spacing w:val="11"/>
          <w:sz w:val="32"/>
          <w:szCs w:val="32"/>
        </w:rPr>
        <w:t>调</w:t>
      </w:r>
      <w:r>
        <w:rPr>
          <w:rFonts w:hint="default" w:ascii="Times New Roman" w:hAnsi="Times New Roman" w:eastAsia="方正仿宋_GBK" w:cs="Times New Roman"/>
          <w:snapToGrid w:val="0"/>
          <w:color w:val="auto"/>
          <w:spacing w:val="11"/>
          <w:sz w:val="32"/>
          <w:szCs w:val="32"/>
          <w:lang w:eastAsia="zh-CN"/>
        </w:rPr>
        <w:t>增</w:t>
      </w:r>
      <w:r>
        <w:rPr>
          <w:rFonts w:hint="default" w:ascii="Times New Roman" w:hAnsi="Times New Roman" w:eastAsia="方正仿宋_GBK" w:cs="Times New Roman"/>
          <w:snapToGrid w:val="0"/>
          <w:color w:val="auto"/>
          <w:spacing w:val="11"/>
          <w:sz w:val="32"/>
          <w:szCs w:val="32"/>
          <w:lang w:val="en-US" w:eastAsia="zh-CN"/>
        </w:rPr>
        <w:t>2,359</w:t>
      </w:r>
      <w:r>
        <w:rPr>
          <w:rFonts w:hint="default" w:ascii="Times New Roman" w:hAnsi="Times New Roman" w:eastAsia="方正仿宋_GBK" w:cs="Times New Roman"/>
          <w:snapToGrid w:val="0"/>
          <w:color w:val="auto"/>
          <w:spacing w:val="11"/>
          <w:sz w:val="32"/>
          <w:szCs w:val="32"/>
        </w:rPr>
        <w:t>万元，</w:t>
      </w:r>
      <w:r>
        <w:rPr>
          <w:rFonts w:hint="default" w:ascii="Times New Roman" w:hAnsi="Times New Roman" w:eastAsia="方正仿宋_GBK" w:cs="Times New Roman"/>
          <w:snapToGrid w:val="0"/>
          <w:color w:val="auto"/>
          <w:spacing w:val="11"/>
          <w:sz w:val="32"/>
          <w:szCs w:val="32"/>
          <w:lang w:eastAsia="zh-CN"/>
        </w:rPr>
        <w:t>增</w:t>
      </w:r>
      <w:r>
        <w:rPr>
          <w:rFonts w:hint="default" w:ascii="Times New Roman" w:hAnsi="Times New Roman" w:eastAsia="方正仿宋_GBK" w:cs="Times New Roman"/>
          <w:snapToGrid w:val="0"/>
          <w:color w:val="auto"/>
          <w:spacing w:val="11"/>
          <w:sz w:val="32"/>
          <w:szCs w:val="32"/>
        </w:rPr>
        <w:t>幅为</w:t>
      </w:r>
      <w:r>
        <w:rPr>
          <w:rFonts w:hint="default" w:ascii="Times New Roman" w:hAnsi="Times New Roman" w:eastAsia="方正仿宋_GBK" w:cs="Times New Roman"/>
          <w:snapToGrid w:val="0"/>
          <w:color w:val="auto"/>
          <w:spacing w:val="11"/>
          <w:sz w:val="32"/>
          <w:szCs w:val="32"/>
          <w:lang w:val="en-US" w:eastAsia="zh-CN"/>
        </w:rPr>
        <w:t>27.52</w:t>
      </w:r>
      <w:r>
        <w:rPr>
          <w:rFonts w:hint="default" w:ascii="Times New Roman" w:hAnsi="Times New Roman" w:eastAsia="方正仿宋_GBK" w:cs="Times New Roman"/>
          <w:snapToGrid w:val="0"/>
          <w:color w:val="auto"/>
          <w:spacing w:val="11"/>
          <w:sz w:val="32"/>
          <w:szCs w:val="32"/>
        </w:rPr>
        <w:t>%</w:t>
      </w:r>
      <w:r>
        <w:rPr>
          <w:rFonts w:hint="default" w:ascii="Times New Roman" w:hAnsi="Times New Roman" w:eastAsia="方正仿宋_GBK" w:cs="Times New Roman"/>
          <w:snapToGrid w:val="0"/>
          <w:color w:val="auto"/>
          <w:spacing w:val="11"/>
          <w:sz w:val="32"/>
          <w:szCs w:val="32"/>
          <w:lang w:val="en-US" w:eastAsia="zh-CN"/>
        </w:rPr>
        <w:t>；</w:t>
      </w:r>
      <w:r>
        <w:rPr>
          <w:rFonts w:hint="default" w:ascii="Times New Roman" w:hAnsi="Times New Roman" w:eastAsia="方正仿宋_GBK" w:cs="Times New Roman"/>
          <w:snapToGrid w:val="0"/>
          <w:color w:val="auto"/>
          <w:spacing w:val="11"/>
          <w:sz w:val="32"/>
          <w:szCs w:val="32"/>
        </w:rPr>
        <w:t>调整后预算支出</w:t>
      </w:r>
      <w:r>
        <w:rPr>
          <w:rFonts w:hint="default" w:ascii="Times New Roman" w:hAnsi="Times New Roman" w:eastAsia="方正仿宋_GBK" w:cs="Times New Roman"/>
          <w:snapToGrid w:val="0"/>
          <w:color w:val="auto"/>
          <w:spacing w:val="11"/>
          <w:sz w:val="32"/>
          <w:szCs w:val="32"/>
          <w:lang w:val="en-US" w:eastAsia="zh-CN"/>
        </w:rPr>
        <w:t>9,973</w:t>
      </w:r>
      <w:r>
        <w:rPr>
          <w:rFonts w:hint="default" w:ascii="Times New Roman" w:hAnsi="Times New Roman" w:eastAsia="方正仿宋_GBK" w:cs="Times New Roman"/>
          <w:snapToGrid w:val="0"/>
          <w:color w:val="auto"/>
          <w:spacing w:val="11"/>
          <w:sz w:val="32"/>
          <w:szCs w:val="32"/>
        </w:rPr>
        <w:t>万元，较年初预算调</w:t>
      </w:r>
      <w:r>
        <w:rPr>
          <w:rFonts w:hint="default" w:ascii="Times New Roman" w:hAnsi="Times New Roman" w:eastAsia="方正仿宋_GBK" w:cs="Times New Roman"/>
          <w:snapToGrid w:val="0"/>
          <w:color w:val="auto"/>
          <w:spacing w:val="11"/>
          <w:sz w:val="32"/>
          <w:szCs w:val="32"/>
          <w:lang w:eastAsia="zh-CN"/>
        </w:rPr>
        <w:t>增</w:t>
      </w:r>
      <w:r>
        <w:rPr>
          <w:rFonts w:hint="default" w:ascii="Times New Roman" w:hAnsi="Times New Roman" w:eastAsia="方正仿宋_GBK" w:cs="Times New Roman"/>
          <w:snapToGrid w:val="0"/>
          <w:color w:val="auto"/>
          <w:spacing w:val="11"/>
          <w:sz w:val="32"/>
          <w:szCs w:val="32"/>
          <w:lang w:val="en-US" w:eastAsia="zh-CN"/>
        </w:rPr>
        <w:t>60</w:t>
      </w:r>
      <w:r>
        <w:rPr>
          <w:rFonts w:hint="default" w:ascii="Times New Roman" w:hAnsi="Times New Roman" w:eastAsia="方正仿宋_GBK" w:cs="Times New Roman"/>
          <w:snapToGrid w:val="0"/>
          <w:color w:val="auto"/>
          <w:spacing w:val="11"/>
          <w:sz w:val="32"/>
          <w:szCs w:val="32"/>
        </w:rPr>
        <w:t>万元，</w:t>
      </w:r>
      <w:r>
        <w:rPr>
          <w:rFonts w:hint="default" w:ascii="Times New Roman" w:hAnsi="Times New Roman" w:eastAsia="方正仿宋_GBK" w:cs="Times New Roman"/>
          <w:snapToGrid w:val="0"/>
          <w:color w:val="auto"/>
          <w:spacing w:val="11"/>
          <w:sz w:val="32"/>
          <w:szCs w:val="32"/>
          <w:lang w:eastAsia="zh-CN"/>
        </w:rPr>
        <w:t>增</w:t>
      </w:r>
      <w:r>
        <w:rPr>
          <w:rFonts w:hint="default" w:ascii="Times New Roman" w:hAnsi="Times New Roman" w:eastAsia="方正仿宋_GBK" w:cs="Times New Roman"/>
          <w:snapToGrid w:val="0"/>
          <w:color w:val="auto"/>
          <w:spacing w:val="11"/>
          <w:sz w:val="32"/>
          <w:szCs w:val="32"/>
        </w:rPr>
        <w:t>幅为</w:t>
      </w:r>
      <w:r>
        <w:rPr>
          <w:rFonts w:hint="default" w:ascii="Times New Roman" w:hAnsi="Times New Roman" w:eastAsia="方正仿宋_GBK" w:cs="Times New Roman"/>
          <w:snapToGrid w:val="0"/>
          <w:color w:val="auto"/>
          <w:spacing w:val="11"/>
          <w:sz w:val="32"/>
          <w:szCs w:val="32"/>
          <w:lang w:val="en-US" w:eastAsia="zh-CN"/>
        </w:rPr>
        <w:t>0.61</w:t>
      </w:r>
      <w:r>
        <w:rPr>
          <w:rFonts w:hint="default" w:ascii="Times New Roman" w:hAnsi="Times New Roman" w:eastAsia="方正仿宋_GBK" w:cs="Times New Roman"/>
          <w:snapToGrid w:val="0"/>
          <w:color w:val="auto"/>
          <w:spacing w:val="11"/>
          <w:sz w:val="32"/>
          <w:szCs w:val="32"/>
        </w:rPr>
        <w:t>%</w:t>
      </w:r>
      <w:r>
        <w:rPr>
          <w:rFonts w:hint="default" w:ascii="Times New Roman" w:hAnsi="Times New Roman" w:eastAsia="方正仿宋_GBK" w:cs="Times New Roman"/>
          <w:snapToGrid w:val="0"/>
          <w:color w:val="auto"/>
          <w:spacing w:val="11"/>
          <w:sz w:val="32"/>
          <w:szCs w:val="32"/>
          <w:lang w:eastAsia="zh-CN"/>
        </w:rPr>
        <w:t>；调整后当期结余</w:t>
      </w:r>
      <w:r>
        <w:rPr>
          <w:rFonts w:hint="default" w:ascii="Times New Roman" w:hAnsi="Times New Roman" w:eastAsia="方正仿宋_GBK" w:cs="Times New Roman"/>
          <w:snapToGrid w:val="0"/>
          <w:color w:val="auto"/>
          <w:spacing w:val="11"/>
          <w:sz w:val="32"/>
          <w:szCs w:val="32"/>
          <w:lang w:val="en-US" w:eastAsia="zh-CN"/>
        </w:rPr>
        <w:t>1,687</w:t>
      </w:r>
      <w:r>
        <w:rPr>
          <w:rFonts w:hint="default" w:ascii="Times New Roman" w:hAnsi="Times New Roman" w:eastAsia="方正仿宋_GBK" w:cs="Times New Roman"/>
          <w:snapToGrid w:val="0"/>
          <w:color w:val="auto"/>
          <w:spacing w:val="11"/>
          <w:sz w:val="32"/>
          <w:szCs w:val="32"/>
          <w:lang w:eastAsia="zh-CN"/>
        </w:rPr>
        <w:t>万元，历年累计结余</w:t>
      </w:r>
      <w:r>
        <w:rPr>
          <w:rFonts w:hint="default" w:ascii="Times New Roman" w:hAnsi="Times New Roman" w:eastAsia="方正仿宋_GBK" w:cs="Times New Roman"/>
          <w:snapToGrid w:val="0"/>
          <w:color w:val="auto"/>
          <w:spacing w:val="11"/>
          <w:sz w:val="32"/>
          <w:szCs w:val="32"/>
          <w:lang w:val="en-US" w:eastAsia="zh-CN"/>
        </w:rPr>
        <w:t>4,056</w:t>
      </w:r>
      <w:r>
        <w:rPr>
          <w:rFonts w:hint="default" w:ascii="Times New Roman" w:hAnsi="Times New Roman" w:eastAsia="方正仿宋_GBK" w:cs="Times New Roman"/>
          <w:snapToGrid w:val="0"/>
          <w:color w:val="auto"/>
          <w:spacing w:val="11"/>
          <w:sz w:val="32"/>
          <w:szCs w:val="32"/>
          <w:lang w:eastAsia="zh-CN"/>
        </w:rPr>
        <w:t>万元。</w:t>
      </w:r>
    </w:p>
    <w:p>
      <w:pPr>
        <w:keepNext w:val="0"/>
        <w:keepLines w:val="0"/>
        <w:pageBreakBefore w:val="0"/>
        <w:widowControl w:val="0"/>
        <w:kinsoku/>
        <w:wordWrap/>
        <w:overflowPunct/>
        <w:topLinePunct w:val="0"/>
        <w:bidi w:val="0"/>
        <w:snapToGrid/>
        <w:spacing w:line="578" w:lineRule="exact"/>
        <w:ind w:firstLine="684" w:firstLineChars="200"/>
        <w:textAlignment w:val="auto"/>
        <w:rPr>
          <w:rFonts w:hint="default" w:ascii="Times New Roman" w:hAnsi="Times New Roman" w:eastAsia="方正仿宋_GBK" w:cs="Times New Roman"/>
          <w:snapToGrid w:val="0"/>
          <w:color w:val="auto"/>
          <w:spacing w:val="11"/>
          <w:sz w:val="32"/>
          <w:szCs w:val="32"/>
          <w:lang w:val="en-US" w:eastAsia="zh-CN"/>
        </w:rPr>
      </w:pPr>
      <w:r>
        <w:rPr>
          <w:rFonts w:hint="default" w:ascii="Times New Roman" w:hAnsi="Times New Roman" w:eastAsia="方正仿宋_GBK" w:cs="Times New Roman"/>
          <w:snapToGrid w:val="0"/>
          <w:color w:val="auto"/>
          <w:spacing w:val="11"/>
          <w:sz w:val="32"/>
          <w:szCs w:val="32"/>
          <w:lang w:eastAsia="zh-CN"/>
        </w:rPr>
        <w:t>机关事业单位基本养老保险基金预算收入调增的主要原因是</w:t>
      </w:r>
      <w:r>
        <w:rPr>
          <w:rFonts w:hint="default" w:ascii="Times New Roman" w:hAnsi="Times New Roman" w:eastAsia="方正仿宋_GBK" w:cs="Times New Roman"/>
          <w:snapToGrid w:val="0"/>
          <w:color w:val="auto"/>
          <w:spacing w:val="11"/>
          <w:sz w:val="32"/>
          <w:szCs w:val="32"/>
          <w:lang w:val="en-US" w:eastAsia="zh-CN"/>
        </w:rPr>
        <w:t>：江海区2022年将人员基础绩效纳入缴费基数，11月开始按新的缴费基数征收，12月补缴1-10月保机关事业单位基本养老费。</w:t>
      </w:r>
    </w:p>
    <w:p>
      <w:pPr>
        <w:keepNext w:val="0"/>
        <w:keepLines w:val="0"/>
        <w:pageBreakBefore w:val="0"/>
        <w:widowControl w:val="0"/>
        <w:kinsoku/>
        <w:wordWrap/>
        <w:overflowPunct/>
        <w:topLinePunct w:val="0"/>
        <w:autoSpaceDE w:val="0"/>
        <w:autoSpaceDN w:val="0"/>
        <w:bidi w:val="0"/>
        <w:adjustRightInd w:val="0"/>
        <w:snapToGrid/>
        <w:spacing w:line="578" w:lineRule="exact"/>
        <w:ind w:firstLine="684" w:firstLineChars="200"/>
        <w:textAlignment w:val="auto"/>
        <w:rPr>
          <w:rFonts w:hint="default" w:ascii="方正楷体_GBK" w:hAnsi="方正楷体_GBK" w:eastAsia="方正楷体_GBK" w:cs="方正楷体_GBK"/>
          <w:b w:val="0"/>
          <w:bCs/>
          <w:snapToGrid w:val="0"/>
          <w:color w:val="auto"/>
          <w:spacing w:val="11"/>
          <w:sz w:val="32"/>
          <w:szCs w:val="32"/>
          <w:lang w:val="en-US" w:eastAsia="zh-CN"/>
        </w:rPr>
      </w:pPr>
      <w:r>
        <w:rPr>
          <w:rFonts w:hint="default" w:ascii="方正楷体_GBK" w:hAnsi="方正楷体_GBK" w:eastAsia="方正楷体_GBK" w:cs="方正楷体_GBK"/>
          <w:b w:val="0"/>
          <w:bCs/>
          <w:snapToGrid w:val="0"/>
          <w:color w:val="auto"/>
          <w:spacing w:val="11"/>
          <w:sz w:val="32"/>
          <w:szCs w:val="32"/>
        </w:rPr>
        <w:t>（</w:t>
      </w:r>
      <w:r>
        <w:rPr>
          <w:rFonts w:hint="default" w:ascii="方正楷体_GBK" w:hAnsi="方正楷体_GBK" w:eastAsia="方正楷体_GBK" w:cs="方正楷体_GBK"/>
          <w:b w:val="0"/>
          <w:bCs/>
          <w:snapToGrid w:val="0"/>
          <w:color w:val="auto"/>
          <w:spacing w:val="11"/>
          <w:sz w:val="32"/>
          <w:szCs w:val="32"/>
          <w:lang w:eastAsia="zh-CN"/>
        </w:rPr>
        <w:t>二</w:t>
      </w:r>
      <w:r>
        <w:rPr>
          <w:rFonts w:hint="default" w:ascii="方正楷体_GBK" w:hAnsi="方正楷体_GBK" w:eastAsia="方正楷体_GBK" w:cs="方正楷体_GBK"/>
          <w:b w:val="0"/>
          <w:bCs/>
          <w:snapToGrid w:val="0"/>
          <w:color w:val="auto"/>
          <w:spacing w:val="11"/>
          <w:sz w:val="32"/>
          <w:szCs w:val="32"/>
        </w:rPr>
        <w:t>）</w:t>
      </w:r>
      <w:r>
        <w:rPr>
          <w:rFonts w:hint="default" w:ascii="方正楷体_GBK" w:hAnsi="方正楷体_GBK" w:eastAsia="方正楷体_GBK" w:cs="方正楷体_GBK"/>
          <w:b w:val="0"/>
          <w:bCs/>
          <w:snapToGrid w:val="0"/>
          <w:color w:val="auto"/>
          <w:spacing w:val="11"/>
          <w:sz w:val="32"/>
          <w:szCs w:val="32"/>
          <w:lang w:eastAsia="zh-CN"/>
        </w:rPr>
        <w:t>企业职工基本养老保险</w:t>
      </w:r>
    </w:p>
    <w:p>
      <w:pPr>
        <w:keepNext w:val="0"/>
        <w:keepLines w:val="0"/>
        <w:pageBreakBefore w:val="0"/>
        <w:widowControl w:val="0"/>
        <w:kinsoku/>
        <w:wordWrap/>
        <w:overflowPunct/>
        <w:topLinePunct w:val="0"/>
        <w:autoSpaceDE w:val="0"/>
        <w:autoSpaceDN w:val="0"/>
        <w:bidi w:val="0"/>
        <w:adjustRightInd w:val="0"/>
        <w:snapToGrid/>
        <w:spacing w:line="578" w:lineRule="exact"/>
        <w:ind w:firstLine="684" w:firstLineChars="200"/>
        <w:textAlignment w:val="auto"/>
        <w:rPr>
          <w:rFonts w:hint="default" w:ascii="Times New Roman" w:hAnsi="Times New Roman" w:eastAsia="方正仿宋_GBK" w:cs="Times New Roman"/>
          <w:snapToGrid w:val="0"/>
          <w:color w:val="auto"/>
          <w:spacing w:val="11"/>
          <w:sz w:val="32"/>
          <w:szCs w:val="32"/>
          <w:lang w:eastAsia="zh-CN"/>
        </w:rPr>
      </w:pPr>
      <w:r>
        <w:rPr>
          <w:rFonts w:hint="default" w:ascii="Times New Roman" w:hAnsi="Times New Roman" w:eastAsia="方正仿宋_GBK" w:cs="Times New Roman"/>
          <w:snapToGrid w:val="0"/>
          <w:color w:val="auto"/>
          <w:spacing w:val="11"/>
          <w:sz w:val="32"/>
          <w:szCs w:val="32"/>
          <w:lang w:eastAsia="zh-CN"/>
        </w:rPr>
        <w:t>企业职工基本养老保险</w:t>
      </w:r>
      <w:r>
        <w:rPr>
          <w:rFonts w:hint="default" w:ascii="Times New Roman" w:hAnsi="Times New Roman" w:eastAsia="方正仿宋_GBK" w:cs="Times New Roman"/>
          <w:snapToGrid w:val="0"/>
          <w:color w:val="auto"/>
          <w:spacing w:val="11"/>
          <w:sz w:val="32"/>
          <w:szCs w:val="32"/>
        </w:rPr>
        <w:t>调整后预算收入</w:t>
      </w:r>
      <w:r>
        <w:rPr>
          <w:rFonts w:hint="default" w:ascii="Times New Roman" w:hAnsi="Times New Roman" w:eastAsia="方正仿宋_GBK" w:cs="Times New Roman"/>
          <w:snapToGrid w:val="0"/>
          <w:color w:val="auto"/>
          <w:spacing w:val="11"/>
          <w:sz w:val="32"/>
          <w:szCs w:val="32"/>
          <w:lang w:val="en-US" w:eastAsia="zh-CN"/>
        </w:rPr>
        <w:t>261,181</w:t>
      </w:r>
      <w:r>
        <w:rPr>
          <w:rFonts w:hint="default" w:ascii="Times New Roman" w:hAnsi="Times New Roman" w:eastAsia="方正仿宋_GBK" w:cs="Times New Roman"/>
          <w:snapToGrid w:val="0"/>
          <w:color w:val="auto"/>
          <w:spacing w:val="11"/>
          <w:sz w:val="32"/>
          <w:szCs w:val="32"/>
        </w:rPr>
        <w:t>万元，较年初预算调</w:t>
      </w:r>
      <w:r>
        <w:rPr>
          <w:rFonts w:hint="default" w:ascii="Times New Roman" w:hAnsi="Times New Roman" w:eastAsia="方正仿宋_GBK" w:cs="Times New Roman"/>
          <w:snapToGrid w:val="0"/>
          <w:color w:val="auto"/>
          <w:spacing w:val="11"/>
          <w:sz w:val="32"/>
          <w:szCs w:val="32"/>
          <w:lang w:eastAsia="zh-CN"/>
        </w:rPr>
        <w:t>增</w:t>
      </w:r>
      <w:r>
        <w:rPr>
          <w:rFonts w:hint="default" w:ascii="Times New Roman" w:hAnsi="Times New Roman" w:eastAsia="方正仿宋_GBK" w:cs="Times New Roman"/>
          <w:snapToGrid w:val="0"/>
          <w:color w:val="auto"/>
          <w:spacing w:val="11"/>
          <w:sz w:val="32"/>
          <w:szCs w:val="32"/>
          <w:lang w:val="en-US" w:eastAsia="zh-CN"/>
        </w:rPr>
        <w:t>6,482</w:t>
      </w:r>
      <w:r>
        <w:rPr>
          <w:rFonts w:hint="default" w:ascii="Times New Roman" w:hAnsi="Times New Roman" w:eastAsia="方正仿宋_GBK" w:cs="Times New Roman"/>
          <w:snapToGrid w:val="0"/>
          <w:color w:val="auto"/>
          <w:spacing w:val="11"/>
          <w:sz w:val="32"/>
          <w:szCs w:val="32"/>
        </w:rPr>
        <w:t>万元，</w:t>
      </w:r>
      <w:r>
        <w:rPr>
          <w:rFonts w:hint="default" w:ascii="Times New Roman" w:hAnsi="Times New Roman" w:eastAsia="方正仿宋_GBK" w:cs="Times New Roman"/>
          <w:snapToGrid w:val="0"/>
          <w:color w:val="auto"/>
          <w:spacing w:val="11"/>
          <w:sz w:val="32"/>
          <w:szCs w:val="32"/>
          <w:lang w:eastAsia="zh-CN"/>
        </w:rPr>
        <w:t>增</w:t>
      </w:r>
      <w:r>
        <w:rPr>
          <w:rFonts w:hint="default" w:ascii="Times New Roman" w:hAnsi="Times New Roman" w:eastAsia="方正仿宋_GBK" w:cs="Times New Roman"/>
          <w:snapToGrid w:val="0"/>
          <w:color w:val="auto"/>
          <w:spacing w:val="11"/>
          <w:sz w:val="32"/>
          <w:szCs w:val="32"/>
        </w:rPr>
        <w:t>幅为</w:t>
      </w:r>
      <w:r>
        <w:rPr>
          <w:rFonts w:hint="default" w:ascii="Times New Roman" w:hAnsi="Times New Roman" w:eastAsia="方正仿宋_GBK" w:cs="Times New Roman"/>
          <w:snapToGrid w:val="0"/>
          <w:color w:val="auto"/>
          <w:spacing w:val="11"/>
          <w:sz w:val="32"/>
          <w:szCs w:val="32"/>
          <w:lang w:val="en-US" w:eastAsia="zh-CN"/>
        </w:rPr>
        <w:t>2.54</w:t>
      </w:r>
      <w:r>
        <w:rPr>
          <w:rFonts w:hint="default" w:ascii="Times New Roman" w:hAnsi="Times New Roman" w:eastAsia="方正仿宋_GBK" w:cs="Times New Roman"/>
          <w:snapToGrid w:val="0"/>
          <w:color w:val="auto"/>
          <w:spacing w:val="11"/>
          <w:sz w:val="32"/>
          <w:szCs w:val="32"/>
        </w:rPr>
        <w:t>%</w:t>
      </w:r>
      <w:r>
        <w:rPr>
          <w:rFonts w:hint="default" w:ascii="Times New Roman" w:hAnsi="Times New Roman" w:eastAsia="方正仿宋_GBK" w:cs="Times New Roman"/>
          <w:snapToGrid w:val="0"/>
          <w:color w:val="auto"/>
          <w:spacing w:val="11"/>
          <w:sz w:val="32"/>
          <w:szCs w:val="32"/>
          <w:lang w:eastAsia="zh-CN"/>
        </w:rPr>
        <w:t>；</w:t>
      </w:r>
      <w:r>
        <w:rPr>
          <w:rFonts w:hint="default" w:ascii="Times New Roman" w:hAnsi="Times New Roman" w:eastAsia="方正仿宋_GBK" w:cs="Times New Roman"/>
          <w:snapToGrid w:val="0"/>
          <w:color w:val="auto"/>
          <w:spacing w:val="11"/>
          <w:sz w:val="32"/>
          <w:szCs w:val="32"/>
        </w:rPr>
        <w:t>调整后预算支出</w:t>
      </w:r>
      <w:r>
        <w:rPr>
          <w:rFonts w:hint="default" w:ascii="Times New Roman" w:hAnsi="Times New Roman" w:eastAsia="方正仿宋_GBK" w:cs="Times New Roman"/>
          <w:snapToGrid w:val="0"/>
          <w:color w:val="auto"/>
          <w:spacing w:val="11"/>
          <w:sz w:val="32"/>
          <w:szCs w:val="32"/>
          <w:lang w:val="en-US" w:eastAsia="zh-CN"/>
        </w:rPr>
        <w:t>256</w:t>
      </w:r>
      <w:r>
        <w:rPr>
          <w:rFonts w:hint="default" w:ascii="Times New Roman" w:hAnsi="Times New Roman" w:eastAsia="方正仿宋_GBK" w:cs="Times New Roman"/>
          <w:snapToGrid w:val="0"/>
          <w:color w:val="auto"/>
          <w:spacing w:val="11"/>
          <w:sz w:val="32"/>
          <w:szCs w:val="32"/>
        </w:rPr>
        <w:t>,</w:t>
      </w:r>
      <w:r>
        <w:rPr>
          <w:rFonts w:hint="default" w:ascii="Times New Roman" w:hAnsi="Times New Roman" w:eastAsia="方正仿宋_GBK" w:cs="Times New Roman"/>
          <w:snapToGrid w:val="0"/>
          <w:color w:val="auto"/>
          <w:spacing w:val="11"/>
          <w:sz w:val="32"/>
          <w:szCs w:val="32"/>
          <w:lang w:val="en-US" w:eastAsia="zh-CN"/>
        </w:rPr>
        <w:t>563</w:t>
      </w:r>
      <w:r>
        <w:rPr>
          <w:rFonts w:hint="default" w:ascii="Times New Roman" w:hAnsi="Times New Roman" w:eastAsia="方正仿宋_GBK" w:cs="Times New Roman"/>
          <w:snapToGrid w:val="0"/>
          <w:color w:val="auto"/>
          <w:spacing w:val="11"/>
          <w:sz w:val="32"/>
          <w:szCs w:val="32"/>
        </w:rPr>
        <w:t>万元，较年初预算调</w:t>
      </w:r>
      <w:r>
        <w:rPr>
          <w:rFonts w:hint="default" w:ascii="Times New Roman" w:hAnsi="Times New Roman" w:eastAsia="方正仿宋_GBK" w:cs="Times New Roman"/>
          <w:snapToGrid w:val="0"/>
          <w:color w:val="auto"/>
          <w:spacing w:val="11"/>
          <w:sz w:val="32"/>
          <w:szCs w:val="32"/>
          <w:lang w:eastAsia="zh-CN"/>
        </w:rPr>
        <w:t>增</w:t>
      </w:r>
      <w:r>
        <w:rPr>
          <w:rFonts w:hint="default" w:ascii="Times New Roman" w:hAnsi="Times New Roman" w:eastAsia="方正仿宋_GBK" w:cs="Times New Roman"/>
          <w:snapToGrid w:val="0"/>
          <w:color w:val="auto"/>
          <w:spacing w:val="11"/>
          <w:sz w:val="32"/>
          <w:szCs w:val="32"/>
          <w:lang w:val="en-US" w:eastAsia="zh-CN"/>
        </w:rPr>
        <w:t>1</w:t>
      </w:r>
      <w:r>
        <w:rPr>
          <w:rFonts w:hint="default" w:ascii="Times New Roman" w:hAnsi="Times New Roman" w:eastAsia="方正仿宋_GBK" w:cs="Times New Roman"/>
          <w:snapToGrid w:val="0"/>
          <w:color w:val="auto"/>
          <w:spacing w:val="11"/>
          <w:sz w:val="32"/>
          <w:szCs w:val="32"/>
        </w:rPr>
        <w:t>,</w:t>
      </w:r>
      <w:r>
        <w:rPr>
          <w:rFonts w:hint="default" w:ascii="Times New Roman" w:hAnsi="Times New Roman" w:eastAsia="方正仿宋_GBK" w:cs="Times New Roman"/>
          <w:snapToGrid w:val="0"/>
          <w:color w:val="auto"/>
          <w:spacing w:val="11"/>
          <w:sz w:val="32"/>
          <w:szCs w:val="32"/>
          <w:lang w:val="en-US" w:eastAsia="zh-CN"/>
        </w:rPr>
        <w:t>864</w:t>
      </w:r>
      <w:r>
        <w:rPr>
          <w:rFonts w:hint="default" w:ascii="Times New Roman" w:hAnsi="Times New Roman" w:eastAsia="方正仿宋_GBK" w:cs="Times New Roman"/>
          <w:snapToGrid w:val="0"/>
          <w:color w:val="auto"/>
          <w:spacing w:val="11"/>
          <w:sz w:val="32"/>
          <w:szCs w:val="32"/>
        </w:rPr>
        <w:t>万元，</w:t>
      </w:r>
      <w:r>
        <w:rPr>
          <w:rFonts w:hint="default" w:ascii="Times New Roman" w:hAnsi="Times New Roman" w:eastAsia="方正仿宋_GBK" w:cs="Times New Roman"/>
          <w:snapToGrid w:val="0"/>
          <w:color w:val="auto"/>
          <w:spacing w:val="11"/>
          <w:sz w:val="32"/>
          <w:szCs w:val="32"/>
          <w:lang w:eastAsia="zh-CN"/>
        </w:rPr>
        <w:t>增</w:t>
      </w:r>
      <w:r>
        <w:rPr>
          <w:rFonts w:hint="default" w:ascii="Times New Roman" w:hAnsi="Times New Roman" w:eastAsia="方正仿宋_GBK" w:cs="Times New Roman"/>
          <w:snapToGrid w:val="0"/>
          <w:color w:val="auto"/>
          <w:spacing w:val="11"/>
          <w:sz w:val="32"/>
          <w:szCs w:val="32"/>
        </w:rPr>
        <w:t>幅为</w:t>
      </w:r>
      <w:r>
        <w:rPr>
          <w:rFonts w:hint="default" w:ascii="Times New Roman" w:hAnsi="Times New Roman" w:eastAsia="方正仿宋_GBK" w:cs="Times New Roman"/>
          <w:snapToGrid w:val="0"/>
          <w:color w:val="auto"/>
          <w:spacing w:val="11"/>
          <w:sz w:val="32"/>
          <w:szCs w:val="32"/>
          <w:lang w:val="en-US" w:eastAsia="zh-CN"/>
        </w:rPr>
        <w:t>0.73</w:t>
      </w:r>
      <w:r>
        <w:rPr>
          <w:rFonts w:hint="default" w:ascii="Times New Roman" w:hAnsi="Times New Roman" w:eastAsia="方正仿宋_GBK" w:cs="Times New Roman"/>
          <w:snapToGrid w:val="0"/>
          <w:color w:val="auto"/>
          <w:spacing w:val="11"/>
          <w:sz w:val="32"/>
          <w:szCs w:val="32"/>
        </w:rPr>
        <w:t>%</w:t>
      </w:r>
      <w:r>
        <w:rPr>
          <w:rFonts w:hint="default" w:ascii="Times New Roman" w:hAnsi="Times New Roman" w:eastAsia="方正仿宋_GBK" w:cs="Times New Roman"/>
          <w:snapToGrid w:val="0"/>
          <w:color w:val="auto"/>
          <w:spacing w:val="11"/>
          <w:sz w:val="32"/>
          <w:szCs w:val="32"/>
          <w:lang w:eastAsia="zh-CN"/>
        </w:rPr>
        <w:t>；调整后当期结余</w:t>
      </w:r>
      <w:r>
        <w:rPr>
          <w:rFonts w:hint="default" w:ascii="Times New Roman" w:hAnsi="Times New Roman" w:eastAsia="方正仿宋_GBK" w:cs="Times New Roman"/>
          <w:snapToGrid w:val="0"/>
          <w:color w:val="auto"/>
          <w:spacing w:val="11"/>
          <w:sz w:val="32"/>
          <w:szCs w:val="32"/>
          <w:lang w:val="en-US" w:eastAsia="zh-CN"/>
        </w:rPr>
        <w:t>4,618</w:t>
      </w:r>
      <w:r>
        <w:rPr>
          <w:rFonts w:hint="default" w:ascii="Times New Roman" w:hAnsi="Times New Roman" w:eastAsia="方正仿宋_GBK" w:cs="Times New Roman"/>
          <w:snapToGrid w:val="0"/>
          <w:color w:val="auto"/>
          <w:spacing w:val="11"/>
          <w:sz w:val="32"/>
          <w:szCs w:val="32"/>
          <w:lang w:eastAsia="zh-CN"/>
        </w:rPr>
        <w:t>万元，历年累计结余</w:t>
      </w:r>
      <w:r>
        <w:rPr>
          <w:rFonts w:hint="default" w:ascii="Times New Roman" w:hAnsi="Times New Roman" w:eastAsia="方正仿宋_GBK" w:cs="Times New Roman"/>
          <w:snapToGrid w:val="0"/>
          <w:color w:val="auto"/>
          <w:spacing w:val="11"/>
          <w:sz w:val="32"/>
          <w:szCs w:val="32"/>
          <w:lang w:val="en-US" w:eastAsia="zh-CN"/>
        </w:rPr>
        <w:t>185,892</w:t>
      </w:r>
      <w:r>
        <w:rPr>
          <w:rFonts w:hint="default" w:ascii="Times New Roman" w:hAnsi="Times New Roman" w:eastAsia="方正仿宋_GBK" w:cs="Times New Roman"/>
          <w:snapToGrid w:val="0"/>
          <w:color w:val="auto"/>
          <w:spacing w:val="11"/>
          <w:sz w:val="32"/>
          <w:szCs w:val="32"/>
          <w:lang w:eastAsia="zh-CN"/>
        </w:rPr>
        <w:t>万元。</w:t>
      </w:r>
    </w:p>
    <w:p>
      <w:pPr>
        <w:keepNext w:val="0"/>
        <w:keepLines w:val="0"/>
        <w:pageBreakBefore w:val="0"/>
        <w:widowControl w:val="0"/>
        <w:kinsoku/>
        <w:wordWrap/>
        <w:overflowPunct/>
        <w:topLinePunct w:val="0"/>
        <w:autoSpaceDE w:val="0"/>
        <w:autoSpaceDN w:val="0"/>
        <w:bidi w:val="0"/>
        <w:adjustRightInd w:val="0"/>
        <w:snapToGrid/>
        <w:spacing w:line="578" w:lineRule="exact"/>
        <w:ind w:firstLine="684" w:firstLineChars="200"/>
        <w:textAlignment w:val="auto"/>
        <w:rPr>
          <w:rFonts w:hint="default" w:ascii="Times New Roman" w:hAnsi="Times New Roman" w:eastAsia="方正仿宋_GBK" w:cs="Times New Roman"/>
          <w:snapToGrid w:val="0"/>
          <w:color w:val="auto"/>
          <w:spacing w:val="11"/>
          <w:sz w:val="32"/>
          <w:szCs w:val="32"/>
          <w:lang w:val="en-US" w:eastAsia="zh-CN"/>
        </w:rPr>
      </w:pPr>
      <w:r>
        <w:rPr>
          <w:rFonts w:hint="default" w:ascii="Times New Roman" w:hAnsi="Times New Roman" w:eastAsia="方正仿宋_GBK" w:cs="Times New Roman"/>
          <w:snapToGrid w:val="0"/>
          <w:color w:val="auto"/>
          <w:spacing w:val="11"/>
          <w:sz w:val="32"/>
          <w:szCs w:val="32"/>
          <w:lang w:eastAsia="zh-CN"/>
        </w:rPr>
        <w:t>企业职工基本养老保险预算调整主要是根据</w:t>
      </w:r>
      <w:r>
        <w:rPr>
          <w:rFonts w:hint="default" w:ascii="Times New Roman" w:hAnsi="Times New Roman" w:eastAsia="方正仿宋_GBK" w:cs="Times New Roman"/>
          <w:snapToGrid w:val="0"/>
          <w:color w:val="auto"/>
          <w:spacing w:val="11"/>
          <w:sz w:val="32"/>
          <w:szCs w:val="32"/>
          <w:lang w:val="en-US" w:eastAsia="zh-CN"/>
        </w:rPr>
        <w:t>1-10月执行数做相应的调整。</w:t>
      </w:r>
    </w:p>
    <w:p>
      <w:pPr>
        <w:keepNext w:val="0"/>
        <w:keepLines w:val="0"/>
        <w:pageBreakBefore w:val="0"/>
        <w:widowControl w:val="0"/>
        <w:kinsoku/>
        <w:wordWrap/>
        <w:overflowPunct/>
        <w:topLinePunct w:val="0"/>
        <w:autoSpaceDE w:val="0"/>
        <w:autoSpaceDN w:val="0"/>
        <w:bidi w:val="0"/>
        <w:adjustRightInd w:val="0"/>
        <w:snapToGrid/>
        <w:spacing w:line="578" w:lineRule="exact"/>
        <w:ind w:firstLine="684" w:firstLineChars="200"/>
        <w:textAlignment w:val="auto"/>
        <w:rPr>
          <w:rFonts w:hint="default" w:ascii="方正楷体_GBK" w:hAnsi="方正楷体_GBK" w:eastAsia="方正楷体_GBK" w:cs="方正楷体_GBK"/>
          <w:b w:val="0"/>
          <w:bCs/>
          <w:snapToGrid w:val="0"/>
          <w:color w:val="auto"/>
          <w:spacing w:val="11"/>
          <w:sz w:val="32"/>
          <w:szCs w:val="32"/>
        </w:rPr>
      </w:pPr>
      <w:r>
        <w:rPr>
          <w:rFonts w:hint="default" w:ascii="方正楷体_GBK" w:hAnsi="方正楷体_GBK" w:eastAsia="方正楷体_GBK" w:cs="方正楷体_GBK"/>
          <w:b w:val="0"/>
          <w:bCs/>
          <w:snapToGrid w:val="0"/>
          <w:color w:val="auto"/>
          <w:spacing w:val="11"/>
          <w:sz w:val="32"/>
          <w:szCs w:val="32"/>
        </w:rPr>
        <w:t>（</w:t>
      </w:r>
      <w:r>
        <w:rPr>
          <w:rFonts w:hint="default" w:ascii="方正楷体_GBK" w:hAnsi="方正楷体_GBK" w:eastAsia="方正楷体_GBK" w:cs="方正楷体_GBK"/>
          <w:b w:val="0"/>
          <w:bCs/>
          <w:snapToGrid w:val="0"/>
          <w:color w:val="auto"/>
          <w:spacing w:val="11"/>
          <w:sz w:val="32"/>
          <w:szCs w:val="32"/>
          <w:lang w:eastAsia="zh-CN"/>
        </w:rPr>
        <w:t>三</w:t>
      </w:r>
      <w:r>
        <w:rPr>
          <w:rFonts w:hint="default" w:ascii="方正楷体_GBK" w:hAnsi="方正楷体_GBK" w:eastAsia="方正楷体_GBK" w:cs="方正楷体_GBK"/>
          <w:b w:val="0"/>
          <w:bCs/>
          <w:snapToGrid w:val="0"/>
          <w:color w:val="auto"/>
          <w:spacing w:val="11"/>
          <w:sz w:val="32"/>
          <w:szCs w:val="32"/>
        </w:rPr>
        <w:t>）失业保险</w:t>
      </w:r>
    </w:p>
    <w:p>
      <w:pPr>
        <w:keepNext w:val="0"/>
        <w:keepLines w:val="0"/>
        <w:pageBreakBefore w:val="0"/>
        <w:widowControl w:val="0"/>
        <w:kinsoku/>
        <w:wordWrap/>
        <w:overflowPunct/>
        <w:topLinePunct w:val="0"/>
        <w:autoSpaceDE w:val="0"/>
        <w:autoSpaceDN w:val="0"/>
        <w:bidi w:val="0"/>
        <w:adjustRightInd w:val="0"/>
        <w:snapToGrid/>
        <w:spacing w:line="578" w:lineRule="exact"/>
        <w:ind w:firstLine="684" w:firstLineChars="200"/>
        <w:textAlignment w:val="auto"/>
        <w:rPr>
          <w:rFonts w:hint="default" w:ascii="Times New Roman" w:hAnsi="Times New Roman" w:eastAsia="方正仿宋_GBK" w:cs="Times New Roman"/>
          <w:snapToGrid w:val="0"/>
          <w:color w:val="auto"/>
          <w:spacing w:val="11"/>
          <w:sz w:val="32"/>
          <w:szCs w:val="32"/>
        </w:rPr>
      </w:pPr>
      <w:r>
        <w:rPr>
          <w:rFonts w:hint="default" w:ascii="Times New Roman" w:hAnsi="Times New Roman" w:eastAsia="方正仿宋_GBK" w:cs="Times New Roman"/>
          <w:snapToGrid w:val="0"/>
          <w:color w:val="auto"/>
          <w:spacing w:val="11"/>
          <w:sz w:val="32"/>
          <w:szCs w:val="32"/>
          <w:lang w:eastAsia="zh-CN"/>
        </w:rPr>
        <w:t>失业保险基金</w:t>
      </w:r>
      <w:r>
        <w:rPr>
          <w:rFonts w:hint="default" w:ascii="Times New Roman" w:hAnsi="Times New Roman" w:eastAsia="方正仿宋_GBK" w:cs="Times New Roman"/>
          <w:snapToGrid w:val="0"/>
          <w:color w:val="auto"/>
          <w:spacing w:val="11"/>
          <w:sz w:val="32"/>
          <w:szCs w:val="32"/>
        </w:rPr>
        <w:t>调整后预算收入</w:t>
      </w:r>
      <w:r>
        <w:rPr>
          <w:rFonts w:hint="default" w:ascii="Times New Roman" w:hAnsi="Times New Roman" w:eastAsia="方正仿宋_GBK" w:cs="Times New Roman"/>
          <w:snapToGrid w:val="0"/>
          <w:color w:val="auto"/>
          <w:spacing w:val="11"/>
          <w:sz w:val="32"/>
          <w:szCs w:val="32"/>
          <w:lang w:val="en-US" w:eastAsia="zh-CN"/>
        </w:rPr>
        <w:t>10,623</w:t>
      </w:r>
      <w:r>
        <w:rPr>
          <w:rFonts w:hint="default" w:ascii="Times New Roman" w:hAnsi="Times New Roman" w:eastAsia="方正仿宋_GBK" w:cs="Times New Roman"/>
          <w:snapToGrid w:val="0"/>
          <w:color w:val="auto"/>
          <w:spacing w:val="11"/>
          <w:sz w:val="32"/>
          <w:szCs w:val="32"/>
        </w:rPr>
        <w:t>万元，较年初预算调</w:t>
      </w:r>
      <w:r>
        <w:rPr>
          <w:rFonts w:hint="default" w:ascii="Times New Roman" w:hAnsi="Times New Roman" w:eastAsia="方正仿宋_GBK" w:cs="Times New Roman"/>
          <w:snapToGrid w:val="0"/>
          <w:color w:val="auto"/>
          <w:spacing w:val="11"/>
          <w:sz w:val="32"/>
          <w:szCs w:val="32"/>
          <w:lang w:eastAsia="zh-CN"/>
        </w:rPr>
        <w:t>增</w:t>
      </w:r>
      <w:r>
        <w:rPr>
          <w:rFonts w:hint="default" w:ascii="Times New Roman" w:hAnsi="Times New Roman" w:eastAsia="方正仿宋_GBK" w:cs="Times New Roman"/>
          <w:snapToGrid w:val="0"/>
          <w:color w:val="auto"/>
          <w:spacing w:val="11"/>
          <w:sz w:val="32"/>
          <w:szCs w:val="32"/>
          <w:lang w:val="en-US" w:eastAsia="zh-CN"/>
        </w:rPr>
        <w:t>6,576</w:t>
      </w:r>
      <w:r>
        <w:rPr>
          <w:rFonts w:hint="default" w:ascii="Times New Roman" w:hAnsi="Times New Roman" w:eastAsia="方正仿宋_GBK" w:cs="Times New Roman"/>
          <w:snapToGrid w:val="0"/>
          <w:color w:val="auto"/>
          <w:spacing w:val="11"/>
          <w:sz w:val="32"/>
          <w:szCs w:val="32"/>
        </w:rPr>
        <w:t>万元，</w:t>
      </w:r>
      <w:r>
        <w:rPr>
          <w:rFonts w:hint="default" w:ascii="Times New Roman" w:hAnsi="Times New Roman" w:eastAsia="方正仿宋_GBK" w:cs="Times New Roman"/>
          <w:snapToGrid w:val="0"/>
          <w:color w:val="auto"/>
          <w:spacing w:val="11"/>
          <w:sz w:val="32"/>
          <w:szCs w:val="32"/>
          <w:lang w:eastAsia="zh-CN"/>
        </w:rPr>
        <w:t>增</w:t>
      </w:r>
      <w:r>
        <w:rPr>
          <w:rFonts w:hint="default" w:ascii="Times New Roman" w:hAnsi="Times New Roman" w:eastAsia="方正仿宋_GBK" w:cs="Times New Roman"/>
          <w:snapToGrid w:val="0"/>
          <w:color w:val="auto"/>
          <w:spacing w:val="11"/>
          <w:sz w:val="32"/>
          <w:szCs w:val="32"/>
        </w:rPr>
        <w:t>幅为</w:t>
      </w:r>
      <w:r>
        <w:rPr>
          <w:rFonts w:hint="default" w:ascii="Times New Roman" w:hAnsi="Times New Roman" w:eastAsia="方正仿宋_GBK" w:cs="Times New Roman"/>
          <w:snapToGrid w:val="0"/>
          <w:color w:val="auto"/>
          <w:spacing w:val="11"/>
          <w:sz w:val="32"/>
          <w:szCs w:val="32"/>
          <w:lang w:val="en-US" w:eastAsia="zh-CN"/>
        </w:rPr>
        <w:t>162.49</w:t>
      </w:r>
      <w:r>
        <w:rPr>
          <w:rFonts w:hint="default" w:ascii="Times New Roman" w:hAnsi="Times New Roman" w:eastAsia="方正仿宋_GBK" w:cs="Times New Roman"/>
          <w:snapToGrid w:val="0"/>
          <w:color w:val="auto"/>
          <w:spacing w:val="11"/>
          <w:sz w:val="32"/>
          <w:szCs w:val="32"/>
        </w:rPr>
        <w:t>%</w:t>
      </w:r>
      <w:r>
        <w:rPr>
          <w:rFonts w:hint="default" w:ascii="Times New Roman" w:hAnsi="Times New Roman" w:eastAsia="方正仿宋_GBK" w:cs="Times New Roman"/>
          <w:snapToGrid w:val="0"/>
          <w:color w:val="auto"/>
          <w:spacing w:val="11"/>
          <w:sz w:val="32"/>
          <w:szCs w:val="32"/>
          <w:lang w:eastAsia="zh-CN"/>
        </w:rPr>
        <w:t>，</w:t>
      </w:r>
      <w:r>
        <w:rPr>
          <w:rFonts w:hint="default" w:ascii="Times New Roman" w:hAnsi="Times New Roman" w:eastAsia="方正仿宋_GBK" w:cs="Times New Roman"/>
          <w:snapToGrid w:val="0"/>
          <w:color w:val="auto"/>
          <w:spacing w:val="11"/>
          <w:sz w:val="32"/>
          <w:szCs w:val="32"/>
        </w:rPr>
        <w:t>其中调整后预算征收收入</w:t>
      </w:r>
      <w:r>
        <w:rPr>
          <w:rFonts w:hint="default" w:ascii="Times New Roman" w:hAnsi="Times New Roman" w:eastAsia="方正仿宋_GBK" w:cs="Times New Roman"/>
          <w:snapToGrid w:val="0"/>
          <w:color w:val="auto"/>
          <w:spacing w:val="11"/>
          <w:sz w:val="32"/>
          <w:szCs w:val="32"/>
          <w:lang w:val="en-US" w:eastAsia="zh-CN"/>
        </w:rPr>
        <w:t>2,219万</w:t>
      </w:r>
      <w:r>
        <w:rPr>
          <w:rFonts w:hint="default" w:ascii="Times New Roman" w:hAnsi="Times New Roman" w:eastAsia="方正仿宋_GBK" w:cs="Times New Roman"/>
          <w:snapToGrid w:val="0"/>
          <w:color w:val="auto"/>
          <w:spacing w:val="11"/>
          <w:sz w:val="32"/>
          <w:szCs w:val="32"/>
        </w:rPr>
        <w:t>元，</w:t>
      </w:r>
      <w:r>
        <w:rPr>
          <w:rFonts w:hint="default" w:ascii="Times New Roman" w:hAnsi="Times New Roman" w:eastAsia="方正仿宋_GBK" w:cs="Times New Roman"/>
          <w:snapToGrid w:val="0"/>
          <w:color w:val="auto"/>
          <w:spacing w:val="11"/>
          <w:sz w:val="32"/>
          <w:szCs w:val="32"/>
          <w:lang w:eastAsia="zh-CN"/>
        </w:rPr>
        <w:t>较年初预算</w:t>
      </w:r>
      <w:r>
        <w:rPr>
          <w:rFonts w:hint="default" w:ascii="Times New Roman" w:hAnsi="Times New Roman" w:eastAsia="方正仿宋_GBK" w:cs="Times New Roman"/>
          <w:snapToGrid w:val="0"/>
          <w:color w:val="auto"/>
          <w:spacing w:val="11"/>
          <w:sz w:val="32"/>
          <w:szCs w:val="32"/>
        </w:rPr>
        <w:t>调</w:t>
      </w:r>
      <w:r>
        <w:rPr>
          <w:rFonts w:hint="default" w:ascii="Times New Roman" w:hAnsi="Times New Roman" w:eastAsia="方正仿宋_GBK" w:cs="Times New Roman"/>
          <w:snapToGrid w:val="0"/>
          <w:color w:val="auto"/>
          <w:spacing w:val="11"/>
          <w:sz w:val="32"/>
          <w:szCs w:val="32"/>
          <w:lang w:eastAsia="zh-CN"/>
        </w:rPr>
        <w:t>增</w:t>
      </w:r>
      <w:r>
        <w:rPr>
          <w:rFonts w:hint="default" w:ascii="Times New Roman" w:hAnsi="Times New Roman" w:eastAsia="方正仿宋_GBK" w:cs="Times New Roman"/>
          <w:snapToGrid w:val="0"/>
          <w:color w:val="auto"/>
          <w:spacing w:val="11"/>
          <w:sz w:val="32"/>
          <w:szCs w:val="32"/>
          <w:lang w:val="en-US" w:eastAsia="zh-CN"/>
        </w:rPr>
        <w:t>218</w:t>
      </w:r>
      <w:r>
        <w:rPr>
          <w:rFonts w:hint="default" w:ascii="Times New Roman" w:hAnsi="Times New Roman" w:eastAsia="方正仿宋_GBK" w:cs="Times New Roman"/>
          <w:snapToGrid w:val="0"/>
          <w:color w:val="auto"/>
          <w:spacing w:val="11"/>
          <w:sz w:val="32"/>
          <w:szCs w:val="32"/>
        </w:rPr>
        <w:t>万元，</w:t>
      </w:r>
      <w:r>
        <w:rPr>
          <w:rFonts w:hint="default" w:ascii="Times New Roman" w:hAnsi="Times New Roman" w:eastAsia="方正仿宋_GBK" w:cs="Times New Roman"/>
          <w:snapToGrid w:val="0"/>
          <w:color w:val="auto"/>
          <w:spacing w:val="11"/>
          <w:sz w:val="32"/>
          <w:szCs w:val="32"/>
          <w:lang w:eastAsia="zh-CN"/>
        </w:rPr>
        <w:t>增</w:t>
      </w:r>
      <w:r>
        <w:rPr>
          <w:rFonts w:hint="default" w:ascii="Times New Roman" w:hAnsi="Times New Roman" w:eastAsia="方正仿宋_GBK" w:cs="Times New Roman"/>
          <w:snapToGrid w:val="0"/>
          <w:color w:val="auto"/>
          <w:spacing w:val="11"/>
          <w:sz w:val="32"/>
          <w:szCs w:val="32"/>
        </w:rPr>
        <w:t>幅为</w:t>
      </w:r>
      <w:r>
        <w:rPr>
          <w:rFonts w:hint="default" w:ascii="Times New Roman" w:hAnsi="Times New Roman" w:eastAsia="方正仿宋_GBK" w:cs="Times New Roman"/>
          <w:snapToGrid w:val="0"/>
          <w:color w:val="auto"/>
          <w:spacing w:val="11"/>
          <w:sz w:val="32"/>
          <w:szCs w:val="32"/>
          <w:lang w:val="en-US" w:eastAsia="zh-CN"/>
        </w:rPr>
        <w:t>10.89</w:t>
      </w:r>
      <w:r>
        <w:rPr>
          <w:rFonts w:hint="default" w:ascii="Times New Roman" w:hAnsi="Times New Roman" w:eastAsia="方正仿宋_GBK" w:cs="Times New Roman"/>
          <w:snapToGrid w:val="0"/>
          <w:color w:val="auto"/>
          <w:spacing w:val="11"/>
          <w:sz w:val="32"/>
          <w:szCs w:val="32"/>
        </w:rPr>
        <w:t>%</w:t>
      </w:r>
      <w:r>
        <w:rPr>
          <w:rFonts w:hint="default" w:ascii="Times New Roman" w:hAnsi="Times New Roman" w:eastAsia="方正仿宋_GBK" w:cs="Times New Roman"/>
          <w:snapToGrid w:val="0"/>
          <w:color w:val="auto"/>
          <w:spacing w:val="11"/>
          <w:sz w:val="32"/>
          <w:szCs w:val="32"/>
          <w:lang w:eastAsia="zh-CN"/>
        </w:rPr>
        <w:t>，调整后上级补助收入</w:t>
      </w:r>
      <w:r>
        <w:rPr>
          <w:rFonts w:hint="default" w:ascii="Times New Roman" w:hAnsi="Times New Roman" w:eastAsia="方正仿宋_GBK" w:cs="Times New Roman"/>
          <w:snapToGrid w:val="0"/>
          <w:color w:val="auto"/>
          <w:spacing w:val="11"/>
          <w:sz w:val="32"/>
          <w:szCs w:val="32"/>
          <w:lang w:val="en-US" w:eastAsia="zh-CN"/>
        </w:rPr>
        <w:t>8,151万元，调整增加6,349万元</w:t>
      </w:r>
      <w:r>
        <w:rPr>
          <w:rFonts w:hint="default" w:ascii="Times New Roman" w:hAnsi="Times New Roman" w:eastAsia="方正仿宋_GBK" w:cs="Times New Roman"/>
          <w:snapToGrid w:val="0"/>
          <w:color w:val="auto"/>
          <w:spacing w:val="11"/>
          <w:sz w:val="32"/>
          <w:szCs w:val="32"/>
          <w:lang w:eastAsia="zh-CN"/>
        </w:rPr>
        <w:t>；</w:t>
      </w:r>
      <w:r>
        <w:rPr>
          <w:rFonts w:hint="default" w:ascii="Times New Roman" w:hAnsi="Times New Roman" w:eastAsia="方正仿宋_GBK" w:cs="Times New Roman"/>
          <w:snapToGrid w:val="0"/>
          <w:color w:val="auto"/>
          <w:spacing w:val="11"/>
          <w:sz w:val="32"/>
          <w:szCs w:val="32"/>
        </w:rPr>
        <w:t>调整后预算支出</w:t>
      </w:r>
      <w:r>
        <w:rPr>
          <w:rFonts w:hint="default" w:ascii="Times New Roman" w:hAnsi="Times New Roman" w:eastAsia="方正仿宋_GBK" w:cs="Times New Roman"/>
          <w:snapToGrid w:val="0"/>
          <w:color w:val="auto"/>
          <w:spacing w:val="11"/>
          <w:sz w:val="32"/>
          <w:szCs w:val="32"/>
          <w:lang w:val="en-US" w:eastAsia="zh-CN"/>
        </w:rPr>
        <w:t>27,323</w:t>
      </w:r>
      <w:r>
        <w:rPr>
          <w:rFonts w:hint="default" w:ascii="Times New Roman" w:hAnsi="Times New Roman" w:eastAsia="方正仿宋_GBK" w:cs="Times New Roman"/>
          <w:snapToGrid w:val="0"/>
          <w:color w:val="auto"/>
          <w:spacing w:val="11"/>
          <w:sz w:val="32"/>
          <w:szCs w:val="32"/>
        </w:rPr>
        <w:t>万元，较年初预算调</w:t>
      </w:r>
      <w:r>
        <w:rPr>
          <w:rFonts w:hint="default" w:ascii="Times New Roman" w:hAnsi="Times New Roman" w:eastAsia="方正仿宋_GBK" w:cs="Times New Roman"/>
          <w:snapToGrid w:val="0"/>
          <w:color w:val="auto"/>
          <w:spacing w:val="11"/>
          <w:sz w:val="32"/>
          <w:szCs w:val="32"/>
          <w:lang w:eastAsia="zh-CN"/>
        </w:rPr>
        <w:t>增</w:t>
      </w:r>
      <w:r>
        <w:rPr>
          <w:rFonts w:hint="default" w:ascii="Times New Roman" w:hAnsi="Times New Roman" w:eastAsia="方正仿宋_GBK" w:cs="Times New Roman"/>
          <w:snapToGrid w:val="0"/>
          <w:color w:val="auto"/>
          <w:spacing w:val="11"/>
          <w:sz w:val="32"/>
          <w:szCs w:val="32"/>
          <w:lang w:val="en-US" w:eastAsia="zh-CN"/>
        </w:rPr>
        <w:t>22,661</w:t>
      </w:r>
      <w:r>
        <w:rPr>
          <w:rFonts w:hint="default" w:ascii="Times New Roman" w:hAnsi="Times New Roman" w:eastAsia="方正仿宋_GBK" w:cs="Times New Roman"/>
          <w:snapToGrid w:val="0"/>
          <w:color w:val="auto"/>
          <w:spacing w:val="11"/>
          <w:sz w:val="32"/>
          <w:szCs w:val="32"/>
        </w:rPr>
        <w:t>万元，</w:t>
      </w:r>
      <w:r>
        <w:rPr>
          <w:rFonts w:hint="default" w:ascii="Times New Roman" w:hAnsi="Times New Roman" w:eastAsia="方正仿宋_GBK" w:cs="Times New Roman"/>
          <w:snapToGrid w:val="0"/>
          <w:color w:val="auto"/>
          <w:spacing w:val="11"/>
          <w:sz w:val="32"/>
          <w:szCs w:val="32"/>
          <w:lang w:eastAsia="zh-CN"/>
        </w:rPr>
        <w:t>增</w:t>
      </w:r>
      <w:r>
        <w:rPr>
          <w:rFonts w:hint="default" w:ascii="Times New Roman" w:hAnsi="Times New Roman" w:eastAsia="方正仿宋_GBK" w:cs="Times New Roman"/>
          <w:snapToGrid w:val="0"/>
          <w:color w:val="auto"/>
          <w:spacing w:val="11"/>
          <w:sz w:val="32"/>
          <w:szCs w:val="32"/>
        </w:rPr>
        <w:t>幅为</w:t>
      </w:r>
      <w:r>
        <w:rPr>
          <w:rFonts w:hint="default" w:ascii="Times New Roman" w:hAnsi="Times New Roman" w:eastAsia="方正仿宋_GBK" w:cs="Times New Roman"/>
          <w:snapToGrid w:val="0"/>
          <w:color w:val="auto"/>
          <w:spacing w:val="11"/>
          <w:sz w:val="32"/>
          <w:szCs w:val="32"/>
          <w:lang w:val="en-US" w:eastAsia="zh-CN"/>
        </w:rPr>
        <w:t>486.08</w:t>
      </w:r>
      <w:r>
        <w:rPr>
          <w:rFonts w:hint="default" w:ascii="Times New Roman" w:hAnsi="Times New Roman" w:eastAsia="方正仿宋_GBK" w:cs="Times New Roman"/>
          <w:snapToGrid w:val="0"/>
          <w:color w:val="auto"/>
          <w:spacing w:val="11"/>
          <w:sz w:val="32"/>
          <w:szCs w:val="32"/>
        </w:rPr>
        <w:t>%</w:t>
      </w:r>
      <w:r>
        <w:rPr>
          <w:rFonts w:hint="default" w:ascii="Times New Roman" w:hAnsi="Times New Roman" w:eastAsia="方正仿宋_GBK" w:cs="Times New Roman"/>
          <w:snapToGrid w:val="0"/>
          <w:color w:val="auto"/>
          <w:spacing w:val="11"/>
          <w:sz w:val="32"/>
          <w:szCs w:val="32"/>
          <w:lang w:eastAsia="zh-CN"/>
        </w:rPr>
        <w:t>，其中调整后上解上级支出</w:t>
      </w:r>
      <w:r>
        <w:rPr>
          <w:rFonts w:hint="default" w:ascii="Times New Roman" w:hAnsi="Times New Roman" w:eastAsia="方正仿宋_GBK" w:cs="Times New Roman"/>
          <w:snapToGrid w:val="0"/>
          <w:color w:val="auto"/>
          <w:spacing w:val="11"/>
          <w:sz w:val="32"/>
          <w:szCs w:val="32"/>
          <w:lang w:val="en-US" w:eastAsia="zh-CN"/>
        </w:rPr>
        <w:t>17,390万元，调整增加15,758万元</w:t>
      </w:r>
      <w:r>
        <w:rPr>
          <w:rFonts w:hint="default" w:ascii="Times New Roman" w:hAnsi="Times New Roman" w:eastAsia="方正仿宋_GBK" w:cs="Times New Roman"/>
          <w:snapToGrid w:val="0"/>
          <w:color w:val="auto"/>
          <w:spacing w:val="11"/>
          <w:sz w:val="32"/>
          <w:szCs w:val="32"/>
          <w:lang w:eastAsia="zh-CN"/>
        </w:rPr>
        <w:t>；调整后当期结余</w:t>
      </w:r>
      <w:r>
        <w:rPr>
          <w:rFonts w:hint="default" w:ascii="Times New Roman" w:hAnsi="Times New Roman" w:eastAsia="方正仿宋_GBK" w:cs="Times New Roman"/>
          <w:snapToGrid w:val="0"/>
          <w:color w:val="auto"/>
          <w:spacing w:val="11"/>
          <w:sz w:val="32"/>
          <w:szCs w:val="32"/>
          <w:lang w:val="en-US" w:eastAsia="zh-CN"/>
        </w:rPr>
        <w:t>-16,700</w:t>
      </w:r>
      <w:r>
        <w:rPr>
          <w:rFonts w:hint="default" w:ascii="Times New Roman" w:hAnsi="Times New Roman" w:eastAsia="方正仿宋_GBK" w:cs="Times New Roman"/>
          <w:snapToGrid w:val="0"/>
          <w:color w:val="auto"/>
          <w:spacing w:val="11"/>
          <w:sz w:val="32"/>
          <w:szCs w:val="32"/>
          <w:lang w:eastAsia="zh-CN"/>
        </w:rPr>
        <w:t>万元，历年累计结余</w:t>
      </w:r>
      <w:r>
        <w:rPr>
          <w:rFonts w:hint="default" w:ascii="Times New Roman" w:hAnsi="Times New Roman" w:eastAsia="方正仿宋_GBK" w:cs="Times New Roman"/>
          <w:snapToGrid w:val="0"/>
          <w:color w:val="auto"/>
          <w:spacing w:val="11"/>
          <w:sz w:val="32"/>
          <w:szCs w:val="32"/>
          <w:lang w:val="en-US" w:eastAsia="zh-CN"/>
        </w:rPr>
        <w:t>-11,833</w:t>
      </w:r>
      <w:r>
        <w:rPr>
          <w:rFonts w:hint="default" w:ascii="Times New Roman" w:hAnsi="Times New Roman" w:eastAsia="方正仿宋_GBK" w:cs="Times New Roman"/>
          <w:snapToGrid w:val="0"/>
          <w:color w:val="auto"/>
          <w:spacing w:val="11"/>
          <w:sz w:val="32"/>
          <w:szCs w:val="32"/>
          <w:lang w:eastAsia="zh-CN"/>
        </w:rPr>
        <w:t>万元。</w:t>
      </w:r>
    </w:p>
    <w:p>
      <w:pPr>
        <w:keepNext w:val="0"/>
        <w:keepLines w:val="0"/>
        <w:pageBreakBefore w:val="0"/>
        <w:widowControl w:val="0"/>
        <w:kinsoku/>
        <w:wordWrap/>
        <w:overflowPunct/>
        <w:topLinePunct w:val="0"/>
        <w:autoSpaceDE w:val="0"/>
        <w:autoSpaceDN w:val="0"/>
        <w:bidi w:val="0"/>
        <w:adjustRightInd w:val="0"/>
        <w:snapToGrid/>
        <w:spacing w:line="578" w:lineRule="exact"/>
        <w:ind w:firstLine="684" w:firstLineChars="200"/>
        <w:textAlignment w:val="auto"/>
        <w:rPr>
          <w:rFonts w:hint="default" w:ascii="Times New Roman" w:hAnsi="Times New Roman" w:eastAsia="方正仿宋_GBK" w:cs="Times New Roman"/>
          <w:snapToGrid w:val="0"/>
          <w:color w:val="auto"/>
          <w:spacing w:val="11"/>
          <w:sz w:val="32"/>
          <w:szCs w:val="32"/>
          <w:lang w:val="en-US" w:eastAsia="zh-CN"/>
        </w:rPr>
      </w:pPr>
      <w:r>
        <w:rPr>
          <w:rFonts w:hint="default" w:ascii="Times New Roman" w:hAnsi="Times New Roman" w:eastAsia="方正仿宋_GBK" w:cs="Times New Roman"/>
          <w:snapToGrid w:val="0"/>
          <w:color w:val="auto"/>
          <w:spacing w:val="11"/>
          <w:sz w:val="32"/>
          <w:szCs w:val="32"/>
          <w:lang w:eastAsia="zh-CN"/>
        </w:rPr>
        <w:t>失业保险基金预算收入调增的主要原因是：</w:t>
      </w:r>
      <w:r>
        <w:rPr>
          <w:rFonts w:hint="default" w:ascii="Times New Roman" w:hAnsi="Times New Roman" w:eastAsia="方正仿宋_GBK" w:cs="Times New Roman"/>
          <w:snapToGrid w:val="0"/>
          <w:color w:val="auto"/>
          <w:spacing w:val="11"/>
          <w:sz w:val="32"/>
          <w:szCs w:val="32"/>
          <w:lang w:val="en-US" w:eastAsia="zh-CN"/>
        </w:rPr>
        <w:t>2022年7月实施省级统筹，增加了上级补助收入。</w:t>
      </w:r>
    </w:p>
    <w:p>
      <w:pPr>
        <w:keepNext w:val="0"/>
        <w:keepLines w:val="0"/>
        <w:pageBreakBefore w:val="0"/>
        <w:widowControl w:val="0"/>
        <w:kinsoku/>
        <w:wordWrap/>
        <w:overflowPunct/>
        <w:topLinePunct w:val="0"/>
        <w:autoSpaceDE w:val="0"/>
        <w:autoSpaceDN w:val="0"/>
        <w:bidi w:val="0"/>
        <w:adjustRightInd w:val="0"/>
        <w:snapToGrid/>
        <w:spacing w:line="578" w:lineRule="exact"/>
        <w:ind w:firstLine="684" w:firstLineChars="200"/>
        <w:textAlignment w:val="auto"/>
        <w:rPr>
          <w:rFonts w:hint="default" w:ascii="Times New Roman" w:hAnsi="Times New Roman" w:eastAsia="方正仿宋_GBK" w:cs="Times New Roman"/>
          <w:snapToGrid w:val="0"/>
          <w:color w:val="auto"/>
          <w:spacing w:val="11"/>
          <w:sz w:val="32"/>
          <w:szCs w:val="32"/>
          <w:lang w:val="en-US" w:eastAsia="zh-CN"/>
        </w:rPr>
      </w:pPr>
      <w:r>
        <w:rPr>
          <w:rFonts w:hint="default" w:ascii="Times New Roman" w:hAnsi="Times New Roman" w:eastAsia="方正仿宋_GBK" w:cs="Times New Roman"/>
          <w:snapToGrid w:val="0"/>
          <w:color w:val="auto"/>
          <w:spacing w:val="11"/>
          <w:sz w:val="32"/>
          <w:szCs w:val="32"/>
          <w:lang w:eastAsia="zh-CN"/>
        </w:rPr>
        <w:t>失业保险基金预算支出调增的主要原因是：</w:t>
      </w:r>
      <w:r>
        <w:rPr>
          <w:rFonts w:hint="default" w:ascii="Times New Roman" w:hAnsi="Times New Roman" w:eastAsia="方正仿宋_GBK" w:cs="Times New Roman"/>
          <w:snapToGrid w:val="0"/>
          <w:color w:val="auto"/>
          <w:spacing w:val="11"/>
          <w:sz w:val="32"/>
          <w:szCs w:val="32"/>
          <w:lang w:val="en-US" w:eastAsia="zh-CN"/>
        </w:rPr>
        <w:t>1.2022年7月实施省级统筹，增加了上解上级支出；2.</w:t>
      </w:r>
      <w:r>
        <w:rPr>
          <w:rFonts w:hint="default" w:ascii="Times New Roman" w:hAnsi="Times New Roman" w:eastAsia="方正仿宋_GBK" w:cs="Times New Roman"/>
          <w:snapToGrid w:val="0"/>
          <w:color w:val="auto"/>
          <w:spacing w:val="11"/>
          <w:sz w:val="32"/>
          <w:szCs w:val="32"/>
          <w:lang w:eastAsia="zh-CN"/>
        </w:rPr>
        <w:t>加大稳岗返还力度。大型企业稳岗返还比例由</w:t>
      </w:r>
      <w:r>
        <w:rPr>
          <w:rFonts w:hint="default" w:ascii="Times New Roman" w:hAnsi="Times New Roman" w:eastAsia="方正仿宋_GBK" w:cs="Times New Roman"/>
          <w:snapToGrid w:val="0"/>
          <w:color w:val="auto"/>
          <w:spacing w:val="11"/>
          <w:sz w:val="32"/>
          <w:szCs w:val="32"/>
          <w:lang w:val="en-US" w:eastAsia="zh-CN"/>
        </w:rPr>
        <w:t>30%提高至50%，中小微企业稳岗返还比例由60%提高至90%；3.拓宽一次性留工培训补助受益范围，将一次性留工培训补助由出现中高风险地区的中小微企业扩大至大型企业，以及未出现中高风险疫情地区的餐饮、零售、旅游、民航和公路水路铁路运输5个行业企业；4.发放一次性扩岗补助，对招用毕业年度高校毕业生的企业按每人1500元的标准发放一次性扩岗补助。</w:t>
      </w:r>
    </w:p>
    <w:p>
      <w:pPr>
        <w:keepNext w:val="0"/>
        <w:keepLines w:val="0"/>
        <w:pageBreakBefore w:val="0"/>
        <w:widowControl w:val="0"/>
        <w:kinsoku/>
        <w:wordWrap/>
        <w:overflowPunct/>
        <w:topLinePunct w:val="0"/>
        <w:autoSpaceDE w:val="0"/>
        <w:autoSpaceDN w:val="0"/>
        <w:bidi w:val="0"/>
        <w:adjustRightInd w:val="0"/>
        <w:snapToGrid/>
        <w:spacing w:line="578" w:lineRule="exact"/>
        <w:ind w:firstLine="684" w:firstLineChars="200"/>
        <w:textAlignment w:val="auto"/>
        <w:rPr>
          <w:rFonts w:hint="default" w:ascii="方正楷体_GBK" w:hAnsi="方正楷体_GBK" w:eastAsia="方正楷体_GBK" w:cs="方正楷体_GBK"/>
          <w:b w:val="0"/>
          <w:bCs/>
          <w:snapToGrid w:val="0"/>
          <w:color w:val="auto"/>
          <w:spacing w:val="11"/>
          <w:sz w:val="32"/>
          <w:szCs w:val="32"/>
          <w:lang w:val="en-US" w:eastAsia="zh-CN"/>
        </w:rPr>
      </w:pPr>
      <w:r>
        <w:rPr>
          <w:rFonts w:hint="default" w:ascii="方正楷体_GBK" w:hAnsi="方正楷体_GBK" w:eastAsia="方正楷体_GBK" w:cs="方正楷体_GBK"/>
          <w:b w:val="0"/>
          <w:bCs/>
          <w:snapToGrid w:val="0"/>
          <w:color w:val="auto"/>
          <w:spacing w:val="11"/>
          <w:sz w:val="32"/>
          <w:szCs w:val="32"/>
        </w:rPr>
        <w:t>（</w:t>
      </w:r>
      <w:r>
        <w:rPr>
          <w:rFonts w:hint="default" w:ascii="方正楷体_GBK" w:hAnsi="方正楷体_GBK" w:eastAsia="方正楷体_GBK" w:cs="方正楷体_GBK"/>
          <w:b w:val="0"/>
          <w:bCs/>
          <w:snapToGrid w:val="0"/>
          <w:color w:val="auto"/>
          <w:spacing w:val="11"/>
          <w:sz w:val="32"/>
          <w:szCs w:val="32"/>
          <w:lang w:eastAsia="zh-CN"/>
        </w:rPr>
        <w:t>四）工伤保险</w:t>
      </w:r>
    </w:p>
    <w:p>
      <w:pPr>
        <w:keepNext w:val="0"/>
        <w:keepLines w:val="0"/>
        <w:pageBreakBefore w:val="0"/>
        <w:widowControl w:val="0"/>
        <w:kinsoku/>
        <w:wordWrap/>
        <w:overflowPunct/>
        <w:topLinePunct w:val="0"/>
        <w:autoSpaceDE w:val="0"/>
        <w:autoSpaceDN w:val="0"/>
        <w:bidi w:val="0"/>
        <w:adjustRightInd w:val="0"/>
        <w:snapToGrid/>
        <w:spacing w:line="578" w:lineRule="exact"/>
        <w:ind w:firstLine="684" w:firstLineChars="200"/>
        <w:textAlignment w:val="auto"/>
        <w:rPr>
          <w:rFonts w:hint="default" w:ascii="Times New Roman" w:hAnsi="Times New Roman" w:eastAsia="方正仿宋_GBK" w:cs="Times New Roman"/>
          <w:snapToGrid w:val="0"/>
          <w:color w:val="auto"/>
          <w:spacing w:val="11"/>
          <w:sz w:val="32"/>
          <w:szCs w:val="32"/>
          <w:lang w:eastAsia="zh-CN"/>
        </w:rPr>
      </w:pPr>
      <w:r>
        <w:rPr>
          <w:rFonts w:hint="default" w:ascii="Times New Roman" w:hAnsi="Times New Roman" w:eastAsia="方正仿宋_GBK" w:cs="Times New Roman"/>
          <w:snapToGrid w:val="0"/>
          <w:color w:val="auto"/>
          <w:spacing w:val="11"/>
          <w:sz w:val="32"/>
          <w:szCs w:val="32"/>
          <w:lang w:eastAsia="zh-CN"/>
        </w:rPr>
        <w:t>工伤保险基金</w:t>
      </w:r>
      <w:r>
        <w:rPr>
          <w:rFonts w:hint="default" w:ascii="Times New Roman" w:hAnsi="Times New Roman" w:eastAsia="方正仿宋_GBK" w:cs="Times New Roman"/>
          <w:snapToGrid w:val="0"/>
          <w:color w:val="auto"/>
          <w:spacing w:val="11"/>
          <w:sz w:val="32"/>
          <w:szCs w:val="32"/>
        </w:rPr>
        <w:t>调整后预算收入</w:t>
      </w:r>
      <w:r>
        <w:rPr>
          <w:rFonts w:hint="default" w:ascii="Times New Roman" w:hAnsi="Times New Roman" w:eastAsia="方正仿宋_GBK" w:cs="Times New Roman"/>
          <w:snapToGrid w:val="0"/>
          <w:color w:val="auto"/>
          <w:spacing w:val="11"/>
          <w:sz w:val="32"/>
          <w:szCs w:val="32"/>
          <w:lang w:val="en-US" w:eastAsia="zh-CN"/>
        </w:rPr>
        <w:t>6,537</w:t>
      </w:r>
      <w:r>
        <w:rPr>
          <w:rFonts w:hint="default" w:ascii="Times New Roman" w:hAnsi="Times New Roman" w:eastAsia="方正仿宋_GBK" w:cs="Times New Roman"/>
          <w:snapToGrid w:val="0"/>
          <w:color w:val="auto"/>
          <w:spacing w:val="11"/>
          <w:sz w:val="32"/>
          <w:szCs w:val="32"/>
        </w:rPr>
        <w:t>万元，较年初预算</w:t>
      </w:r>
      <w:r>
        <w:rPr>
          <w:rFonts w:hint="default" w:ascii="Times New Roman" w:hAnsi="Times New Roman" w:eastAsia="方正仿宋_GBK" w:cs="Times New Roman"/>
          <w:snapToGrid w:val="0"/>
          <w:color w:val="auto"/>
          <w:spacing w:val="11"/>
          <w:sz w:val="32"/>
          <w:szCs w:val="32"/>
          <w:lang w:eastAsia="zh-CN"/>
        </w:rPr>
        <w:t>增加</w:t>
      </w:r>
      <w:r>
        <w:rPr>
          <w:rFonts w:hint="default" w:ascii="Times New Roman" w:hAnsi="Times New Roman" w:eastAsia="方正仿宋_GBK" w:cs="Times New Roman"/>
          <w:snapToGrid w:val="0"/>
          <w:color w:val="auto"/>
          <w:spacing w:val="11"/>
          <w:sz w:val="32"/>
          <w:szCs w:val="32"/>
          <w:lang w:val="en-US" w:eastAsia="zh-CN"/>
        </w:rPr>
        <w:t>951</w:t>
      </w:r>
      <w:r>
        <w:rPr>
          <w:rFonts w:hint="default" w:ascii="Times New Roman" w:hAnsi="Times New Roman" w:eastAsia="方正仿宋_GBK" w:cs="Times New Roman"/>
          <w:snapToGrid w:val="0"/>
          <w:color w:val="auto"/>
          <w:spacing w:val="11"/>
          <w:sz w:val="32"/>
          <w:szCs w:val="32"/>
        </w:rPr>
        <w:t>万元，</w:t>
      </w:r>
      <w:r>
        <w:rPr>
          <w:rFonts w:hint="default" w:ascii="Times New Roman" w:hAnsi="Times New Roman" w:eastAsia="方正仿宋_GBK" w:cs="Times New Roman"/>
          <w:snapToGrid w:val="0"/>
          <w:color w:val="auto"/>
          <w:spacing w:val="11"/>
          <w:sz w:val="32"/>
          <w:szCs w:val="32"/>
          <w:lang w:eastAsia="zh-CN"/>
        </w:rPr>
        <w:t>增</w:t>
      </w:r>
      <w:r>
        <w:rPr>
          <w:rFonts w:hint="default" w:ascii="Times New Roman" w:hAnsi="Times New Roman" w:eastAsia="方正仿宋_GBK" w:cs="Times New Roman"/>
          <w:snapToGrid w:val="0"/>
          <w:color w:val="auto"/>
          <w:spacing w:val="11"/>
          <w:sz w:val="32"/>
          <w:szCs w:val="32"/>
        </w:rPr>
        <w:t>幅为</w:t>
      </w:r>
      <w:r>
        <w:rPr>
          <w:rFonts w:hint="default" w:ascii="Times New Roman" w:hAnsi="Times New Roman" w:eastAsia="方正仿宋_GBK" w:cs="Times New Roman"/>
          <w:snapToGrid w:val="0"/>
          <w:color w:val="auto"/>
          <w:spacing w:val="11"/>
          <w:sz w:val="32"/>
          <w:szCs w:val="32"/>
          <w:lang w:val="en-US" w:eastAsia="zh-CN"/>
        </w:rPr>
        <w:t>17.02</w:t>
      </w:r>
      <w:r>
        <w:rPr>
          <w:rFonts w:hint="default" w:ascii="Times New Roman" w:hAnsi="Times New Roman" w:eastAsia="方正仿宋_GBK" w:cs="Times New Roman"/>
          <w:snapToGrid w:val="0"/>
          <w:color w:val="auto"/>
          <w:spacing w:val="11"/>
          <w:sz w:val="32"/>
          <w:szCs w:val="32"/>
        </w:rPr>
        <w:t>%</w:t>
      </w:r>
      <w:r>
        <w:rPr>
          <w:rFonts w:hint="default" w:ascii="Times New Roman" w:hAnsi="Times New Roman" w:eastAsia="方正仿宋_GBK" w:cs="Times New Roman"/>
          <w:snapToGrid w:val="0"/>
          <w:color w:val="auto"/>
          <w:spacing w:val="11"/>
          <w:sz w:val="32"/>
          <w:szCs w:val="32"/>
          <w:lang w:eastAsia="zh-CN"/>
        </w:rPr>
        <w:t>，</w:t>
      </w:r>
      <w:r>
        <w:rPr>
          <w:rFonts w:hint="default" w:ascii="Times New Roman" w:hAnsi="Times New Roman" w:eastAsia="方正仿宋_GBK" w:cs="Times New Roman"/>
          <w:snapToGrid w:val="0"/>
          <w:color w:val="auto"/>
          <w:spacing w:val="11"/>
          <w:sz w:val="32"/>
          <w:szCs w:val="32"/>
        </w:rPr>
        <w:t>其中调整后预算征收收入</w:t>
      </w:r>
      <w:r>
        <w:rPr>
          <w:rFonts w:hint="default" w:ascii="Times New Roman" w:hAnsi="Times New Roman" w:eastAsia="方正仿宋_GBK" w:cs="Times New Roman"/>
          <w:snapToGrid w:val="0"/>
          <w:color w:val="auto"/>
          <w:spacing w:val="11"/>
          <w:sz w:val="32"/>
          <w:szCs w:val="32"/>
          <w:lang w:val="en-US" w:eastAsia="zh-CN"/>
        </w:rPr>
        <w:t>1,622万</w:t>
      </w:r>
      <w:r>
        <w:rPr>
          <w:rFonts w:hint="default" w:ascii="Times New Roman" w:hAnsi="Times New Roman" w:eastAsia="方正仿宋_GBK" w:cs="Times New Roman"/>
          <w:snapToGrid w:val="0"/>
          <w:color w:val="auto"/>
          <w:spacing w:val="11"/>
          <w:sz w:val="32"/>
          <w:szCs w:val="32"/>
        </w:rPr>
        <w:t>元，</w:t>
      </w:r>
      <w:r>
        <w:rPr>
          <w:rFonts w:hint="default" w:ascii="Times New Roman" w:hAnsi="Times New Roman" w:eastAsia="方正仿宋_GBK" w:cs="Times New Roman"/>
          <w:snapToGrid w:val="0"/>
          <w:color w:val="auto"/>
          <w:spacing w:val="11"/>
          <w:sz w:val="32"/>
          <w:szCs w:val="32"/>
          <w:lang w:eastAsia="zh-CN"/>
        </w:rPr>
        <w:t>较年初预算</w:t>
      </w:r>
      <w:r>
        <w:rPr>
          <w:rFonts w:hint="default" w:ascii="Times New Roman" w:hAnsi="Times New Roman" w:eastAsia="方正仿宋_GBK" w:cs="Times New Roman"/>
          <w:snapToGrid w:val="0"/>
          <w:color w:val="auto"/>
          <w:spacing w:val="11"/>
          <w:sz w:val="32"/>
          <w:szCs w:val="32"/>
        </w:rPr>
        <w:t>调</w:t>
      </w:r>
      <w:r>
        <w:rPr>
          <w:rFonts w:hint="default" w:ascii="Times New Roman" w:hAnsi="Times New Roman" w:eastAsia="方正仿宋_GBK" w:cs="Times New Roman"/>
          <w:snapToGrid w:val="0"/>
          <w:color w:val="auto"/>
          <w:spacing w:val="11"/>
          <w:sz w:val="32"/>
          <w:szCs w:val="32"/>
          <w:lang w:eastAsia="zh-CN"/>
        </w:rPr>
        <w:t>减</w:t>
      </w:r>
      <w:r>
        <w:rPr>
          <w:rFonts w:hint="default" w:ascii="Times New Roman" w:hAnsi="Times New Roman" w:eastAsia="方正仿宋_GBK" w:cs="Times New Roman"/>
          <w:snapToGrid w:val="0"/>
          <w:color w:val="auto"/>
          <w:spacing w:val="11"/>
          <w:sz w:val="32"/>
          <w:szCs w:val="32"/>
          <w:lang w:val="en-US" w:eastAsia="zh-CN"/>
        </w:rPr>
        <w:t>240</w:t>
      </w:r>
      <w:r>
        <w:rPr>
          <w:rFonts w:hint="default" w:ascii="Times New Roman" w:hAnsi="Times New Roman" w:eastAsia="方正仿宋_GBK" w:cs="Times New Roman"/>
          <w:snapToGrid w:val="0"/>
          <w:color w:val="auto"/>
          <w:spacing w:val="11"/>
          <w:sz w:val="32"/>
          <w:szCs w:val="32"/>
        </w:rPr>
        <w:t>万元，</w:t>
      </w:r>
      <w:r>
        <w:rPr>
          <w:rFonts w:hint="default" w:ascii="Times New Roman" w:hAnsi="Times New Roman" w:eastAsia="方正仿宋_GBK" w:cs="Times New Roman"/>
          <w:snapToGrid w:val="0"/>
          <w:color w:val="auto"/>
          <w:spacing w:val="11"/>
          <w:sz w:val="32"/>
          <w:szCs w:val="32"/>
          <w:lang w:eastAsia="zh-CN"/>
        </w:rPr>
        <w:t>减</w:t>
      </w:r>
      <w:r>
        <w:rPr>
          <w:rFonts w:hint="default" w:ascii="Times New Roman" w:hAnsi="Times New Roman" w:eastAsia="方正仿宋_GBK" w:cs="Times New Roman"/>
          <w:snapToGrid w:val="0"/>
          <w:color w:val="auto"/>
          <w:spacing w:val="11"/>
          <w:sz w:val="32"/>
          <w:szCs w:val="32"/>
        </w:rPr>
        <w:t>幅为</w:t>
      </w:r>
      <w:r>
        <w:rPr>
          <w:rFonts w:hint="default" w:ascii="Times New Roman" w:hAnsi="Times New Roman" w:eastAsia="方正仿宋_GBK" w:cs="Times New Roman"/>
          <w:snapToGrid w:val="0"/>
          <w:color w:val="auto"/>
          <w:spacing w:val="11"/>
          <w:sz w:val="32"/>
          <w:szCs w:val="32"/>
          <w:lang w:val="en-US" w:eastAsia="zh-CN"/>
        </w:rPr>
        <w:t>12.89</w:t>
      </w:r>
      <w:r>
        <w:rPr>
          <w:rFonts w:hint="default" w:ascii="Times New Roman" w:hAnsi="Times New Roman" w:eastAsia="方正仿宋_GBK" w:cs="Times New Roman"/>
          <w:snapToGrid w:val="0"/>
          <w:color w:val="auto"/>
          <w:spacing w:val="11"/>
          <w:sz w:val="32"/>
          <w:szCs w:val="32"/>
        </w:rPr>
        <w:t>%</w:t>
      </w:r>
      <w:r>
        <w:rPr>
          <w:rFonts w:hint="default" w:ascii="Times New Roman" w:hAnsi="Times New Roman" w:eastAsia="方正仿宋_GBK" w:cs="Times New Roman"/>
          <w:snapToGrid w:val="0"/>
          <w:color w:val="auto"/>
          <w:spacing w:val="11"/>
          <w:sz w:val="32"/>
          <w:szCs w:val="32"/>
          <w:lang w:eastAsia="zh-CN"/>
        </w:rPr>
        <w:t>，调整后上级补助收入</w:t>
      </w:r>
      <w:r>
        <w:rPr>
          <w:rFonts w:hint="default" w:ascii="Times New Roman" w:hAnsi="Times New Roman" w:eastAsia="方正仿宋_GBK" w:cs="Times New Roman"/>
          <w:snapToGrid w:val="0"/>
          <w:color w:val="auto"/>
          <w:spacing w:val="11"/>
          <w:sz w:val="32"/>
          <w:szCs w:val="32"/>
          <w:lang w:val="en-US" w:eastAsia="zh-CN"/>
        </w:rPr>
        <w:t>4,812万元，调整增加1,178万元</w:t>
      </w:r>
      <w:r>
        <w:rPr>
          <w:rFonts w:hint="default" w:ascii="Times New Roman" w:hAnsi="Times New Roman" w:eastAsia="方正仿宋_GBK" w:cs="Times New Roman"/>
          <w:snapToGrid w:val="0"/>
          <w:color w:val="auto"/>
          <w:spacing w:val="11"/>
          <w:sz w:val="32"/>
          <w:szCs w:val="32"/>
          <w:lang w:eastAsia="zh-CN"/>
        </w:rPr>
        <w:t>；</w:t>
      </w:r>
      <w:r>
        <w:rPr>
          <w:rFonts w:hint="default" w:ascii="Times New Roman" w:hAnsi="Times New Roman" w:eastAsia="方正仿宋_GBK" w:cs="Times New Roman"/>
          <w:snapToGrid w:val="0"/>
          <w:color w:val="auto"/>
          <w:spacing w:val="11"/>
          <w:sz w:val="32"/>
          <w:szCs w:val="32"/>
        </w:rPr>
        <w:t>调整后预算支出</w:t>
      </w:r>
      <w:r>
        <w:rPr>
          <w:rFonts w:hint="default" w:ascii="Times New Roman" w:hAnsi="Times New Roman" w:eastAsia="方正仿宋_GBK" w:cs="Times New Roman"/>
          <w:snapToGrid w:val="0"/>
          <w:color w:val="auto"/>
          <w:spacing w:val="11"/>
          <w:sz w:val="32"/>
          <w:szCs w:val="32"/>
          <w:lang w:val="en-US" w:eastAsia="zh-CN"/>
        </w:rPr>
        <w:t>5</w:t>
      </w:r>
      <w:r>
        <w:rPr>
          <w:rFonts w:hint="default" w:ascii="Times New Roman" w:hAnsi="Times New Roman" w:eastAsia="方正仿宋_GBK" w:cs="Times New Roman"/>
          <w:snapToGrid w:val="0"/>
          <w:color w:val="auto"/>
          <w:spacing w:val="11"/>
          <w:sz w:val="32"/>
          <w:szCs w:val="32"/>
        </w:rPr>
        <w:t>,</w:t>
      </w:r>
      <w:r>
        <w:rPr>
          <w:rFonts w:hint="default" w:ascii="Times New Roman" w:hAnsi="Times New Roman" w:eastAsia="方正仿宋_GBK" w:cs="Times New Roman"/>
          <w:snapToGrid w:val="0"/>
          <w:color w:val="auto"/>
          <w:spacing w:val="11"/>
          <w:sz w:val="32"/>
          <w:szCs w:val="32"/>
          <w:lang w:val="en-US" w:eastAsia="zh-CN"/>
        </w:rPr>
        <w:t>476</w:t>
      </w:r>
      <w:r>
        <w:rPr>
          <w:rFonts w:hint="default" w:ascii="Times New Roman" w:hAnsi="Times New Roman" w:eastAsia="方正仿宋_GBK" w:cs="Times New Roman"/>
          <w:snapToGrid w:val="0"/>
          <w:color w:val="auto"/>
          <w:spacing w:val="11"/>
          <w:sz w:val="32"/>
          <w:szCs w:val="32"/>
        </w:rPr>
        <w:t>万元，较年初预算调</w:t>
      </w:r>
      <w:r>
        <w:rPr>
          <w:rFonts w:hint="default" w:ascii="Times New Roman" w:hAnsi="Times New Roman" w:eastAsia="方正仿宋_GBK" w:cs="Times New Roman"/>
          <w:snapToGrid w:val="0"/>
          <w:color w:val="auto"/>
          <w:spacing w:val="11"/>
          <w:sz w:val="32"/>
          <w:szCs w:val="32"/>
          <w:lang w:eastAsia="zh-CN"/>
        </w:rPr>
        <w:t>减</w:t>
      </w:r>
      <w:r>
        <w:rPr>
          <w:rFonts w:hint="default" w:ascii="Times New Roman" w:hAnsi="Times New Roman" w:eastAsia="方正仿宋_GBK" w:cs="Times New Roman"/>
          <w:snapToGrid w:val="0"/>
          <w:color w:val="auto"/>
          <w:spacing w:val="11"/>
          <w:sz w:val="32"/>
          <w:szCs w:val="32"/>
          <w:lang w:val="en-US" w:eastAsia="zh-CN"/>
        </w:rPr>
        <w:t>110</w:t>
      </w:r>
      <w:r>
        <w:rPr>
          <w:rFonts w:hint="default" w:ascii="Times New Roman" w:hAnsi="Times New Roman" w:eastAsia="方正仿宋_GBK" w:cs="Times New Roman"/>
          <w:snapToGrid w:val="0"/>
          <w:color w:val="auto"/>
          <w:spacing w:val="11"/>
          <w:sz w:val="32"/>
          <w:szCs w:val="32"/>
        </w:rPr>
        <w:t>万元，</w:t>
      </w:r>
      <w:r>
        <w:rPr>
          <w:rFonts w:hint="default" w:ascii="Times New Roman" w:hAnsi="Times New Roman" w:eastAsia="方正仿宋_GBK" w:cs="Times New Roman"/>
          <w:snapToGrid w:val="0"/>
          <w:color w:val="auto"/>
          <w:spacing w:val="11"/>
          <w:sz w:val="32"/>
          <w:szCs w:val="32"/>
          <w:lang w:eastAsia="zh-CN"/>
        </w:rPr>
        <w:t>减</w:t>
      </w:r>
      <w:r>
        <w:rPr>
          <w:rFonts w:hint="default" w:ascii="Times New Roman" w:hAnsi="Times New Roman" w:eastAsia="方正仿宋_GBK" w:cs="Times New Roman"/>
          <w:snapToGrid w:val="0"/>
          <w:color w:val="auto"/>
          <w:spacing w:val="11"/>
          <w:sz w:val="32"/>
          <w:szCs w:val="32"/>
        </w:rPr>
        <w:t>幅为</w:t>
      </w:r>
      <w:r>
        <w:rPr>
          <w:rFonts w:hint="default" w:ascii="Times New Roman" w:hAnsi="Times New Roman" w:eastAsia="方正仿宋_GBK" w:cs="Times New Roman"/>
          <w:snapToGrid w:val="0"/>
          <w:color w:val="auto"/>
          <w:spacing w:val="11"/>
          <w:sz w:val="32"/>
          <w:szCs w:val="32"/>
          <w:lang w:val="en-US" w:eastAsia="zh-CN"/>
        </w:rPr>
        <w:t>1.97</w:t>
      </w:r>
      <w:r>
        <w:rPr>
          <w:rFonts w:hint="default" w:ascii="Times New Roman" w:hAnsi="Times New Roman" w:eastAsia="方正仿宋_GBK" w:cs="Times New Roman"/>
          <w:snapToGrid w:val="0"/>
          <w:color w:val="auto"/>
          <w:spacing w:val="11"/>
          <w:sz w:val="32"/>
          <w:szCs w:val="32"/>
        </w:rPr>
        <w:t>%</w:t>
      </w:r>
      <w:r>
        <w:rPr>
          <w:rFonts w:hint="default" w:ascii="Times New Roman" w:hAnsi="Times New Roman" w:eastAsia="方正仿宋_GBK" w:cs="Times New Roman"/>
          <w:snapToGrid w:val="0"/>
          <w:color w:val="auto"/>
          <w:spacing w:val="11"/>
          <w:sz w:val="32"/>
          <w:szCs w:val="32"/>
          <w:lang w:eastAsia="zh-CN"/>
        </w:rPr>
        <w:t>，</w:t>
      </w:r>
      <w:r>
        <w:rPr>
          <w:rFonts w:hint="default" w:ascii="Times New Roman" w:hAnsi="Times New Roman" w:eastAsia="方正仿宋_GBK" w:cs="Times New Roman"/>
          <w:snapToGrid w:val="0"/>
          <w:color w:val="auto"/>
          <w:spacing w:val="11"/>
          <w:sz w:val="32"/>
          <w:szCs w:val="32"/>
        </w:rPr>
        <w:t>其中调整后上解上级支出为</w:t>
      </w:r>
      <w:r>
        <w:rPr>
          <w:rFonts w:hint="default" w:ascii="Times New Roman" w:hAnsi="Times New Roman" w:eastAsia="方正仿宋_GBK" w:cs="Times New Roman"/>
          <w:snapToGrid w:val="0"/>
          <w:color w:val="auto"/>
          <w:spacing w:val="11"/>
          <w:sz w:val="32"/>
          <w:szCs w:val="32"/>
          <w:lang w:val="en-US" w:eastAsia="zh-CN"/>
        </w:rPr>
        <w:t>1,721</w:t>
      </w:r>
      <w:r>
        <w:rPr>
          <w:rFonts w:hint="default" w:ascii="Times New Roman" w:hAnsi="Times New Roman" w:eastAsia="方正仿宋_GBK" w:cs="Times New Roman"/>
          <w:snapToGrid w:val="0"/>
          <w:color w:val="auto"/>
          <w:spacing w:val="11"/>
          <w:sz w:val="32"/>
          <w:szCs w:val="32"/>
        </w:rPr>
        <w:t>万元，</w:t>
      </w:r>
      <w:r>
        <w:rPr>
          <w:rFonts w:hint="default" w:ascii="Times New Roman" w:hAnsi="Times New Roman" w:eastAsia="方正仿宋_GBK" w:cs="Times New Roman"/>
          <w:snapToGrid w:val="0"/>
          <w:color w:val="auto"/>
          <w:spacing w:val="11"/>
          <w:sz w:val="32"/>
          <w:szCs w:val="32"/>
          <w:lang w:eastAsia="zh-CN"/>
        </w:rPr>
        <w:t>调整减少</w:t>
      </w:r>
      <w:r>
        <w:rPr>
          <w:rFonts w:hint="default" w:ascii="Times New Roman" w:hAnsi="Times New Roman" w:eastAsia="方正仿宋_GBK" w:cs="Times New Roman"/>
          <w:snapToGrid w:val="0"/>
          <w:color w:val="auto"/>
          <w:spacing w:val="11"/>
          <w:sz w:val="32"/>
          <w:szCs w:val="32"/>
          <w:lang w:val="en-US" w:eastAsia="zh-CN"/>
        </w:rPr>
        <w:t>230</w:t>
      </w:r>
      <w:r>
        <w:rPr>
          <w:rFonts w:hint="default" w:ascii="Times New Roman" w:hAnsi="Times New Roman" w:eastAsia="方正仿宋_GBK" w:cs="Times New Roman"/>
          <w:snapToGrid w:val="0"/>
          <w:color w:val="auto"/>
          <w:spacing w:val="11"/>
          <w:sz w:val="32"/>
          <w:szCs w:val="32"/>
        </w:rPr>
        <w:t>万元</w:t>
      </w:r>
      <w:r>
        <w:rPr>
          <w:rFonts w:hint="default" w:ascii="Times New Roman" w:hAnsi="Times New Roman" w:eastAsia="方正仿宋_GBK" w:cs="Times New Roman"/>
          <w:snapToGrid w:val="0"/>
          <w:color w:val="auto"/>
          <w:spacing w:val="11"/>
          <w:sz w:val="32"/>
          <w:szCs w:val="32"/>
          <w:lang w:eastAsia="zh-CN"/>
        </w:rPr>
        <w:t>；调整后当期结余</w:t>
      </w:r>
      <w:r>
        <w:rPr>
          <w:rFonts w:hint="default" w:ascii="Times New Roman" w:hAnsi="Times New Roman" w:eastAsia="方正仿宋_GBK" w:cs="Times New Roman"/>
          <w:snapToGrid w:val="0"/>
          <w:color w:val="auto"/>
          <w:spacing w:val="11"/>
          <w:sz w:val="32"/>
          <w:szCs w:val="32"/>
          <w:lang w:val="en-US" w:eastAsia="zh-CN"/>
        </w:rPr>
        <w:t>1,061</w:t>
      </w:r>
      <w:r>
        <w:rPr>
          <w:rFonts w:hint="default" w:ascii="Times New Roman" w:hAnsi="Times New Roman" w:eastAsia="方正仿宋_GBK" w:cs="Times New Roman"/>
          <w:snapToGrid w:val="0"/>
          <w:color w:val="auto"/>
          <w:spacing w:val="11"/>
          <w:sz w:val="32"/>
          <w:szCs w:val="32"/>
          <w:lang w:eastAsia="zh-CN"/>
        </w:rPr>
        <w:t>万元，历年累计结余</w:t>
      </w:r>
      <w:r>
        <w:rPr>
          <w:rFonts w:hint="default" w:ascii="Times New Roman" w:hAnsi="Times New Roman" w:eastAsia="方正仿宋_GBK" w:cs="Times New Roman"/>
          <w:snapToGrid w:val="0"/>
          <w:color w:val="auto"/>
          <w:spacing w:val="11"/>
          <w:sz w:val="32"/>
          <w:szCs w:val="32"/>
          <w:lang w:val="en-US" w:eastAsia="zh-CN"/>
        </w:rPr>
        <w:t>1,498</w:t>
      </w:r>
      <w:r>
        <w:rPr>
          <w:rFonts w:hint="default" w:ascii="Times New Roman" w:hAnsi="Times New Roman" w:eastAsia="方正仿宋_GBK" w:cs="Times New Roman"/>
          <w:snapToGrid w:val="0"/>
          <w:color w:val="auto"/>
          <w:spacing w:val="11"/>
          <w:sz w:val="32"/>
          <w:szCs w:val="32"/>
          <w:lang w:eastAsia="zh-CN"/>
        </w:rPr>
        <w:t>万元。</w:t>
      </w:r>
    </w:p>
    <w:p>
      <w:pPr>
        <w:keepNext w:val="0"/>
        <w:keepLines w:val="0"/>
        <w:pageBreakBefore w:val="0"/>
        <w:widowControl w:val="0"/>
        <w:kinsoku/>
        <w:wordWrap/>
        <w:overflowPunct/>
        <w:topLinePunct w:val="0"/>
        <w:bidi w:val="0"/>
        <w:snapToGrid/>
        <w:spacing w:line="578" w:lineRule="exact"/>
        <w:ind w:firstLine="684" w:firstLineChars="200"/>
        <w:textAlignment w:val="auto"/>
        <w:rPr>
          <w:rFonts w:hint="default" w:ascii="Times New Roman" w:hAnsi="Times New Roman" w:eastAsia="方正仿宋_GBK" w:cs="Times New Roman"/>
          <w:snapToGrid w:val="0"/>
          <w:color w:val="auto"/>
          <w:spacing w:val="11"/>
          <w:sz w:val="32"/>
          <w:szCs w:val="32"/>
          <w:lang w:val="en-US"/>
        </w:rPr>
      </w:pPr>
      <w:r>
        <w:rPr>
          <w:rFonts w:hint="default" w:ascii="Times New Roman" w:hAnsi="Times New Roman" w:eastAsia="方正仿宋_GBK" w:cs="Times New Roman"/>
          <w:snapToGrid w:val="0"/>
          <w:color w:val="auto"/>
          <w:spacing w:val="11"/>
          <w:sz w:val="32"/>
          <w:szCs w:val="32"/>
          <w:lang w:eastAsia="zh-CN"/>
        </w:rPr>
        <w:t>工伤保险基金预算收入调减的主要原因是：</w:t>
      </w:r>
      <w:r>
        <w:rPr>
          <w:rFonts w:hint="default" w:ascii="Times New Roman" w:hAnsi="Times New Roman" w:eastAsia="方正仿宋_GBK" w:cs="Times New Roman"/>
          <w:snapToGrid w:val="0"/>
          <w:color w:val="auto"/>
          <w:spacing w:val="11"/>
          <w:sz w:val="32"/>
          <w:szCs w:val="32"/>
          <w:lang w:val="en-US" w:eastAsia="zh-CN"/>
        </w:rPr>
        <w:t>1.根据</w:t>
      </w:r>
      <w:r>
        <w:rPr>
          <w:rFonts w:hint="default" w:ascii="Times New Roman" w:hAnsi="Times New Roman" w:eastAsia="方正仿宋_GBK" w:cs="Times New Roman"/>
          <w:snapToGrid w:val="0"/>
          <w:color w:val="auto"/>
          <w:spacing w:val="11"/>
          <w:sz w:val="32"/>
          <w:szCs w:val="32"/>
          <w:lang w:eastAsia="zh-CN"/>
        </w:rPr>
        <w:t>《关于实施扩大阶段性缓缴社会保险费政策实施范围等政策的通知》（粤人社规〔202</w:t>
      </w:r>
      <w:r>
        <w:rPr>
          <w:rFonts w:hint="default" w:ascii="Times New Roman" w:hAnsi="Times New Roman" w:eastAsia="方正仿宋_GBK" w:cs="Times New Roman"/>
          <w:snapToGrid w:val="0"/>
          <w:color w:val="auto"/>
          <w:spacing w:val="11"/>
          <w:sz w:val="32"/>
          <w:szCs w:val="32"/>
          <w:lang w:val="en-US" w:eastAsia="zh-CN"/>
        </w:rPr>
        <w:t>2</w:t>
      </w:r>
      <w:r>
        <w:rPr>
          <w:rFonts w:hint="default" w:ascii="Times New Roman" w:hAnsi="Times New Roman" w:eastAsia="方正仿宋_GBK" w:cs="Times New Roman"/>
          <w:snapToGrid w:val="0"/>
          <w:color w:val="auto"/>
          <w:spacing w:val="11"/>
          <w:sz w:val="32"/>
          <w:szCs w:val="32"/>
          <w:lang w:eastAsia="zh-CN"/>
        </w:rPr>
        <w:t>〕</w:t>
      </w:r>
      <w:r>
        <w:rPr>
          <w:rFonts w:hint="default" w:ascii="Times New Roman" w:hAnsi="Times New Roman" w:eastAsia="方正仿宋_GBK" w:cs="Times New Roman"/>
          <w:snapToGrid w:val="0"/>
          <w:color w:val="auto"/>
          <w:spacing w:val="11"/>
          <w:sz w:val="32"/>
          <w:szCs w:val="32"/>
          <w:lang w:val="en-US" w:eastAsia="zh-CN"/>
        </w:rPr>
        <w:t>15</w:t>
      </w:r>
      <w:r>
        <w:rPr>
          <w:rFonts w:hint="default" w:ascii="Times New Roman" w:hAnsi="Times New Roman" w:eastAsia="方正仿宋_GBK" w:cs="Times New Roman"/>
          <w:snapToGrid w:val="0"/>
          <w:color w:val="auto"/>
          <w:spacing w:val="11"/>
          <w:sz w:val="32"/>
          <w:szCs w:val="32"/>
          <w:lang w:eastAsia="zh-CN"/>
        </w:rPr>
        <w:t>8号）精神，对受疫情影响较大、生产经营困难的中小微企业实行缓缴政策；</w:t>
      </w:r>
      <w:r>
        <w:rPr>
          <w:rFonts w:hint="default" w:ascii="Times New Roman" w:hAnsi="Times New Roman" w:eastAsia="方正仿宋_GBK" w:cs="Times New Roman"/>
          <w:snapToGrid w:val="0"/>
          <w:color w:val="auto"/>
          <w:spacing w:val="11"/>
          <w:sz w:val="32"/>
          <w:szCs w:val="32"/>
          <w:lang w:val="en-US" w:eastAsia="zh-CN"/>
        </w:rPr>
        <w:t>2.按项目缴费年初预算504万，1-11月执行数才209万，因此调减了按项目缴费收入。</w:t>
      </w:r>
    </w:p>
    <w:p>
      <w:pPr>
        <w:keepNext w:val="0"/>
        <w:keepLines w:val="0"/>
        <w:pageBreakBefore w:val="0"/>
        <w:widowControl w:val="0"/>
        <w:kinsoku/>
        <w:wordWrap/>
        <w:overflowPunct/>
        <w:topLinePunct w:val="0"/>
        <w:autoSpaceDE w:val="0"/>
        <w:autoSpaceDN w:val="0"/>
        <w:bidi w:val="0"/>
        <w:adjustRightInd w:val="0"/>
        <w:snapToGrid/>
        <w:spacing w:line="578" w:lineRule="exact"/>
        <w:ind w:firstLine="684" w:firstLineChars="200"/>
        <w:textAlignment w:val="auto"/>
        <w:rPr>
          <w:rFonts w:hint="default" w:ascii="Times New Roman" w:hAnsi="Times New Roman" w:eastAsia="方正仿宋_GBK" w:cs="Times New Roman"/>
          <w:snapToGrid w:val="0"/>
          <w:color w:val="auto"/>
          <w:spacing w:val="11"/>
          <w:sz w:val="32"/>
          <w:szCs w:val="32"/>
          <w:lang w:eastAsia="zh-CN"/>
        </w:rPr>
      </w:pPr>
      <w:r>
        <w:rPr>
          <w:rFonts w:hint="default" w:ascii="Times New Roman" w:hAnsi="Times New Roman" w:eastAsia="方正仿宋_GBK" w:cs="Times New Roman"/>
          <w:snapToGrid w:val="0"/>
          <w:color w:val="auto"/>
          <w:spacing w:val="11"/>
          <w:sz w:val="32"/>
          <w:szCs w:val="32"/>
          <w:lang w:eastAsia="zh-CN"/>
        </w:rPr>
        <w:t>工伤保险基金预算支出调增的主要原因是：伤残待遇、工亡待遇支出标准调整。</w:t>
      </w:r>
    </w:p>
    <w:p>
      <w:pPr>
        <w:keepNext w:val="0"/>
        <w:keepLines w:val="0"/>
        <w:pageBreakBefore w:val="0"/>
        <w:widowControl w:val="0"/>
        <w:kinsoku/>
        <w:wordWrap/>
        <w:overflowPunct/>
        <w:topLinePunct w:val="0"/>
        <w:autoSpaceDE w:val="0"/>
        <w:autoSpaceDN w:val="0"/>
        <w:bidi w:val="0"/>
        <w:adjustRightInd w:val="0"/>
        <w:snapToGrid/>
        <w:spacing w:line="578" w:lineRule="exact"/>
        <w:ind w:firstLine="684" w:firstLineChars="200"/>
        <w:textAlignment w:val="auto"/>
        <w:rPr>
          <w:rFonts w:hint="default" w:ascii="方正楷体_GBK" w:hAnsi="方正楷体_GBK" w:eastAsia="方正楷体_GBK" w:cs="方正楷体_GBK"/>
          <w:b w:val="0"/>
          <w:bCs/>
          <w:snapToGrid w:val="0"/>
          <w:color w:val="auto"/>
          <w:spacing w:val="11"/>
          <w:sz w:val="32"/>
          <w:szCs w:val="32"/>
          <w:lang w:eastAsia="zh-CN"/>
        </w:rPr>
      </w:pPr>
      <w:r>
        <w:rPr>
          <w:rFonts w:hint="eastAsia" w:ascii="方正楷体_GBK" w:hAnsi="方正楷体_GBK" w:eastAsia="方正楷体_GBK" w:cs="方正楷体_GBK"/>
          <w:b w:val="0"/>
          <w:bCs/>
          <w:snapToGrid w:val="0"/>
          <w:color w:val="auto"/>
          <w:spacing w:val="11"/>
          <w:sz w:val="32"/>
          <w:szCs w:val="32"/>
          <w:lang w:eastAsia="zh-CN"/>
        </w:rPr>
        <w:t>（五）</w:t>
      </w:r>
      <w:r>
        <w:rPr>
          <w:rFonts w:hint="default" w:ascii="方正楷体_GBK" w:hAnsi="方正楷体_GBK" w:eastAsia="方正楷体_GBK" w:cs="方正楷体_GBK"/>
          <w:b w:val="0"/>
          <w:bCs/>
          <w:snapToGrid w:val="0"/>
          <w:color w:val="auto"/>
          <w:spacing w:val="11"/>
          <w:sz w:val="32"/>
          <w:szCs w:val="32"/>
          <w:lang w:eastAsia="zh-CN"/>
        </w:rPr>
        <w:t>城镇职工基本医疗保险（含生育保险）</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8" w:lineRule="exact"/>
        <w:ind w:firstLine="684" w:firstLineChars="200"/>
        <w:textAlignment w:val="auto"/>
        <w:rPr>
          <w:rFonts w:hint="default" w:ascii="Times New Roman" w:hAnsi="Times New Roman" w:eastAsia="方正仿宋_GBK" w:cs="Times New Roman"/>
          <w:snapToGrid w:val="0"/>
          <w:color w:val="auto"/>
          <w:spacing w:val="11"/>
          <w:sz w:val="32"/>
          <w:szCs w:val="32"/>
          <w:highlight w:val="none"/>
          <w:lang w:eastAsia="zh-CN"/>
        </w:rPr>
      </w:pPr>
      <w:r>
        <w:rPr>
          <w:rFonts w:hint="default" w:ascii="Times New Roman" w:hAnsi="Times New Roman" w:eastAsia="方正仿宋_GBK" w:cs="Times New Roman"/>
          <w:snapToGrid w:val="0"/>
          <w:color w:val="auto"/>
          <w:spacing w:val="11"/>
          <w:sz w:val="32"/>
          <w:szCs w:val="32"/>
          <w:highlight w:val="none"/>
          <w:lang w:eastAsia="zh-CN"/>
        </w:rPr>
        <w:t>城镇职工基本医疗保险（含生育保险）调整后预算总收入84,608万元，较年初预算调增20,908万元，增幅为32.82%，调整后基本医疗保险费收入为81,892万元，调整新增20,908万元</w:t>
      </w:r>
      <w:r>
        <w:rPr>
          <w:rFonts w:hint="default" w:ascii="Times New Roman" w:hAnsi="Times New Roman" w:eastAsia="方正仿宋_GBK" w:cs="Times New Roman"/>
          <w:snapToGrid w:val="0"/>
          <w:color w:val="auto"/>
          <w:spacing w:val="11"/>
          <w:sz w:val="32"/>
          <w:szCs w:val="32"/>
          <w:highlight w:val="none"/>
          <w:lang w:val="en-US" w:eastAsia="zh-CN"/>
        </w:rPr>
        <w:t>,增幅为34.28%</w:t>
      </w:r>
      <w:r>
        <w:rPr>
          <w:rFonts w:hint="default" w:ascii="Times New Roman" w:hAnsi="Times New Roman" w:eastAsia="方正仿宋_GBK" w:cs="Times New Roman"/>
          <w:snapToGrid w:val="0"/>
          <w:color w:val="auto"/>
          <w:spacing w:val="11"/>
          <w:sz w:val="32"/>
          <w:szCs w:val="32"/>
          <w:highlight w:val="none"/>
          <w:lang w:eastAsia="zh-CN"/>
        </w:rPr>
        <w:t>；调整后预算总支出59,804万元，较年初预算调增1,171万元，增幅为2%，调整后其他支出为5,329万元（包含大病保费支出5,031万元和新冠疫苗及接种费用支出298万元），调整新增1,171万元（均为大病保费支出）；调整后预算当期结余24,804万元，预算历年累计结余62,833万元。</w:t>
      </w:r>
    </w:p>
    <w:p>
      <w:pPr>
        <w:keepNext w:val="0"/>
        <w:keepLines w:val="0"/>
        <w:pageBreakBefore w:val="0"/>
        <w:widowControl w:val="0"/>
        <w:kinsoku/>
        <w:wordWrap/>
        <w:overflowPunct/>
        <w:topLinePunct w:val="0"/>
        <w:bidi w:val="0"/>
        <w:snapToGrid/>
        <w:spacing w:line="578" w:lineRule="exact"/>
        <w:ind w:firstLine="684" w:firstLineChars="200"/>
        <w:textAlignment w:val="auto"/>
        <w:rPr>
          <w:rFonts w:hint="default" w:ascii="Times New Roman" w:hAnsi="Times New Roman" w:eastAsia="方正仿宋_GBK" w:cs="Times New Roman"/>
          <w:snapToGrid w:val="0"/>
          <w:color w:val="auto"/>
          <w:spacing w:val="11"/>
          <w:sz w:val="32"/>
          <w:szCs w:val="32"/>
          <w:lang w:val="en-US" w:eastAsia="zh-CN"/>
        </w:rPr>
      </w:pPr>
      <w:r>
        <w:rPr>
          <w:rFonts w:hint="default" w:ascii="Times New Roman" w:hAnsi="Times New Roman" w:eastAsia="方正仿宋_GBK" w:cs="Times New Roman"/>
          <w:snapToGrid w:val="0"/>
          <w:color w:val="auto"/>
          <w:spacing w:val="11"/>
          <w:sz w:val="32"/>
          <w:szCs w:val="32"/>
          <w:lang w:eastAsia="zh-CN"/>
        </w:rPr>
        <w:t>城镇职工基本医疗保险（含生育保险）预算收入调增的原因是：</w:t>
      </w:r>
      <w:r>
        <w:rPr>
          <w:rFonts w:hint="default" w:ascii="Times New Roman" w:hAnsi="Times New Roman" w:eastAsia="方正仿宋_GBK" w:cs="Times New Roman"/>
          <w:snapToGrid w:val="0"/>
          <w:color w:val="auto"/>
          <w:spacing w:val="11"/>
          <w:sz w:val="32"/>
          <w:szCs w:val="32"/>
          <w:lang w:val="en-US" w:eastAsia="zh-CN"/>
        </w:rPr>
        <w:t>根据《关于印发广东省基本医疗保险关系省内转移接续暂行办法的通知》（粤医保规</w:t>
      </w:r>
      <w:r>
        <w:rPr>
          <w:rFonts w:hint="default" w:ascii="Times New Roman" w:hAnsi="Times New Roman" w:eastAsia="方正仿宋_GBK" w:cs="Times New Roman"/>
          <w:snapToGrid w:val="0"/>
          <w:color w:val="auto"/>
          <w:spacing w:val="11"/>
          <w:kern w:val="0"/>
          <w:sz w:val="32"/>
          <w:szCs w:val="32"/>
        </w:rPr>
        <w:t>〔</w:t>
      </w:r>
      <w:r>
        <w:rPr>
          <w:rFonts w:hint="default" w:ascii="Times New Roman" w:hAnsi="Times New Roman" w:eastAsia="方正仿宋_GBK" w:cs="Times New Roman"/>
          <w:snapToGrid w:val="0"/>
          <w:color w:val="auto"/>
          <w:spacing w:val="11"/>
          <w:sz w:val="32"/>
          <w:szCs w:val="32"/>
          <w:lang w:val="en-US" w:eastAsia="zh-CN"/>
        </w:rPr>
        <w:t>2022</w:t>
      </w:r>
      <w:r>
        <w:rPr>
          <w:rFonts w:hint="default" w:ascii="Times New Roman" w:hAnsi="Times New Roman" w:eastAsia="方正仿宋_GBK" w:cs="Times New Roman"/>
          <w:snapToGrid w:val="0"/>
          <w:color w:val="auto"/>
          <w:spacing w:val="11"/>
          <w:kern w:val="0"/>
          <w:sz w:val="32"/>
          <w:szCs w:val="32"/>
        </w:rPr>
        <w:t>〕</w:t>
      </w:r>
      <w:r>
        <w:rPr>
          <w:rFonts w:hint="default" w:ascii="Times New Roman" w:hAnsi="Times New Roman" w:eastAsia="方正仿宋_GBK" w:cs="Times New Roman"/>
          <w:snapToGrid w:val="0"/>
          <w:color w:val="auto"/>
          <w:spacing w:val="11"/>
          <w:sz w:val="32"/>
          <w:szCs w:val="32"/>
          <w:lang w:val="en-US" w:eastAsia="zh-CN"/>
        </w:rPr>
        <w:t>6号）文件精神，受一次性预缴工作影响，2022年7月后</w:t>
      </w:r>
      <w:r>
        <w:rPr>
          <w:rFonts w:hint="default" w:ascii="Times New Roman" w:hAnsi="Times New Roman" w:eastAsia="方正仿宋_GBK" w:cs="Times New Roman"/>
          <w:snapToGrid w:val="0"/>
          <w:color w:val="auto"/>
          <w:spacing w:val="11"/>
          <w:sz w:val="32"/>
          <w:szCs w:val="32"/>
          <w:lang w:eastAsia="zh-CN"/>
        </w:rPr>
        <w:t>城镇职工基本医疗保险（含生育保险）</w:t>
      </w:r>
      <w:r>
        <w:rPr>
          <w:rFonts w:hint="default" w:ascii="Times New Roman" w:hAnsi="Times New Roman" w:eastAsia="方正仿宋_GBK" w:cs="Times New Roman"/>
          <w:snapToGrid w:val="0"/>
          <w:color w:val="auto"/>
          <w:spacing w:val="11"/>
          <w:sz w:val="32"/>
          <w:szCs w:val="32"/>
          <w:lang w:val="en-US" w:eastAsia="zh-CN"/>
        </w:rPr>
        <w:t>收入中的基本医疗保险统筹基金（含单建统筹）收入骤增，根据市医保中心的指导意见，结合预算调整当期的已开具托收单金额及已收到一次性预缴款项的数据，</w:t>
      </w:r>
      <w:r>
        <w:rPr>
          <w:rFonts w:hint="default" w:ascii="Times New Roman" w:hAnsi="Times New Roman" w:eastAsia="方正仿宋_GBK" w:cs="Times New Roman"/>
          <w:snapToGrid w:val="0"/>
          <w:color w:val="auto"/>
          <w:spacing w:val="11"/>
          <w:sz w:val="32"/>
          <w:szCs w:val="32"/>
          <w:lang w:eastAsia="zh-CN"/>
        </w:rPr>
        <w:t>城镇职工基本医疗保险（含生育保险）</w:t>
      </w:r>
      <w:r>
        <w:rPr>
          <w:rFonts w:hint="default" w:ascii="Times New Roman" w:hAnsi="Times New Roman" w:eastAsia="方正仿宋_GBK" w:cs="Times New Roman"/>
          <w:snapToGrid w:val="0"/>
          <w:color w:val="auto"/>
          <w:spacing w:val="11"/>
          <w:sz w:val="32"/>
          <w:szCs w:val="32"/>
          <w:lang w:val="en-US" w:eastAsia="zh-CN"/>
        </w:rPr>
        <w:t>收入调整增加20,908万元。</w:t>
      </w:r>
    </w:p>
    <w:p>
      <w:pPr>
        <w:keepNext w:val="0"/>
        <w:keepLines w:val="0"/>
        <w:pageBreakBefore w:val="0"/>
        <w:widowControl w:val="0"/>
        <w:kinsoku/>
        <w:wordWrap/>
        <w:overflowPunct/>
        <w:topLinePunct w:val="0"/>
        <w:autoSpaceDE w:val="0"/>
        <w:autoSpaceDN w:val="0"/>
        <w:bidi w:val="0"/>
        <w:adjustRightInd w:val="0"/>
        <w:snapToGrid/>
        <w:spacing w:line="578" w:lineRule="exact"/>
        <w:ind w:firstLine="684" w:firstLineChars="200"/>
        <w:textAlignment w:val="auto"/>
        <w:rPr>
          <w:rFonts w:hint="default" w:ascii="Times New Roman" w:hAnsi="Times New Roman" w:eastAsia="方正仿宋_GBK" w:cs="Times New Roman"/>
          <w:b w:val="0"/>
          <w:bCs/>
          <w:snapToGrid w:val="0"/>
          <w:color w:val="auto"/>
          <w:spacing w:val="11"/>
          <w:sz w:val="32"/>
          <w:szCs w:val="32"/>
          <w:highlight w:val="none"/>
          <w:lang w:val="en-US" w:eastAsia="zh-CN"/>
        </w:rPr>
      </w:pPr>
      <w:r>
        <w:rPr>
          <w:rFonts w:hint="default" w:ascii="Times New Roman" w:hAnsi="Times New Roman" w:eastAsia="方正仿宋_GBK" w:cs="Times New Roman"/>
          <w:snapToGrid w:val="0"/>
          <w:color w:val="auto"/>
          <w:spacing w:val="11"/>
          <w:sz w:val="32"/>
          <w:szCs w:val="32"/>
          <w:lang w:eastAsia="zh-CN"/>
        </w:rPr>
        <w:t>城镇职工基本医疗保险（含生育保险）基金预算支出调增的主要原因是：</w:t>
      </w:r>
      <w:r>
        <w:rPr>
          <w:rFonts w:hint="default" w:ascii="Times New Roman" w:hAnsi="Times New Roman" w:eastAsia="方正仿宋_GBK" w:cs="Times New Roman"/>
          <w:snapToGrid w:val="0"/>
          <w:color w:val="auto"/>
          <w:spacing w:val="11"/>
          <w:sz w:val="32"/>
          <w:szCs w:val="32"/>
        </w:rPr>
        <w:t>根据</w:t>
      </w:r>
      <w:r>
        <w:rPr>
          <w:rFonts w:hint="default" w:ascii="Times New Roman" w:hAnsi="Times New Roman" w:eastAsia="方正仿宋_GBK" w:cs="Times New Roman"/>
          <w:snapToGrid w:val="0"/>
          <w:color w:val="auto"/>
          <w:spacing w:val="11"/>
          <w:sz w:val="32"/>
          <w:szCs w:val="32"/>
          <w:lang w:eastAsia="zh-CN"/>
        </w:rPr>
        <w:t>上述城镇职工基本医疗保险（含生育保险）预算收入调增的原因，结合与大病保险承办的保险公司签订的大病保险合同条款</w:t>
      </w:r>
      <w:r>
        <w:rPr>
          <w:rFonts w:hint="default" w:ascii="Times New Roman" w:hAnsi="Times New Roman" w:eastAsia="方正仿宋_GBK" w:cs="Times New Roman"/>
          <w:snapToGrid w:val="0"/>
          <w:color w:val="auto"/>
          <w:spacing w:val="11"/>
          <w:sz w:val="32"/>
          <w:szCs w:val="32"/>
          <w:lang w:val="en-US" w:eastAsia="zh-CN"/>
        </w:rPr>
        <w:t>,</w:t>
      </w:r>
      <w:r>
        <w:rPr>
          <w:rFonts w:hint="default" w:ascii="Times New Roman" w:hAnsi="Times New Roman" w:eastAsia="方正仿宋_GBK" w:cs="Times New Roman"/>
          <w:snapToGrid w:val="0"/>
          <w:color w:val="auto"/>
          <w:spacing w:val="11"/>
          <w:sz w:val="32"/>
          <w:szCs w:val="32"/>
          <w:lang w:eastAsia="zh-CN"/>
        </w:rPr>
        <w:t>大病保费按照基本医疗保险费收入的</w:t>
      </w:r>
      <w:r>
        <w:rPr>
          <w:rFonts w:hint="default" w:ascii="Times New Roman" w:hAnsi="Times New Roman" w:eastAsia="方正仿宋_GBK" w:cs="Times New Roman"/>
          <w:snapToGrid w:val="0"/>
          <w:color w:val="auto"/>
          <w:spacing w:val="11"/>
          <w:sz w:val="32"/>
          <w:szCs w:val="32"/>
          <w:lang w:val="en-US" w:eastAsia="zh-CN"/>
        </w:rPr>
        <w:t>5.6%支付，按照调整的预算收入增加数</w:t>
      </w:r>
      <w:r>
        <w:rPr>
          <w:rFonts w:hint="default" w:ascii="Times New Roman" w:hAnsi="Times New Roman" w:eastAsia="方正仿宋_GBK" w:cs="Times New Roman"/>
          <w:snapToGrid w:val="0"/>
          <w:color w:val="auto"/>
          <w:spacing w:val="11"/>
          <w:sz w:val="32"/>
          <w:szCs w:val="32"/>
          <w:highlight w:val="none"/>
          <w:lang w:val="en-US" w:eastAsia="zh-CN"/>
        </w:rPr>
        <w:t>20,908万元*5.6%=1,171万元计算得出。</w:t>
      </w:r>
    </w:p>
    <w:p>
      <w:pPr>
        <w:keepNext w:val="0"/>
        <w:keepLines w:val="0"/>
        <w:pageBreakBefore w:val="0"/>
        <w:widowControl w:val="0"/>
        <w:kinsoku/>
        <w:wordWrap/>
        <w:overflowPunct/>
        <w:topLinePunct w:val="0"/>
        <w:bidi w:val="0"/>
        <w:snapToGrid/>
        <w:spacing w:line="578" w:lineRule="exact"/>
        <w:textAlignment w:val="auto"/>
        <w:rPr>
          <w:rFonts w:hint="default" w:ascii="Times New Roman" w:hAnsi="Times New Roman" w:eastAsia="方正仿宋_GBK" w:cs="Times New Roman"/>
          <w:snapToGrid w:val="0"/>
          <w:color w:val="auto"/>
          <w:spacing w:val="11"/>
          <w:sz w:val="32"/>
          <w:szCs w:val="32"/>
        </w:rPr>
      </w:pPr>
      <w:bookmarkStart w:id="0" w:name="_GoBack"/>
      <w:bookmarkEnd w:id="0"/>
    </w:p>
    <w:p>
      <w:pPr>
        <w:keepNext w:val="0"/>
        <w:keepLines w:val="0"/>
        <w:pageBreakBefore w:val="0"/>
        <w:widowControl w:val="0"/>
        <w:kinsoku/>
        <w:wordWrap/>
        <w:overflowPunct/>
        <w:topLinePunct w:val="0"/>
        <w:bidi w:val="0"/>
        <w:snapToGrid/>
        <w:spacing w:line="578" w:lineRule="exact"/>
        <w:ind w:left="1980" w:leftChars="307" w:hanging="1335" w:firstLineChars="0"/>
        <w:textAlignment w:val="auto"/>
        <w:rPr>
          <w:rFonts w:hint="default" w:ascii="Times New Roman" w:hAnsi="Times New Roman" w:eastAsia="方正仿宋_GBK" w:cs="Times New Roman"/>
          <w:snapToGrid w:val="0"/>
          <w:color w:val="auto"/>
          <w:spacing w:val="11"/>
          <w:sz w:val="32"/>
          <w:szCs w:val="32"/>
        </w:rPr>
      </w:pPr>
      <w:r>
        <w:rPr>
          <w:rFonts w:hint="default" w:ascii="Times New Roman" w:hAnsi="Times New Roman" w:eastAsia="方正仿宋_GBK" w:cs="Times New Roman"/>
          <w:snapToGrid w:val="0"/>
          <w:color w:val="auto"/>
          <w:spacing w:val="11"/>
          <w:sz w:val="32"/>
          <w:szCs w:val="32"/>
        </w:rPr>
        <w:t>附</w:t>
      </w:r>
      <w:r>
        <w:rPr>
          <w:rFonts w:hint="default" w:ascii="Times New Roman" w:hAnsi="Times New Roman" w:eastAsia="方正仿宋_GBK" w:cs="Times New Roman"/>
          <w:snapToGrid w:val="0"/>
          <w:color w:val="auto"/>
          <w:spacing w:val="11"/>
          <w:sz w:val="32"/>
          <w:szCs w:val="32"/>
          <w:lang w:eastAsia="zh-CN"/>
        </w:rPr>
        <w:t>件</w:t>
      </w:r>
      <w:r>
        <w:rPr>
          <w:rFonts w:hint="default" w:ascii="Times New Roman" w:hAnsi="Times New Roman" w:eastAsia="方正仿宋_GBK" w:cs="Times New Roman"/>
          <w:snapToGrid w:val="0"/>
          <w:color w:val="auto"/>
          <w:spacing w:val="11"/>
          <w:sz w:val="32"/>
          <w:szCs w:val="32"/>
        </w:rPr>
        <w:t>：1.</w:t>
      </w:r>
      <w:r>
        <w:rPr>
          <w:rFonts w:hint="default" w:ascii="Times New Roman" w:hAnsi="Times New Roman" w:eastAsia="方正仿宋_GBK" w:cs="Times New Roman"/>
          <w:snapToGrid w:val="0"/>
          <w:color w:val="auto"/>
          <w:spacing w:val="11"/>
          <w:sz w:val="32"/>
          <w:szCs w:val="32"/>
          <w:lang w:eastAsia="zh-CN"/>
        </w:rPr>
        <w:t>江海区</w:t>
      </w:r>
      <w:r>
        <w:rPr>
          <w:rFonts w:hint="default" w:ascii="Times New Roman" w:hAnsi="Times New Roman" w:eastAsia="方正仿宋_GBK" w:cs="Times New Roman"/>
          <w:snapToGrid w:val="0"/>
          <w:color w:val="auto"/>
          <w:spacing w:val="11"/>
          <w:sz w:val="32"/>
          <w:szCs w:val="32"/>
        </w:rPr>
        <w:t>202</w:t>
      </w:r>
      <w:r>
        <w:rPr>
          <w:rFonts w:hint="default" w:ascii="Times New Roman" w:hAnsi="Times New Roman" w:eastAsia="方正仿宋_GBK" w:cs="Times New Roman"/>
          <w:snapToGrid w:val="0"/>
          <w:color w:val="auto"/>
          <w:spacing w:val="11"/>
          <w:sz w:val="32"/>
          <w:szCs w:val="32"/>
          <w:lang w:val="en-US" w:eastAsia="zh-CN"/>
        </w:rPr>
        <w:t>2</w:t>
      </w:r>
      <w:r>
        <w:rPr>
          <w:rFonts w:hint="default" w:ascii="Times New Roman" w:hAnsi="Times New Roman" w:eastAsia="方正仿宋_GBK" w:cs="Times New Roman"/>
          <w:snapToGrid w:val="0"/>
          <w:color w:val="auto"/>
          <w:spacing w:val="11"/>
          <w:sz w:val="32"/>
          <w:szCs w:val="32"/>
        </w:rPr>
        <w:t>年社会保险基金预算执行及调整情况表</w:t>
      </w:r>
    </w:p>
    <w:sectPr>
      <w:footerReference r:id="rId3" w:type="default"/>
      <w:pgSz w:w="11906" w:h="16838"/>
      <w:pgMar w:top="1701" w:right="1587" w:bottom="1814" w:left="1587" w:header="851" w:footer="1134"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仿宋简体">
    <w:altName w:val="Arial Unicode MS"/>
    <w:panose1 w:val="02010601030101010101"/>
    <w:charset w:val="86"/>
    <w:family w:val="auto"/>
    <w:pitch w:val="default"/>
    <w:sig w:usb0="00000000" w:usb1="00000000" w:usb2="00000000" w:usb3="00000000" w:csb0="00040000" w:csb1="00000000"/>
  </w:font>
  <w:font w:name="方正小标宋简体">
    <w:altName w:val="Arial Unicode MS"/>
    <w:panose1 w:val="03000509000000000000"/>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default" w:ascii="Times New Roman" w:hAnsi="Times New Roman" w:eastAsia="宋体" w:cs="Times New Roman"/>
                              <w:sz w:val="28"/>
                              <w:szCs w:val="28"/>
                              <w:lang w:eastAsia="zh-CN"/>
                            </w:rPr>
                          </w:pPr>
                          <w:r>
                            <w:rPr>
                              <w:rFonts w:hint="default" w:ascii="Times New Roman" w:hAnsi="Times New Roman" w:cs="Times New Roman"/>
                              <w:sz w:val="28"/>
                              <w:szCs w:val="28"/>
                              <w:lang w:eastAsia="zh-CN"/>
                            </w:rPr>
                            <w:t xml:space="preserve">—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eastAsia="zh-CN"/>
                            </w:rPr>
                            <w:t xml:space="preserve">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t>—</w:t>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6pebnPAAAABQEA&#10;AA8AAAAAAAAAAQAgAAAAIgAAAGRycy9kb3ducmV2LnhtbFBLAQIUABQAAAAIAIdO4kCKLCCisQEA&#10;AE4DAAAOAAAAAAAAAAEAIAAAAB4BAABkcnMvZTJvRG9jLnhtbFBLBQYAAAAABgAGAFkBAABBBQAA&#10;AAA=&#10;">
              <v:fill on="f" focussize="0,0"/>
              <v:stroke on="f"/>
              <v:imagedata o:title=""/>
              <o:lock v:ext="edit" aspectratio="f"/>
              <v:textbox inset="0mm,0mm,0mm,0mm" style="mso-fit-shape-to-text:t;">
                <w:txbxContent>
                  <w:p>
                    <w:pPr>
                      <w:pStyle w:val="2"/>
                      <w:rPr>
                        <w:rFonts w:hint="default" w:ascii="Times New Roman" w:hAnsi="Times New Roman" w:eastAsia="宋体" w:cs="Times New Roman"/>
                        <w:sz w:val="28"/>
                        <w:szCs w:val="28"/>
                        <w:lang w:eastAsia="zh-CN"/>
                      </w:rPr>
                    </w:pPr>
                    <w:r>
                      <w:rPr>
                        <w:rFonts w:hint="default" w:ascii="Times New Roman" w:hAnsi="Times New Roman" w:cs="Times New Roman"/>
                        <w:sz w:val="28"/>
                        <w:szCs w:val="28"/>
                        <w:lang w:eastAsia="zh-CN"/>
                      </w:rPr>
                      <w:t xml:space="preserve">—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eastAsia="zh-CN"/>
                      </w:rPr>
                      <w:t xml:space="preserve">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210"/>
  <w:drawingGridVerticalSpacing w:val="156"/>
  <w:displayHorizontalDrawingGridEvery w:val="1"/>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yY2FhMDhjNzVjMzhlZWNiNGMxMTZiYjgzYTBjMWYifQ=="/>
  </w:docVars>
  <w:rsids>
    <w:rsidRoot w:val="00957CDD"/>
    <w:rsid w:val="00004AE1"/>
    <w:rsid w:val="00030653"/>
    <w:rsid w:val="00056360"/>
    <w:rsid w:val="00076165"/>
    <w:rsid w:val="000C7A00"/>
    <w:rsid w:val="000D0A49"/>
    <w:rsid w:val="000D2CEC"/>
    <w:rsid w:val="000E3EF5"/>
    <w:rsid w:val="001B2B9D"/>
    <w:rsid w:val="001B2FAC"/>
    <w:rsid w:val="001F574B"/>
    <w:rsid w:val="002671B6"/>
    <w:rsid w:val="002B6A32"/>
    <w:rsid w:val="002C3B48"/>
    <w:rsid w:val="002D4157"/>
    <w:rsid w:val="002F3D76"/>
    <w:rsid w:val="00324D92"/>
    <w:rsid w:val="00347FC9"/>
    <w:rsid w:val="003714BB"/>
    <w:rsid w:val="00376731"/>
    <w:rsid w:val="003A603B"/>
    <w:rsid w:val="00406CFC"/>
    <w:rsid w:val="00493F28"/>
    <w:rsid w:val="005046C3"/>
    <w:rsid w:val="00541BD6"/>
    <w:rsid w:val="00581C50"/>
    <w:rsid w:val="005B091A"/>
    <w:rsid w:val="005D6094"/>
    <w:rsid w:val="005E497F"/>
    <w:rsid w:val="00654800"/>
    <w:rsid w:val="006600A7"/>
    <w:rsid w:val="00665CBA"/>
    <w:rsid w:val="006702F5"/>
    <w:rsid w:val="00694136"/>
    <w:rsid w:val="006F67BE"/>
    <w:rsid w:val="0070072C"/>
    <w:rsid w:val="00734A7A"/>
    <w:rsid w:val="00801685"/>
    <w:rsid w:val="00812B0F"/>
    <w:rsid w:val="00833370"/>
    <w:rsid w:val="00852BDC"/>
    <w:rsid w:val="008C50BA"/>
    <w:rsid w:val="008F746D"/>
    <w:rsid w:val="00930505"/>
    <w:rsid w:val="00957CDD"/>
    <w:rsid w:val="009877F6"/>
    <w:rsid w:val="009C07A2"/>
    <w:rsid w:val="00A0013F"/>
    <w:rsid w:val="00A062D7"/>
    <w:rsid w:val="00A426F9"/>
    <w:rsid w:val="00A81A90"/>
    <w:rsid w:val="00AA1AB7"/>
    <w:rsid w:val="00B02AE2"/>
    <w:rsid w:val="00B068E3"/>
    <w:rsid w:val="00B172B7"/>
    <w:rsid w:val="00B74C89"/>
    <w:rsid w:val="00BB00A2"/>
    <w:rsid w:val="00C94AE7"/>
    <w:rsid w:val="00CE37E3"/>
    <w:rsid w:val="00CE418B"/>
    <w:rsid w:val="00CE4B85"/>
    <w:rsid w:val="00D11664"/>
    <w:rsid w:val="00D528F1"/>
    <w:rsid w:val="00D700DA"/>
    <w:rsid w:val="00D74402"/>
    <w:rsid w:val="00DB2047"/>
    <w:rsid w:val="00DB3550"/>
    <w:rsid w:val="00DD1E15"/>
    <w:rsid w:val="00DF3E07"/>
    <w:rsid w:val="00DF7222"/>
    <w:rsid w:val="00DF72CA"/>
    <w:rsid w:val="00E12C14"/>
    <w:rsid w:val="00E277D8"/>
    <w:rsid w:val="00E362F1"/>
    <w:rsid w:val="00E6018B"/>
    <w:rsid w:val="00E617DC"/>
    <w:rsid w:val="00EB7181"/>
    <w:rsid w:val="00F55440"/>
    <w:rsid w:val="00F70095"/>
    <w:rsid w:val="00FC6776"/>
    <w:rsid w:val="00FE4953"/>
    <w:rsid w:val="00FF11C6"/>
    <w:rsid w:val="0103646E"/>
    <w:rsid w:val="01107FB8"/>
    <w:rsid w:val="01173B0D"/>
    <w:rsid w:val="01663C6F"/>
    <w:rsid w:val="01807792"/>
    <w:rsid w:val="01816122"/>
    <w:rsid w:val="018E7FD4"/>
    <w:rsid w:val="0195165B"/>
    <w:rsid w:val="01A20C25"/>
    <w:rsid w:val="01A2147F"/>
    <w:rsid w:val="01A507E1"/>
    <w:rsid w:val="01A80DEB"/>
    <w:rsid w:val="01AB106C"/>
    <w:rsid w:val="01C505B1"/>
    <w:rsid w:val="01D71B72"/>
    <w:rsid w:val="01DE10E9"/>
    <w:rsid w:val="01EF5A8B"/>
    <w:rsid w:val="020E2491"/>
    <w:rsid w:val="024353DE"/>
    <w:rsid w:val="0250576C"/>
    <w:rsid w:val="029A52EB"/>
    <w:rsid w:val="02AB4029"/>
    <w:rsid w:val="02B86C4B"/>
    <w:rsid w:val="02BD08A5"/>
    <w:rsid w:val="02BE4AF6"/>
    <w:rsid w:val="02CC173C"/>
    <w:rsid w:val="02E05773"/>
    <w:rsid w:val="02FD601A"/>
    <w:rsid w:val="031B0143"/>
    <w:rsid w:val="032D1095"/>
    <w:rsid w:val="032F7CFD"/>
    <w:rsid w:val="033A778A"/>
    <w:rsid w:val="034501BF"/>
    <w:rsid w:val="03617A37"/>
    <w:rsid w:val="036946AC"/>
    <w:rsid w:val="036A6535"/>
    <w:rsid w:val="037338FF"/>
    <w:rsid w:val="039D4322"/>
    <w:rsid w:val="03B76367"/>
    <w:rsid w:val="03DA505D"/>
    <w:rsid w:val="03F7582B"/>
    <w:rsid w:val="03FB58E9"/>
    <w:rsid w:val="03FE5F73"/>
    <w:rsid w:val="040A3CFC"/>
    <w:rsid w:val="042574ED"/>
    <w:rsid w:val="04267C04"/>
    <w:rsid w:val="04350DE8"/>
    <w:rsid w:val="04515FA7"/>
    <w:rsid w:val="046013E5"/>
    <w:rsid w:val="04601D88"/>
    <w:rsid w:val="046B6F9E"/>
    <w:rsid w:val="047D774C"/>
    <w:rsid w:val="048A7DB4"/>
    <w:rsid w:val="049D25D7"/>
    <w:rsid w:val="04C14CAC"/>
    <w:rsid w:val="04DC2584"/>
    <w:rsid w:val="04EA1449"/>
    <w:rsid w:val="04F910FD"/>
    <w:rsid w:val="05317402"/>
    <w:rsid w:val="05342AE5"/>
    <w:rsid w:val="053A29D8"/>
    <w:rsid w:val="053D215F"/>
    <w:rsid w:val="05405045"/>
    <w:rsid w:val="057C7CFF"/>
    <w:rsid w:val="0582221B"/>
    <w:rsid w:val="05947DA0"/>
    <w:rsid w:val="05B90964"/>
    <w:rsid w:val="05EA6975"/>
    <w:rsid w:val="06126D96"/>
    <w:rsid w:val="06161664"/>
    <w:rsid w:val="061A6509"/>
    <w:rsid w:val="06374CFF"/>
    <w:rsid w:val="0645603A"/>
    <w:rsid w:val="06857E6F"/>
    <w:rsid w:val="069031D6"/>
    <w:rsid w:val="06941DDB"/>
    <w:rsid w:val="06963913"/>
    <w:rsid w:val="06BE3155"/>
    <w:rsid w:val="06BF5822"/>
    <w:rsid w:val="06C57A76"/>
    <w:rsid w:val="06D60DDE"/>
    <w:rsid w:val="06D977D2"/>
    <w:rsid w:val="0715502D"/>
    <w:rsid w:val="071E783C"/>
    <w:rsid w:val="07227A8B"/>
    <w:rsid w:val="076516EC"/>
    <w:rsid w:val="077418BF"/>
    <w:rsid w:val="078333B3"/>
    <w:rsid w:val="079B59FD"/>
    <w:rsid w:val="07A15E68"/>
    <w:rsid w:val="07A972F3"/>
    <w:rsid w:val="07B72A04"/>
    <w:rsid w:val="07B963BF"/>
    <w:rsid w:val="07B97713"/>
    <w:rsid w:val="07F3319A"/>
    <w:rsid w:val="07F72392"/>
    <w:rsid w:val="07FF424D"/>
    <w:rsid w:val="08307239"/>
    <w:rsid w:val="08341DF2"/>
    <w:rsid w:val="085A7422"/>
    <w:rsid w:val="08727963"/>
    <w:rsid w:val="08796D76"/>
    <w:rsid w:val="08903A2F"/>
    <w:rsid w:val="08AE042E"/>
    <w:rsid w:val="08E52960"/>
    <w:rsid w:val="08F11F41"/>
    <w:rsid w:val="08FE3236"/>
    <w:rsid w:val="091866DF"/>
    <w:rsid w:val="091D5572"/>
    <w:rsid w:val="09200AED"/>
    <w:rsid w:val="093821D5"/>
    <w:rsid w:val="095171D2"/>
    <w:rsid w:val="09694C44"/>
    <w:rsid w:val="096F361D"/>
    <w:rsid w:val="09773DFD"/>
    <w:rsid w:val="09825C37"/>
    <w:rsid w:val="09A33027"/>
    <w:rsid w:val="09A717BC"/>
    <w:rsid w:val="09A948EF"/>
    <w:rsid w:val="09BE3A25"/>
    <w:rsid w:val="09C329D5"/>
    <w:rsid w:val="09C70B60"/>
    <w:rsid w:val="09FC54C3"/>
    <w:rsid w:val="0A03420A"/>
    <w:rsid w:val="0A0B2EE6"/>
    <w:rsid w:val="0A1F263C"/>
    <w:rsid w:val="0A30466C"/>
    <w:rsid w:val="0A3E1102"/>
    <w:rsid w:val="0A5559A6"/>
    <w:rsid w:val="0A611EB3"/>
    <w:rsid w:val="0A8F7D50"/>
    <w:rsid w:val="0AB20F86"/>
    <w:rsid w:val="0ABD53B9"/>
    <w:rsid w:val="0AD41242"/>
    <w:rsid w:val="0AE25ECC"/>
    <w:rsid w:val="0AE650BB"/>
    <w:rsid w:val="0AFF7697"/>
    <w:rsid w:val="0B0907A6"/>
    <w:rsid w:val="0B0F173F"/>
    <w:rsid w:val="0B134F43"/>
    <w:rsid w:val="0B260A58"/>
    <w:rsid w:val="0B2B5A27"/>
    <w:rsid w:val="0B2D7D68"/>
    <w:rsid w:val="0B3730A4"/>
    <w:rsid w:val="0B494CC5"/>
    <w:rsid w:val="0B8547E7"/>
    <w:rsid w:val="0BA53A2D"/>
    <w:rsid w:val="0BE80B69"/>
    <w:rsid w:val="0C1149F2"/>
    <w:rsid w:val="0C144743"/>
    <w:rsid w:val="0C34373D"/>
    <w:rsid w:val="0C816658"/>
    <w:rsid w:val="0C85240E"/>
    <w:rsid w:val="0C8934D9"/>
    <w:rsid w:val="0C9646FB"/>
    <w:rsid w:val="0CE5273B"/>
    <w:rsid w:val="0CEB5C42"/>
    <w:rsid w:val="0D0342C4"/>
    <w:rsid w:val="0D131AC6"/>
    <w:rsid w:val="0D352521"/>
    <w:rsid w:val="0D40596C"/>
    <w:rsid w:val="0D567745"/>
    <w:rsid w:val="0D5B7FB6"/>
    <w:rsid w:val="0D622010"/>
    <w:rsid w:val="0D66566D"/>
    <w:rsid w:val="0D671135"/>
    <w:rsid w:val="0DB317D2"/>
    <w:rsid w:val="0DC71C7B"/>
    <w:rsid w:val="0DCE20E2"/>
    <w:rsid w:val="0DF0563C"/>
    <w:rsid w:val="0DF16EC2"/>
    <w:rsid w:val="0E05005D"/>
    <w:rsid w:val="0E3C44A3"/>
    <w:rsid w:val="0E462FBD"/>
    <w:rsid w:val="0E4E29F2"/>
    <w:rsid w:val="0E5D43AE"/>
    <w:rsid w:val="0E775CB3"/>
    <w:rsid w:val="0E845BE9"/>
    <w:rsid w:val="0EA72187"/>
    <w:rsid w:val="0ED32D08"/>
    <w:rsid w:val="0EED2B71"/>
    <w:rsid w:val="0EEF369E"/>
    <w:rsid w:val="0EF92899"/>
    <w:rsid w:val="0EF95BC8"/>
    <w:rsid w:val="0F1C2782"/>
    <w:rsid w:val="0F2E6144"/>
    <w:rsid w:val="0F47342F"/>
    <w:rsid w:val="0F57641E"/>
    <w:rsid w:val="0F682020"/>
    <w:rsid w:val="0F687A03"/>
    <w:rsid w:val="0F7C76EB"/>
    <w:rsid w:val="0F846855"/>
    <w:rsid w:val="0F8651F4"/>
    <w:rsid w:val="0F976539"/>
    <w:rsid w:val="0FA93E62"/>
    <w:rsid w:val="0FB34039"/>
    <w:rsid w:val="0FF07DCE"/>
    <w:rsid w:val="0FF658F5"/>
    <w:rsid w:val="0FFB5DF5"/>
    <w:rsid w:val="0FFC1A51"/>
    <w:rsid w:val="1039051D"/>
    <w:rsid w:val="103A1C7B"/>
    <w:rsid w:val="1053415A"/>
    <w:rsid w:val="108F56FB"/>
    <w:rsid w:val="109B6087"/>
    <w:rsid w:val="109F0AD8"/>
    <w:rsid w:val="10A631F1"/>
    <w:rsid w:val="10AD258C"/>
    <w:rsid w:val="10B8522A"/>
    <w:rsid w:val="10CB1433"/>
    <w:rsid w:val="10DC6CF5"/>
    <w:rsid w:val="10E9370E"/>
    <w:rsid w:val="110007BB"/>
    <w:rsid w:val="112B32D2"/>
    <w:rsid w:val="113605AF"/>
    <w:rsid w:val="11382EE6"/>
    <w:rsid w:val="11412130"/>
    <w:rsid w:val="114D32D5"/>
    <w:rsid w:val="11562F39"/>
    <w:rsid w:val="11567C5E"/>
    <w:rsid w:val="11735BB9"/>
    <w:rsid w:val="11743401"/>
    <w:rsid w:val="118D588C"/>
    <w:rsid w:val="11A92472"/>
    <w:rsid w:val="11C00ED6"/>
    <w:rsid w:val="11C13DE1"/>
    <w:rsid w:val="11C22BEE"/>
    <w:rsid w:val="11D065C0"/>
    <w:rsid w:val="11D679A7"/>
    <w:rsid w:val="11D97369"/>
    <w:rsid w:val="11DD3ECB"/>
    <w:rsid w:val="11F15D56"/>
    <w:rsid w:val="12220104"/>
    <w:rsid w:val="12441D45"/>
    <w:rsid w:val="124A484B"/>
    <w:rsid w:val="12786377"/>
    <w:rsid w:val="128E2AC1"/>
    <w:rsid w:val="12A01091"/>
    <w:rsid w:val="12CB58BF"/>
    <w:rsid w:val="12D1685F"/>
    <w:rsid w:val="12DD65FA"/>
    <w:rsid w:val="12EA394E"/>
    <w:rsid w:val="12EF061F"/>
    <w:rsid w:val="13070551"/>
    <w:rsid w:val="13342557"/>
    <w:rsid w:val="133902D5"/>
    <w:rsid w:val="133B4EA6"/>
    <w:rsid w:val="136501CA"/>
    <w:rsid w:val="13755BF9"/>
    <w:rsid w:val="13A51B03"/>
    <w:rsid w:val="13A94076"/>
    <w:rsid w:val="13A95680"/>
    <w:rsid w:val="13C6270F"/>
    <w:rsid w:val="13CA76BC"/>
    <w:rsid w:val="13CC6F89"/>
    <w:rsid w:val="13D145B3"/>
    <w:rsid w:val="13DB5B8F"/>
    <w:rsid w:val="13DE2693"/>
    <w:rsid w:val="13EB4936"/>
    <w:rsid w:val="13EE32CB"/>
    <w:rsid w:val="13FC43C3"/>
    <w:rsid w:val="13FE288D"/>
    <w:rsid w:val="1405268E"/>
    <w:rsid w:val="142434B2"/>
    <w:rsid w:val="1443687E"/>
    <w:rsid w:val="14450921"/>
    <w:rsid w:val="144F7C0E"/>
    <w:rsid w:val="14B7065B"/>
    <w:rsid w:val="14B83A55"/>
    <w:rsid w:val="14C24FF6"/>
    <w:rsid w:val="14C8052E"/>
    <w:rsid w:val="14E735A5"/>
    <w:rsid w:val="14F20D73"/>
    <w:rsid w:val="14FF1950"/>
    <w:rsid w:val="15040118"/>
    <w:rsid w:val="15046960"/>
    <w:rsid w:val="150C52C6"/>
    <w:rsid w:val="152D1A7D"/>
    <w:rsid w:val="152E29DB"/>
    <w:rsid w:val="15484236"/>
    <w:rsid w:val="15752EF4"/>
    <w:rsid w:val="158E17AF"/>
    <w:rsid w:val="15A811F6"/>
    <w:rsid w:val="15ED09AE"/>
    <w:rsid w:val="15F977DE"/>
    <w:rsid w:val="162826B6"/>
    <w:rsid w:val="16300857"/>
    <w:rsid w:val="16406DDC"/>
    <w:rsid w:val="16454111"/>
    <w:rsid w:val="1654144C"/>
    <w:rsid w:val="16624E51"/>
    <w:rsid w:val="166C1C07"/>
    <w:rsid w:val="166D5F59"/>
    <w:rsid w:val="168D0632"/>
    <w:rsid w:val="169008F8"/>
    <w:rsid w:val="169B2CFB"/>
    <w:rsid w:val="16AB65C7"/>
    <w:rsid w:val="16B55FED"/>
    <w:rsid w:val="16BF76F9"/>
    <w:rsid w:val="16D52582"/>
    <w:rsid w:val="16E66380"/>
    <w:rsid w:val="17007634"/>
    <w:rsid w:val="170968FF"/>
    <w:rsid w:val="171B2CB1"/>
    <w:rsid w:val="174D387C"/>
    <w:rsid w:val="176C34BD"/>
    <w:rsid w:val="17A60902"/>
    <w:rsid w:val="17B01470"/>
    <w:rsid w:val="17B25480"/>
    <w:rsid w:val="17B26185"/>
    <w:rsid w:val="17DA3725"/>
    <w:rsid w:val="17EB710A"/>
    <w:rsid w:val="180677D4"/>
    <w:rsid w:val="181669FD"/>
    <w:rsid w:val="1822530F"/>
    <w:rsid w:val="183B153F"/>
    <w:rsid w:val="185A59A9"/>
    <w:rsid w:val="186C44EB"/>
    <w:rsid w:val="186F1345"/>
    <w:rsid w:val="187745AD"/>
    <w:rsid w:val="189F1E58"/>
    <w:rsid w:val="18A03E51"/>
    <w:rsid w:val="18AF5193"/>
    <w:rsid w:val="18B36DC3"/>
    <w:rsid w:val="18BD042E"/>
    <w:rsid w:val="18CC7CA9"/>
    <w:rsid w:val="18D0052C"/>
    <w:rsid w:val="191645D7"/>
    <w:rsid w:val="19414358"/>
    <w:rsid w:val="196D7575"/>
    <w:rsid w:val="197012A0"/>
    <w:rsid w:val="19784ADF"/>
    <w:rsid w:val="19867B5D"/>
    <w:rsid w:val="19900750"/>
    <w:rsid w:val="19B45405"/>
    <w:rsid w:val="19BB6465"/>
    <w:rsid w:val="19D2152C"/>
    <w:rsid w:val="19E7100A"/>
    <w:rsid w:val="19EE3EEC"/>
    <w:rsid w:val="1A083335"/>
    <w:rsid w:val="1A1F77C7"/>
    <w:rsid w:val="1A2B56B2"/>
    <w:rsid w:val="1A2E560D"/>
    <w:rsid w:val="1A32419F"/>
    <w:rsid w:val="1A3436C5"/>
    <w:rsid w:val="1A3F5920"/>
    <w:rsid w:val="1A4371DC"/>
    <w:rsid w:val="1A455E6D"/>
    <w:rsid w:val="1A472A7B"/>
    <w:rsid w:val="1A4A4673"/>
    <w:rsid w:val="1A665094"/>
    <w:rsid w:val="1A75565A"/>
    <w:rsid w:val="1A760AA6"/>
    <w:rsid w:val="1A7F3A91"/>
    <w:rsid w:val="1A8B46AA"/>
    <w:rsid w:val="1ABC2E5C"/>
    <w:rsid w:val="1AF9209E"/>
    <w:rsid w:val="1B102825"/>
    <w:rsid w:val="1B162C38"/>
    <w:rsid w:val="1B26146E"/>
    <w:rsid w:val="1B266883"/>
    <w:rsid w:val="1B456628"/>
    <w:rsid w:val="1B4B394D"/>
    <w:rsid w:val="1B6F4B84"/>
    <w:rsid w:val="1B864C86"/>
    <w:rsid w:val="1B8D600E"/>
    <w:rsid w:val="1B99402E"/>
    <w:rsid w:val="1B9D6DC6"/>
    <w:rsid w:val="1B9F479C"/>
    <w:rsid w:val="1BA8663C"/>
    <w:rsid w:val="1BF80633"/>
    <w:rsid w:val="1C0227C2"/>
    <w:rsid w:val="1C027709"/>
    <w:rsid w:val="1C1379BB"/>
    <w:rsid w:val="1C1E210F"/>
    <w:rsid w:val="1C3627E3"/>
    <w:rsid w:val="1C3F544D"/>
    <w:rsid w:val="1C4B6F0F"/>
    <w:rsid w:val="1C570E7F"/>
    <w:rsid w:val="1C5B5420"/>
    <w:rsid w:val="1C7F1742"/>
    <w:rsid w:val="1CA67C8D"/>
    <w:rsid w:val="1CBF5915"/>
    <w:rsid w:val="1CF1094C"/>
    <w:rsid w:val="1CF147C3"/>
    <w:rsid w:val="1CFB76C1"/>
    <w:rsid w:val="1CFE24C3"/>
    <w:rsid w:val="1D230A20"/>
    <w:rsid w:val="1D523C8F"/>
    <w:rsid w:val="1D7B61F3"/>
    <w:rsid w:val="1D8070D4"/>
    <w:rsid w:val="1D8244F4"/>
    <w:rsid w:val="1D854898"/>
    <w:rsid w:val="1D891999"/>
    <w:rsid w:val="1D8F7BA2"/>
    <w:rsid w:val="1DAC26AB"/>
    <w:rsid w:val="1DAD32AD"/>
    <w:rsid w:val="1DB256E1"/>
    <w:rsid w:val="1DCC334E"/>
    <w:rsid w:val="1DCC6C7F"/>
    <w:rsid w:val="1E094B1F"/>
    <w:rsid w:val="1E2232D6"/>
    <w:rsid w:val="1E35633F"/>
    <w:rsid w:val="1E4063DC"/>
    <w:rsid w:val="1E5576B4"/>
    <w:rsid w:val="1E680335"/>
    <w:rsid w:val="1E8E1897"/>
    <w:rsid w:val="1EA908AD"/>
    <w:rsid w:val="1ED3185E"/>
    <w:rsid w:val="1EDA3AAA"/>
    <w:rsid w:val="1EE75BD2"/>
    <w:rsid w:val="1F360BB5"/>
    <w:rsid w:val="1F4C067E"/>
    <w:rsid w:val="1F5924A5"/>
    <w:rsid w:val="1F5C3CE0"/>
    <w:rsid w:val="1F6D2E06"/>
    <w:rsid w:val="1F7A2909"/>
    <w:rsid w:val="1FB157A9"/>
    <w:rsid w:val="1FBA3976"/>
    <w:rsid w:val="1FC26121"/>
    <w:rsid w:val="1FCA20A0"/>
    <w:rsid w:val="1FD351A2"/>
    <w:rsid w:val="1FD9135B"/>
    <w:rsid w:val="1FE86534"/>
    <w:rsid w:val="1FEB3CCD"/>
    <w:rsid w:val="1FF31DEB"/>
    <w:rsid w:val="203723A0"/>
    <w:rsid w:val="204F717E"/>
    <w:rsid w:val="20670039"/>
    <w:rsid w:val="20780B77"/>
    <w:rsid w:val="207F0B81"/>
    <w:rsid w:val="20B55E73"/>
    <w:rsid w:val="20CB6AE0"/>
    <w:rsid w:val="20D8213C"/>
    <w:rsid w:val="20DE2395"/>
    <w:rsid w:val="211C5125"/>
    <w:rsid w:val="21473067"/>
    <w:rsid w:val="2162765D"/>
    <w:rsid w:val="2169686D"/>
    <w:rsid w:val="2183638C"/>
    <w:rsid w:val="218B690C"/>
    <w:rsid w:val="21924186"/>
    <w:rsid w:val="21940B96"/>
    <w:rsid w:val="21AA04BA"/>
    <w:rsid w:val="21BB6C4C"/>
    <w:rsid w:val="21BE4059"/>
    <w:rsid w:val="21C20EB3"/>
    <w:rsid w:val="21C473AD"/>
    <w:rsid w:val="21D815E8"/>
    <w:rsid w:val="21E119BA"/>
    <w:rsid w:val="21E23553"/>
    <w:rsid w:val="21FE211F"/>
    <w:rsid w:val="22073E5D"/>
    <w:rsid w:val="221945DB"/>
    <w:rsid w:val="222712C0"/>
    <w:rsid w:val="224F2663"/>
    <w:rsid w:val="22A00237"/>
    <w:rsid w:val="22C655FE"/>
    <w:rsid w:val="22D529E7"/>
    <w:rsid w:val="22E657B6"/>
    <w:rsid w:val="22EB79DE"/>
    <w:rsid w:val="22FF630D"/>
    <w:rsid w:val="230141F3"/>
    <w:rsid w:val="2309103F"/>
    <w:rsid w:val="230B07D8"/>
    <w:rsid w:val="232F7F60"/>
    <w:rsid w:val="23403FAF"/>
    <w:rsid w:val="237B414F"/>
    <w:rsid w:val="23867F6F"/>
    <w:rsid w:val="238E7AC8"/>
    <w:rsid w:val="23965CE6"/>
    <w:rsid w:val="23A168FB"/>
    <w:rsid w:val="23AB5866"/>
    <w:rsid w:val="23AD76EF"/>
    <w:rsid w:val="23C327AF"/>
    <w:rsid w:val="23C5509D"/>
    <w:rsid w:val="23CE4D99"/>
    <w:rsid w:val="23D41653"/>
    <w:rsid w:val="23D87BFA"/>
    <w:rsid w:val="240B2B0B"/>
    <w:rsid w:val="240B4EBE"/>
    <w:rsid w:val="241B443E"/>
    <w:rsid w:val="243515CA"/>
    <w:rsid w:val="245C3159"/>
    <w:rsid w:val="245D49A6"/>
    <w:rsid w:val="24953318"/>
    <w:rsid w:val="249F60EA"/>
    <w:rsid w:val="24B90D4A"/>
    <w:rsid w:val="24CC4E95"/>
    <w:rsid w:val="24D455F6"/>
    <w:rsid w:val="24F34F7B"/>
    <w:rsid w:val="250D0F6E"/>
    <w:rsid w:val="250E5315"/>
    <w:rsid w:val="25167B8F"/>
    <w:rsid w:val="25213D61"/>
    <w:rsid w:val="252900E8"/>
    <w:rsid w:val="25345DEB"/>
    <w:rsid w:val="25435B97"/>
    <w:rsid w:val="254C1A78"/>
    <w:rsid w:val="255F00CE"/>
    <w:rsid w:val="257D50E8"/>
    <w:rsid w:val="25BC51A1"/>
    <w:rsid w:val="25C5053E"/>
    <w:rsid w:val="25E82070"/>
    <w:rsid w:val="25F3501A"/>
    <w:rsid w:val="26005127"/>
    <w:rsid w:val="262F2E25"/>
    <w:rsid w:val="263C37FF"/>
    <w:rsid w:val="264118AA"/>
    <w:rsid w:val="264A1E1D"/>
    <w:rsid w:val="26551D06"/>
    <w:rsid w:val="266B7EFF"/>
    <w:rsid w:val="26712687"/>
    <w:rsid w:val="267842A5"/>
    <w:rsid w:val="269E0C93"/>
    <w:rsid w:val="26AC28A8"/>
    <w:rsid w:val="26D12346"/>
    <w:rsid w:val="26DA0426"/>
    <w:rsid w:val="26DE5939"/>
    <w:rsid w:val="26EC3DFD"/>
    <w:rsid w:val="26EE52F7"/>
    <w:rsid w:val="27087DD9"/>
    <w:rsid w:val="271239A5"/>
    <w:rsid w:val="271B7824"/>
    <w:rsid w:val="27294552"/>
    <w:rsid w:val="273B7CAE"/>
    <w:rsid w:val="274B440B"/>
    <w:rsid w:val="278A0CDD"/>
    <w:rsid w:val="278D29C0"/>
    <w:rsid w:val="27912984"/>
    <w:rsid w:val="27947E5C"/>
    <w:rsid w:val="27BD5276"/>
    <w:rsid w:val="27CB126E"/>
    <w:rsid w:val="27D83BD1"/>
    <w:rsid w:val="27F7156B"/>
    <w:rsid w:val="27FC212A"/>
    <w:rsid w:val="27FD3DE0"/>
    <w:rsid w:val="28131EA3"/>
    <w:rsid w:val="28204653"/>
    <w:rsid w:val="282C01F9"/>
    <w:rsid w:val="284C3E89"/>
    <w:rsid w:val="285025B7"/>
    <w:rsid w:val="28732D20"/>
    <w:rsid w:val="287508E1"/>
    <w:rsid w:val="288A74CA"/>
    <w:rsid w:val="28912F16"/>
    <w:rsid w:val="28DB00DA"/>
    <w:rsid w:val="28F9001A"/>
    <w:rsid w:val="291F1535"/>
    <w:rsid w:val="29291DD4"/>
    <w:rsid w:val="29851522"/>
    <w:rsid w:val="298655A2"/>
    <w:rsid w:val="298B7A0F"/>
    <w:rsid w:val="29931F33"/>
    <w:rsid w:val="299E2FBA"/>
    <w:rsid w:val="29A67970"/>
    <w:rsid w:val="29B40679"/>
    <w:rsid w:val="29BD7D49"/>
    <w:rsid w:val="29BF2FBD"/>
    <w:rsid w:val="29C83764"/>
    <w:rsid w:val="29D45315"/>
    <w:rsid w:val="29E33B4B"/>
    <w:rsid w:val="29EA4A2A"/>
    <w:rsid w:val="29F83EAA"/>
    <w:rsid w:val="2A176E6F"/>
    <w:rsid w:val="2A2642C7"/>
    <w:rsid w:val="2A3274B9"/>
    <w:rsid w:val="2A3B02F6"/>
    <w:rsid w:val="2A4D4AE4"/>
    <w:rsid w:val="2A5431BB"/>
    <w:rsid w:val="2A581D22"/>
    <w:rsid w:val="2A8A11B0"/>
    <w:rsid w:val="2A9273DD"/>
    <w:rsid w:val="2AA37AED"/>
    <w:rsid w:val="2AC43D72"/>
    <w:rsid w:val="2AC84C24"/>
    <w:rsid w:val="2ACA17CB"/>
    <w:rsid w:val="2AD1018F"/>
    <w:rsid w:val="2ADD1D51"/>
    <w:rsid w:val="2AE3204B"/>
    <w:rsid w:val="2AF51B7A"/>
    <w:rsid w:val="2B4A67CC"/>
    <w:rsid w:val="2B802269"/>
    <w:rsid w:val="2BA0138F"/>
    <w:rsid w:val="2BBC10B5"/>
    <w:rsid w:val="2BC155AF"/>
    <w:rsid w:val="2C0930F6"/>
    <w:rsid w:val="2C0A41DE"/>
    <w:rsid w:val="2C2A7E8A"/>
    <w:rsid w:val="2C395779"/>
    <w:rsid w:val="2C4153DF"/>
    <w:rsid w:val="2C60283B"/>
    <w:rsid w:val="2C6844D2"/>
    <w:rsid w:val="2C792164"/>
    <w:rsid w:val="2C7D130A"/>
    <w:rsid w:val="2C87754C"/>
    <w:rsid w:val="2CA7091E"/>
    <w:rsid w:val="2CB71ADC"/>
    <w:rsid w:val="2CC52B89"/>
    <w:rsid w:val="2CD918A3"/>
    <w:rsid w:val="2CD96B8A"/>
    <w:rsid w:val="2D1653F9"/>
    <w:rsid w:val="2D3A535B"/>
    <w:rsid w:val="2D3E7AAD"/>
    <w:rsid w:val="2D4A5460"/>
    <w:rsid w:val="2D5E5336"/>
    <w:rsid w:val="2D773E98"/>
    <w:rsid w:val="2D786200"/>
    <w:rsid w:val="2D7D2919"/>
    <w:rsid w:val="2D847777"/>
    <w:rsid w:val="2DBB0E6E"/>
    <w:rsid w:val="2DC75CBD"/>
    <w:rsid w:val="2DD32544"/>
    <w:rsid w:val="2DF0073F"/>
    <w:rsid w:val="2DF6530A"/>
    <w:rsid w:val="2DFC4769"/>
    <w:rsid w:val="2E007828"/>
    <w:rsid w:val="2E123906"/>
    <w:rsid w:val="2E1C5516"/>
    <w:rsid w:val="2E504393"/>
    <w:rsid w:val="2E562506"/>
    <w:rsid w:val="2E872345"/>
    <w:rsid w:val="2E970B20"/>
    <w:rsid w:val="2E9B0C14"/>
    <w:rsid w:val="2E9C1BD8"/>
    <w:rsid w:val="2EC104E9"/>
    <w:rsid w:val="2EC66CEF"/>
    <w:rsid w:val="2ECC4E59"/>
    <w:rsid w:val="2EDC1266"/>
    <w:rsid w:val="2EDC67CD"/>
    <w:rsid w:val="2F1E3A25"/>
    <w:rsid w:val="2F295FDF"/>
    <w:rsid w:val="2F352178"/>
    <w:rsid w:val="2F3643F2"/>
    <w:rsid w:val="2F3E0133"/>
    <w:rsid w:val="2F4068AB"/>
    <w:rsid w:val="2F4A51F5"/>
    <w:rsid w:val="2F6C7E12"/>
    <w:rsid w:val="2FA22186"/>
    <w:rsid w:val="2FBC696B"/>
    <w:rsid w:val="2FC82D22"/>
    <w:rsid w:val="2FE97821"/>
    <w:rsid w:val="30095487"/>
    <w:rsid w:val="3030556B"/>
    <w:rsid w:val="303B1A41"/>
    <w:rsid w:val="304E7AE9"/>
    <w:rsid w:val="305257C6"/>
    <w:rsid w:val="306F19CF"/>
    <w:rsid w:val="307668EE"/>
    <w:rsid w:val="30927EEF"/>
    <w:rsid w:val="30A030A3"/>
    <w:rsid w:val="30C41852"/>
    <w:rsid w:val="30CF7E12"/>
    <w:rsid w:val="30F37829"/>
    <w:rsid w:val="312B5F99"/>
    <w:rsid w:val="315F60D6"/>
    <w:rsid w:val="31826063"/>
    <w:rsid w:val="318B22CF"/>
    <w:rsid w:val="31A12232"/>
    <w:rsid w:val="31C25516"/>
    <w:rsid w:val="32171F26"/>
    <w:rsid w:val="3248001F"/>
    <w:rsid w:val="3252170F"/>
    <w:rsid w:val="325658C1"/>
    <w:rsid w:val="329346E9"/>
    <w:rsid w:val="32954C58"/>
    <w:rsid w:val="32A63796"/>
    <w:rsid w:val="32A77772"/>
    <w:rsid w:val="32CC76ED"/>
    <w:rsid w:val="32E62558"/>
    <w:rsid w:val="32EA43FC"/>
    <w:rsid w:val="3301712F"/>
    <w:rsid w:val="33126541"/>
    <w:rsid w:val="332F7797"/>
    <w:rsid w:val="336261B9"/>
    <w:rsid w:val="33695B9E"/>
    <w:rsid w:val="33783178"/>
    <w:rsid w:val="338032B9"/>
    <w:rsid w:val="33986490"/>
    <w:rsid w:val="33C05F07"/>
    <w:rsid w:val="33D54AC8"/>
    <w:rsid w:val="33EA1C12"/>
    <w:rsid w:val="340414F9"/>
    <w:rsid w:val="340B6F22"/>
    <w:rsid w:val="340F16D2"/>
    <w:rsid w:val="34276DDD"/>
    <w:rsid w:val="344D6DDF"/>
    <w:rsid w:val="345856F4"/>
    <w:rsid w:val="34892912"/>
    <w:rsid w:val="349725DF"/>
    <w:rsid w:val="34D17F04"/>
    <w:rsid w:val="34D22C37"/>
    <w:rsid w:val="34D36191"/>
    <w:rsid w:val="34DD415B"/>
    <w:rsid w:val="34DE607F"/>
    <w:rsid w:val="34DF40DE"/>
    <w:rsid w:val="34E90E00"/>
    <w:rsid w:val="34F50FD3"/>
    <w:rsid w:val="35074251"/>
    <w:rsid w:val="350B7DDB"/>
    <w:rsid w:val="35155B94"/>
    <w:rsid w:val="351F1BC9"/>
    <w:rsid w:val="353D2CDB"/>
    <w:rsid w:val="35494A43"/>
    <w:rsid w:val="355D4F4D"/>
    <w:rsid w:val="35682A64"/>
    <w:rsid w:val="356C4B62"/>
    <w:rsid w:val="35941747"/>
    <w:rsid w:val="35983F0A"/>
    <w:rsid w:val="35A770D9"/>
    <w:rsid w:val="35C55377"/>
    <w:rsid w:val="35CA45BB"/>
    <w:rsid w:val="35D0531C"/>
    <w:rsid w:val="35D43DF8"/>
    <w:rsid w:val="35E26859"/>
    <w:rsid w:val="36016C73"/>
    <w:rsid w:val="360E2E0F"/>
    <w:rsid w:val="360E6F5C"/>
    <w:rsid w:val="361F646D"/>
    <w:rsid w:val="364A4363"/>
    <w:rsid w:val="364C204A"/>
    <w:rsid w:val="36562F49"/>
    <w:rsid w:val="365F6F29"/>
    <w:rsid w:val="36722394"/>
    <w:rsid w:val="36765ACA"/>
    <w:rsid w:val="36857475"/>
    <w:rsid w:val="369677A8"/>
    <w:rsid w:val="369B1889"/>
    <w:rsid w:val="36A00C34"/>
    <w:rsid w:val="36AE114C"/>
    <w:rsid w:val="36B82721"/>
    <w:rsid w:val="36B97C9C"/>
    <w:rsid w:val="36E8171E"/>
    <w:rsid w:val="36EA04CF"/>
    <w:rsid w:val="36ED08ED"/>
    <w:rsid w:val="36F05FB6"/>
    <w:rsid w:val="36F83ADC"/>
    <w:rsid w:val="36FA2C39"/>
    <w:rsid w:val="3706021A"/>
    <w:rsid w:val="370B5D90"/>
    <w:rsid w:val="37472253"/>
    <w:rsid w:val="37851045"/>
    <w:rsid w:val="379146AE"/>
    <w:rsid w:val="37987376"/>
    <w:rsid w:val="37A05EE8"/>
    <w:rsid w:val="37AE625B"/>
    <w:rsid w:val="37B47A62"/>
    <w:rsid w:val="37B6636E"/>
    <w:rsid w:val="37BD3946"/>
    <w:rsid w:val="37F0412B"/>
    <w:rsid w:val="381064A4"/>
    <w:rsid w:val="38152A53"/>
    <w:rsid w:val="382D1B22"/>
    <w:rsid w:val="3838393B"/>
    <w:rsid w:val="384A13F3"/>
    <w:rsid w:val="385B149E"/>
    <w:rsid w:val="386314F5"/>
    <w:rsid w:val="38650BD4"/>
    <w:rsid w:val="3875257C"/>
    <w:rsid w:val="38830689"/>
    <w:rsid w:val="38946C57"/>
    <w:rsid w:val="38A97926"/>
    <w:rsid w:val="38B246DB"/>
    <w:rsid w:val="38C677C7"/>
    <w:rsid w:val="38E6081A"/>
    <w:rsid w:val="38ED1C1D"/>
    <w:rsid w:val="393758F5"/>
    <w:rsid w:val="394077B6"/>
    <w:rsid w:val="395224CA"/>
    <w:rsid w:val="395A3569"/>
    <w:rsid w:val="39646E50"/>
    <w:rsid w:val="39B22A0D"/>
    <w:rsid w:val="39C001D9"/>
    <w:rsid w:val="39C50310"/>
    <w:rsid w:val="39CA7992"/>
    <w:rsid w:val="39D51209"/>
    <w:rsid w:val="39D7229D"/>
    <w:rsid w:val="39D94033"/>
    <w:rsid w:val="39E038B9"/>
    <w:rsid w:val="3A0A7CD1"/>
    <w:rsid w:val="3A1B08C2"/>
    <w:rsid w:val="3A400499"/>
    <w:rsid w:val="3A570629"/>
    <w:rsid w:val="3A58053D"/>
    <w:rsid w:val="3A5E61E4"/>
    <w:rsid w:val="3A5E6ACE"/>
    <w:rsid w:val="3A6957E2"/>
    <w:rsid w:val="3A8467D0"/>
    <w:rsid w:val="3AAF2722"/>
    <w:rsid w:val="3AB93C78"/>
    <w:rsid w:val="3ABC1DC7"/>
    <w:rsid w:val="3AC05E71"/>
    <w:rsid w:val="3AEF6183"/>
    <w:rsid w:val="3AF71EF6"/>
    <w:rsid w:val="3AFF4FAF"/>
    <w:rsid w:val="3B0A072D"/>
    <w:rsid w:val="3B1D01FF"/>
    <w:rsid w:val="3B1F2EA7"/>
    <w:rsid w:val="3B2257DB"/>
    <w:rsid w:val="3B3E5B89"/>
    <w:rsid w:val="3B4A4263"/>
    <w:rsid w:val="3B575FB3"/>
    <w:rsid w:val="3B6E2821"/>
    <w:rsid w:val="3B70337A"/>
    <w:rsid w:val="3B925C65"/>
    <w:rsid w:val="3BA8661B"/>
    <w:rsid w:val="3BD50D8B"/>
    <w:rsid w:val="3BF7293E"/>
    <w:rsid w:val="3C0D4D80"/>
    <w:rsid w:val="3C1000EA"/>
    <w:rsid w:val="3C1E3B9D"/>
    <w:rsid w:val="3C1E7F77"/>
    <w:rsid w:val="3C2D7D24"/>
    <w:rsid w:val="3C4B1F65"/>
    <w:rsid w:val="3C59501F"/>
    <w:rsid w:val="3C5E2373"/>
    <w:rsid w:val="3C620D1F"/>
    <w:rsid w:val="3C6A5DCA"/>
    <w:rsid w:val="3C6B2BAC"/>
    <w:rsid w:val="3C6C46E5"/>
    <w:rsid w:val="3C7E4C01"/>
    <w:rsid w:val="3C816838"/>
    <w:rsid w:val="3C883715"/>
    <w:rsid w:val="3C9115C3"/>
    <w:rsid w:val="3CC6145C"/>
    <w:rsid w:val="3CDB0DE0"/>
    <w:rsid w:val="3CEB0D47"/>
    <w:rsid w:val="3D003F5F"/>
    <w:rsid w:val="3D0834BF"/>
    <w:rsid w:val="3D0E510B"/>
    <w:rsid w:val="3D0E73B4"/>
    <w:rsid w:val="3D3D2A2C"/>
    <w:rsid w:val="3D4514DC"/>
    <w:rsid w:val="3D574616"/>
    <w:rsid w:val="3D79250F"/>
    <w:rsid w:val="3D9D1E5C"/>
    <w:rsid w:val="3DA109FB"/>
    <w:rsid w:val="3DA1340B"/>
    <w:rsid w:val="3DAC313F"/>
    <w:rsid w:val="3DDA28F6"/>
    <w:rsid w:val="3E0A518D"/>
    <w:rsid w:val="3E0B3723"/>
    <w:rsid w:val="3E325B5D"/>
    <w:rsid w:val="3E3E52C6"/>
    <w:rsid w:val="3E422C31"/>
    <w:rsid w:val="3E541CEC"/>
    <w:rsid w:val="3E737995"/>
    <w:rsid w:val="3E745BB1"/>
    <w:rsid w:val="3E8E44D3"/>
    <w:rsid w:val="3E932F20"/>
    <w:rsid w:val="3EA46174"/>
    <w:rsid w:val="3EAF6B68"/>
    <w:rsid w:val="3EB82AE3"/>
    <w:rsid w:val="3EC52738"/>
    <w:rsid w:val="3EC93993"/>
    <w:rsid w:val="3ECF0CF3"/>
    <w:rsid w:val="3EFC6683"/>
    <w:rsid w:val="3F0F66D7"/>
    <w:rsid w:val="3F2F63E8"/>
    <w:rsid w:val="3F412448"/>
    <w:rsid w:val="3F440E49"/>
    <w:rsid w:val="3F5F38A4"/>
    <w:rsid w:val="3F6F3BC7"/>
    <w:rsid w:val="3F7423DD"/>
    <w:rsid w:val="3F934BFE"/>
    <w:rsid w:val="3F935B99"/>
    <w:rsid w:val="3F946B0A"/>
    <w:rsid w:val="3F9B3E42"/>
    <w:rsid w:val="3FAC24AB"/>
    <w:rsid w:val="3FC165F8"/>
    <w:rsid w:val="3FE131D5"/>
    <w:rsid w:val="401E7B19"/>
    <w:rsid w:val="40281871"/>
    <w:rsid w:val="405363BC"/>
    <w:rsid w:val="40612E76"/>
    <w:rsid w:val="406F742D"/>
    <w:rsid w:val="40786897"/>
    <w:rsid w:val="407A792C"/>
    <w:rsid w:val="407C59DF"/>
    <w:rsid w:val="409D4CC4"/>
    <w:rsid w:val="409E44AE"/>
    <w:rsid w:val="40B51C89"/>
    <w:rsid w:val="40BB4E08"/>
    <w:rsid w:val="40CE0E46"/>
    <w:rsid w:val="40DD1848"/>
    <w:rsid w:val="40E661B8"/>
    <w:rsid w:val="41037082"/>
    <w:rsid w:val="41040FAF"/>
    <w:rsid w:val="4118296B"/>
    <w:rsid w:val="41221EDA"/>
    <w:rsid w:val="4122262C"/>
    <w:rsid w:val="413D2014"/>
    <w:rsid w:val="417D4B4B"/>
    <w:rsid w:val="41844FC5"/>
    <w:rsid w:val="419B3E7E"/>
    <w:rsid w:val="41AA5476"/>
    <w:rsid w:val="41CB41D4"/>
    <w:rsid w:val="41CB482B"/>
    <w:rsid w:val="41F3260E"/>
    <w:rsid w:val="41F42005"/>
    <w:rsid w:val="41F70330"/>
    <w:rsid w:val="41F74959"/>
    <w:rsid w:val="42076073"/>
    <w:rsid w:val="420D05B4"/>
    <w:rsid w:val="421903E6"/>
    <w:rsid w:val="421A441C"/>
    <w:rsid w:val="421D5412"/>
    <w:rsid w:val="421E1BFA"/>
    <w:rsid w:val="429C3A6B"/>
    <w:rsid w:val="42D97A66"/>
    <w:rsid w:val="42DA1A4D"/>
    <w:rsid w:val="42ED4CC2"/>
    <w:rsid w:val="431B5C71"/>
    <w:rsid w:val="4320695C"/>
    <w:rsid w:val="43241CD3"/>
    <w:rsid w:val="432E2BFF"/>
    <w:rsid w:val="43374EBC"/>
    <w:rsid w:val="43384D4A"/>
    <w:rsid w:val="4340355B"/>
    <w:rsid w:val="43725E77"/>
    <w:rsid w:val="438452B5"/>
    <w:rsid w:val="439052DD"/>
    <w:rsid w:val="43915206"/>
    <w:rsid w:val="43A031C9"/>
    <w:rsid w:val="43B63131"/>
    <w:rsid w:val="43C80871"/>
    <w:rsid w:val="43D7516E"/>
    <w:rsid w:val="43DA1EA6"/>
    <w:rsid w:val="43EF495D"/>
    <w:rsid w:val="43FA4147"/>
    <w:rsid w:val="441D7545"/>
    <w:rsid w:val="44222961"/>
    <w:rsid w:val="442B3928"/>
    <w:rsid w:val="44521794"/>
    <w:rsid w:val="44562F1A"/>
    <w:rsid w:val="446A66AE"/>
    <w:rsid w:val="44747828"/>
    <w:rsid w:val="448A3A99"/>
    <w:rsid w:val="44A433E0"/>
    <w:rsid w:val="44A61B6D"/>
    <w:rsid w:val="44A7427A"/>
    <w:rsid w:val="44BC4F32"/>
    <w:rsid w:val="44E34EE6"/>
    <w:rsid w:val="44E37ECA"/>
    <w:rsid w:val="44F1154B"/>
    <w:rsid w:val="450B1C9C"/>
    <w:rsid w:val="451F148E"/>
    <w:rsid w:val="45327268"/>
    <w:rsid w:val="456B5B25"/>
    <w:rsid w:val="456E2309"/>
    <w:rsid w:val="45751789"/>
    <w:rsid w:val="45761B8F"/>
    <w:rsid w:val="457C07A7"/>
    <w:rsid w:val="45CD17CC"/>
    <w:rsid w:val="45F66762"/>
    <w:rsid w:val="465046C9"/>
    <w:rsid w:val="46661396"/>
    <w:rsid w:val="466D0A22"/>
    <w:rsid w:val="467413E6"/>
    <w:rsid w:val="46773257"/>
    <w:rsid w:val="46A93751"/>
    <w:rsid w:val="46BA1AD8"/>
    <w:rsid w:val="46BD0607"/>
    <w:rsid w:val="46D06B79"/>
    <w:rsid w:val="46D35A4E"/>
    <w:rsid w:val="46D65317"/>
    <w:rsid w:val="46DC537C"/>
    <w:rsid w:val="46EC31CC"/>
    <w:rsid w:val="47032053"/>
    <w:rsid w:val="473D0DF3"/>
    <w:rsid w:val="4753651F"/>
    <w:rsid w:val="476553AD"/>
    <w:rsid w:val="47910358"/>
    <w:rsid w:val="479846D8"/>
    <w:rsid w:val="47D54C47"/>
    <w:rsid w:val="47EA2BA0"/>
    <w:rsid w:val="47F65E0C"/>
    <w:rsid w:val="48380299"/>
    <w:rsid w:val="483F36E0"/>
    <w:rsid w:val="48415FCA"/>
    <w:rsid w:val="48484111"/>
    <w:rsid w:val="484C03E1"/>
    <w:rsid w:val="48751B9A"/>
    <w:rsid w:val="48801A7F"/>
    <w:rsid w:val="48B12330"/>
    <w:rsid w:val="48D31FDF"/>
    <w:rsid w:val="48D66A0D"/>
    <w:rsid w:val="48F8734A"/>
    <w:rsid w:val="48FE384C"/>
    <w:rsid w:val="491B409B"/>
    <w:rsid w:val="49234CCD"/>
    <w:rsid w:val="493D4796"/>
    <w:rsid w:val="494400F9"/>
    <w:rsid w:val="49500492"/>
    <w:rsid w:val="49521762"/>
    <w:rsid w:val="495D7AB9"/>
    <w:rsid w:val="49962196"/>
    <w:rsid w:val="49B06DC3"/>
    <w:rsid w:val="49E05935"/>
    <w:rsid w:val="49EE5AC8"/>
    <w:rsid w:val="4A010D59"/>
    <w:rsid w:val="4A075435"/>
    <w:rsid w:val="4A0B02BC"/>
    <w:rsid w:val="4A1B2E18"/>
    <w:rsid w:val="4A3B602F"/>
    <w:rsid w:val="4A3C3F0A"/>
    <w:rsid w:val="4A4416C8"/>
    <w:rsid w:val="4A442AED"/>
    <w:rsid w:val="4A507ADA"/>
    <w:rsid w:val="4A5649CD"/>
    <w:rsid w:val="4A5B26D9"/>
    <w:rsid w:val="4A5B6349"/>
    <w:rsid w:val="4A6717DA"/>
    <w:rsid w:val="4A6E338D"/>
    <w:rsid w:val="4A71542D"/>
    <w:rsid w:val="4A753241"/>
    <w:rsid w:val="4A905837"/>
    <w:rsid w:val="4AA618A1"/>
    <w:rsid w:val="4AC57F09"/>
    <w:rsid w:val="4AC77DD6"/>
    <w:rsid w:val="4AD13C4F"/>
    <w:rsid w:val="4AF058D0"/>
    <w:rsid w:val="4AFB157A"/>
    <w:rsid w:val="4B023534"/>
    <w:rsid w:val="4B0D7A00"/>
    <w:rsid w:val="4B1E2419"/>
    <w:rsid w:val="4B214808"/>
    <w:rsid w:val="4B287077"/>
    <w:rsid w:val="4B336E37"/>
    <w:rsid w:val="4B507970"/>
    <w:rsid w:val="4B62141C"/>
    <w:rsid w:val="4B66682A"/>
    <w:rsid w:val="4B827661"/>
    <w:rsid w:val="4B8750DF"/>
    <w:rsid w:val="4B901D44"/>
    <w:rsid w:val="4BA72BED"/>
    <w:rsid w:val="4BBF160F"/>
    <w:rsid w:val="4BBF644B"/>
    <w:rsid w:val="4BC02698"/>
    <w:rsid w:val="4BE13890"/>
    <w:rsid w:val="4BE75107"/>
    <w:rsid w:val="4BF963DD"/>
    <w:rsid w:val="4BFD7EE1"/>
    <w:rsid w:val="4C0B76BF"/>
    <w:rsid w:val="4C1011E1"/>
    <w:rsid w:val="4C7170A5"/>
    <w:rsid w:val="4CCF6130"/>
    <w:rsid w:val="4CF337C9"/>
    <w:rsid w:val="4CF6323A"/>
    <w:rsid w:val="4CFB5A5C"/>
    <w:rsid w:val="4D020687"/>
    <w:rsid w:val="4D1F233C"/>
    <w:rsid w:val="4D29260A"/>
    <w:rsid w:val="4D3A1CC6"/>
    <w:rsid w:val="4D5F353B"/>
    <w:rsid w:val="4D622D16"/>
    <w:rsid w:val="4D674C4D"/>
    <w:rsid w:val="4D71170D"/>
    <w:rsid w:val="4D97427A"/>
    <w:rsid w:val="4DAC3C85"/>
    <w:rsid w:val="4DAC4209"/>
    <w:rsid w:val="4DD7375A"/>
    <w:rsid w:val="4DDD3A5E"/>
    <w:rsid w:val="4DEB704A"/>
    <w:rsid w:val="4DEE5432"/>
    <w:rsid w:val="4E2A14CD"/>
    <w:rsid w:val="4E2E7A42"/>
    <w:rsid w:val="4E4B1D50"/>
    <w:rsid w:val="4E720B16"/>
    <w:rsid w:val="4E7401C8"/>
    <w:rsid w:val="4E885BEF"/>
    <w:rsid w:val="4E8D785C"/>
    <w:rsid w:val="4EAE607B"/>
    <w:rsid w:val="4EB648B5"/>
    <w:rsid w:val="4ED9364D"/>
    <w:rsid w:val="4F23480C"/>
    <w:rsid w:val="4F36306D"/>
    <w:rsid w:val="4F574D45"/>
    <w:rsid w:val="4F590E43"/>
    <w:rsid w:val="4F596413"/>
    <w:rsid w:val="4F5E5053"/>
    <w:rsid w:val="4F6569EF"/>
    <w:rsid w:val="4F6974D7"/>
    <w:rsid w:val="4FA312D9"/>
    <w:rsid w:val="4FB12939"/>
    <w:rsid w:val="4FB82E05"/>
    <w:rsid w:val="4FBB3272"/>
    <w:rsid w:val="4FC8267E"/>
    <w:rsid w:val="4FD77B09"/>
    <w:rsid w:val="4FE842A1"/>
    <w:rsid w:val="4FEA0E38"/>
    <w:rsid w:val="4FF138EE"/>
    <w:rsid w:val="5000475F"/>
    <w:rsid w:val="50017534"/>
    <w:rsid w:val="50062C1B"/>
    <w:rsid w:val="501D3CB5"/>
    <w:rsid w:val="502F5C62"/>
    <w:rsid w:val="503A10B3"/>
    <w:rsid w:val="50497D4F"/>
    <w:rsid w:val="506562FA"/>
    <w:rsid w:val="50670012"/>
    <w:rsid w:val="507D0AF2"/>
    <w:rsid w:val="507D3F0A"/>
    <w:rsid w:val="50945988"/>
    <w:rsid w:val="50AC5BB1"/>
    <w:rsid w:val="50BD2DD7"/>
    <w:rsid w:val="50D24135"/>
    <w:rsid w:val="50D936FF"/>
    <w:rsid w:val="50F4385B"/>
    <w:rsid w:val="50F7217E"/>
    <w:rsid w:val="50F7564B"/>
    <w:rsid w:val="51074D25"/>
    <w:rsid w:val="513A1E50"/>
    <w:rsid w:val="513C2CC0"/>
    <w:rsid w:val="515073BF"/>
    <w:rsid w:val="51561527"/>
    <w:rsid w:val="515D66CD"/>
    <w:rsid w:val="51684BB1"/>
    <w:rsid w:val="51E53B7A"/>
    <w:rsid w:val="51F94096"/>
    <w:rsid w:val="51FB64AB"/>
    <w:rsid w:val="51FC3949"/>
    <w:rsid w:val="520326E9"/>
    <w:rsid w:val="520B46E7"/>
    <w:rsid w:val="52206CB2"/>
    <w:rsid w:val="5232381A"/>
    <w:rsid w:val="52503D07"/>
    <w:rsid w:val="526E60A5"/>
    <w:rsid w:val="52714D8D"/>
    <w:rsid w:val="52C252EB"/>
    <w:rsid w:val="52E054C8"/>
    <w:rsid w:val="52E27296"/>
    <w:rsid w:val="52E36EA0"/>
    <w:rsid w:val="52EB4A2D"/>
    <w:rsid w:val="53010CAB"/>
    <w:rsid w:val="53107F84"/>
    <w:rsid w:val="53280414"/>
    <w:rsid w:val="532E2A35"/>
    <w:rsid w:val="533A2E47"/>
    <w:rsid w:val="53522AE3"/>
    <w:rsid w:val="535E7D78"/>
    <w:rsid w:val="536D7B37"/>
    <w:rsid w:val="53757268"/>
    <w:rsid w:val="53957706"/>
    <w:rsid w:val="539F6B13"/>
    <w:rsid w:val="53A27839"/>
    <w:rsid w:val="53A4175D"/>
    <w:rsid w:val="53A51539"/>
    <w:rsid w:val="53AA5EEE"/>
    <w:rsid w:val="53B2036E"/>
    <w:rsid w:val="53C136AD"/>
    <w:rsid w:val="53C44EBF"/>
    <w:rsid w:val="53CC3A6F"/>
    <w:rsid w:val="53D867B1"/>
    <w:rsid w:val="53E7572B"/>
    <w:rsid w:val="53FA6D22"/>
    <w:rsid w:val="54354F85"/>
    <w:rsid w:val="54365EB9"/>
    <w:rsid w:val="54377DC8"/>
    <w:rsid w:val="54381E9E"/>
    <w:rsid w:val="544A6756"/>
    <w:rsid w:val="5452406D"/>
    <w:rsid w:val="546B56AF"/>
    <w:rsid w:val="54BA64BE"/>
    <w:rsid w:val="54BB1218"/>
    <w:rsid w:val="54BC554D"/>
    <w:rsid w:val="54C34EDF"/>
    <w:rsid w:val="54E243D7"/>
    <w:rsid w:val="54F0052C"/>
    <w:rsid w:val="55286FEB"/>
    <w:rsid w:val="552B5162"/>
    <w:rsid w:val="555B4912"/>
    <w:rsid w:val="55676529"/>
    <w:rsid w:val="55740F1D"/>
    <w:rsid w:val="557912F9"/>
    <w:rsid w:val="55930E34"/>
    <w:rsid w:val="559A33DD"/>
    <w:rsid w:val="55A45DC5"/>
    <w:rsid w:val="55AA3CF9"/>
    <w:rsid w:val="55C34F18"/>
    <w:rsid w:val="55D7626F"/>
    <w:rsid w:val="55E5524D"/>
    <w:rsid w:val="5603604A"/>
    <w:rsid w:val="562149C7"/>
    <w:rsid w:val="56215400"/>
    <w:rsid w:val="562D3CA0"/>
    <w:rsid w:val="563C47D3"/>
    <w:rsid w:val="56817380"/>
    <w:rsid w:val="568838CA"/>
    <w:rsid w:val="568E22F0"/>
    <w:rsid w:val="56AF60BA"/>
    <w:rsid w:val="56B60086"/>
    <w:rsid w:val="56B923A5"/>
    <w:rsid w:val="56BF22E4"/>
    <w:rsid w:val="56D31ECE"/>
    <w:rsid w:val="56DE5064"/>
    <w:rsid w:val="570C1969"/>
    <w:rsid w:val="570F0144"/>
    <w:rsid w:val="57224BA1"/>
    <w:rsid w:val="573C6866"/>
    <w:rsid w:val="574E7BC6"/>
    <w:rsid w:val="575C44F6"/>
    <w:rsid w:val="575F1012"/>
    <w:rsid w:val="576F20A9"/>
    <w:rsid w:val="57842F62"/>
    <w:rsid w:val="578B21C5"/>
    <w:rsid w:val="578C34B7"/>
    <w:rsid w:val="5790407B"/>
    <w:rsid w:val="5792042E"/>
    <w:rsid w:val="57CF62C4"/>
    <w:rsid w:val="57EE3F43"/>
    <w:rsid w:val="58050971"/>
    <w:rsid w:val="58230603"/>
    <w:rsid w:val="582A2B2A"/>
    <w:rsid w:val="583538FD"/>
    <w:rsid w:val="58556699"/>
    <w:rsid w:val="58682452"/>
    <w:rsid w:val="58783623"/>
    <w:rsid w:val="587D4019"/>
    <w:rsid w:val="587F1E72"/>
    <w:rsid w:val="588B3AF0"/>
    <w:rsid w:val="58AE0960"/>
    <w:rsid w:val="58CB58B3"/>
    <w:rsid w:val="58F53AAE"/>
    <w:rsid w:val="59015BDE"/>
    <w:rsid w:val="590C1B83"/>
    <w:rsid w:val="59105AF5"/>
    <w:rsid w:val="59110B8E"/>
    <w:rsid w:val="592E0DE4"/>
    <w:rsid w:val="593C5C07"/>
    <w:rsid w:val="59485B67"/>
    <w:rsid w:val="595017A8"/>
    <w:rsid w:val="595E771E"/>
    <w:rsid w:val="59637FC0"/>
    <w:rsid w:val="596746CD"/>
    <w:rsid w:val="59876D91"/>
    <w:rsid w:val="598D2076"/>
    <w:rsid w:val="599A7DCE"/>
    <w:rsid w:val="599B372C"/>
    <w:rsid w:val="59C21F08"/>
    <w:rsid w:val="59D04398"/>
    <w:rsid w:val="59EA6BA9"/>
    <w:rsid w:val="5A115B5E"/>
    <w:rsid w:val="5A2631DC"/>
    <w:rsid w:val="5A3731E9"/>
    <w:rsid w:val="5A526BE6"/>
    <w:rsid w:val="5A5E0923"/>
    <w:rsid w:val="5AAB2421"/>
    <w:rsid w:val="5ACE42E3"/>
    <w:rsid w:val="5AD44ABF"/>
    <w:rsid w:val="5AE90D6F"/>
    <w:rsid w:val="5AF601FF"/>
    <w:rsid w:val="5B076DF0"/>
    <w:rsid w:val="5B0E1C9C"/>
    <w:rsid w:val="5B192891"/>
    <w:rsid w:val="5B2119FA"/>
    <w:rsid w:val="5B6442F7"/>
    <w:rsid w:val="5B6C1E7F"/>
    <w:rsid w:val="5B7305D4"/>
    <w:rsid w:val="5B746EEC"/>
    <w:rsid w:val="5B7B5A9C"/>
    <w:rsid w:val="5B8842A3"/>
    <w:rsid w:val="5B972338"/>
    <w:rsid w:val="5B9D6876"/>
    <w:rsid w:val="5B9D727C"/>
    <w:rsid w:val="5BBF171E"/>
    <w:rsid w:val="5BCB2792"/>
    <w:rsid w:val="5BD31F7A"/>
    <w:rsid w:val="5BE714B5"/>
    <w:rsid w:val="5BE87AAA"/>
    <w:rsid w:val="5BEC1CE2"/>
    <w:rsid w:val="5BF143F6"/>
    <w:rsid w:val="5BFA44C0"/>
    <w:rsid w:val="5C1A25A3"/>
    <w:rsid w:val="5C25646B"/>
    <w:rsid w:val="5C4A6B91"/>
    <w:rsid w:val="5C631F67"/>
    <w:rsid w:val="5C6E2426"/>
    <w:rsid w:val="5C85468C"/>
    <w:rsid w:val="5CB5252D"/>
    <w:rsid w:val="5CB5605D"/>
    <w:rsid w:val="5CB64097"/>
    <w:rsid w:val="5CC60CB7"/>
    <w:rsid w:val="5CC70954"/>
    <w:rsid w:val="5CD34EA6"/>
    <w:rsid w:val="5CFA40D7"/>
    <w:rsid w:val="5D0611E4"/>
    <w:rsid w:val="5D5A7703"/>
    <w:rsid w:val="5D6B30D2"/>
    <w:rsid w:val="5D762E76"/>
    <w:rsid w:val="5D93168E"/>
    <w:rsid w:val="5D9B0074"/>
    <w:rsid w:val="5D9D766C"/>
    <w:rsid w:val="5DBA32F8"/>
    <w:rsid w:val="5DDC43CB"/>
    <w:rsid w:val="5DDC4E8E"/>
    <w:rsid w:val="5DF2157A"/>
    <w:rsid w:val="5DF5439F"/>
    <w:rsid w:val="5E184E32"/>
    <w:rsid w:val="5E1B366C"/>
    <w:rsid w:val="5E2340EF"/>
    <w:rsid w:val="5E2B6E66"/>
    <w:rsid w:val="5E494695"/>
    <w:rsid w:val="5E5262D6"/>
    <w:rsid w:val="5E552B49"/>
    <w:rsid w:val="5E637037"/>
    <w:rsid w:val="5E723683"/>
    <w:rsid w:val="5E7804D0"/>
    <w:rsid w:val="5E93006E"/>
    <w:rsid w:val="5EA447AB"/>
    <w:rsid w:val="5EBD0DDE"/>
    <w:rsid w:val="5ECB00EF"/>
    <w:rsid w:val="5ED67078"/>
    <w:rsid w:val="5EEE62A3"/>
    <w:rsid w:val="5EF20CEB"/>
    <w:rsid w:val="5EF95ED1"/>
    <w:rsid w:val="5F0109A7"/>
    <w:rsid w:val="5F4D745B"/>
    <w:rsid w:val="5F59572A"/>
    <w:rsid w:val="5F696596"/>
    <w:rsid w:val="5F7009BC"/>
    <w:rsid w:val="5F747599"/>
    <w:rsid w:val="5F9C2B23"/>
    <w:rsid w:val="5FA05856"/>
    <w:rsid w:val="5FD62D2C"/>
    <w:rsid w:val="5FF00025"/>
    <w:rsid w:val="5FFB3851"/>
    <w:rsid w:val="5FFB5ABC"/>
    <w:rsid w:val="60000C0B"/>
    <w:rsid w:val="600F2910"/>
    <w:rsid w:val="60117657"/>
    <w:rsid w:val="60122F94"/>
    <w:rsid w:val="6014332A"/>
    <w:rsid w:val="60315363"/>
    <w:rsid w:val="60717F53"/>
    <w:rsid w:val="608A2565"/>
    <w:rsid w:val="60927DF9"/>
    <w:rsid w:val="60966771"/>
    <w:rsid w:val="609B1D5A"/>
    <w:rsid w:val="60A60A99"/>
    <w:rsid w:val="60AD5E7C"/>
    <w:rsid w:val="60B37DE4"/>
    <w:rsid w:val="60B65831"/>
    <w:rsid w:val="60EA4388"/>
    <w:rsid w:val="610572AD"/>
    <w:rsid w:val="610F52F8"/>
    <w:rsid w:val="61116F32"/>
    <w:rsid w:val="611949CE"/>
    <w:rsid w:val="611E6AF8"/>
    <w:rsid w:val="6125720E"/>
    <w:rsid w:val="6139170C"/>
    <w:rsid w:val="614F16DF"/>
    <w:rsid w:val="61526F7A"/>
    <w:rsid w:val="61557863"/>
    <w:rsid w:val="616361CB"/>
    <w:rsid w:val="61766E41"/>
    <w:rsid w:val="61854C76"/>
    <w:rsid w:val="61B617F0"/>
    <w:rsid w:val="61B65E26"/>
    <w:rsid w:val="61BB14DC"/>
    <w:rsid w:val="61C5357D"/>
    <w:rsid w:val="61EC65D3"/>
    <w:rsid w:val="61F111DF"/>
    <w:rsid w:val="62005357"/>
    <w:rsid w:val="620E36E2"/>
    <w:rsid w:val="62146C09"/>
    <w:rsid w:val="622858F9"/>
    <w:rsid w:val="623719EA"/>
    <w:rsid w:val="62481953"/>
    <w:rsid w:val="625461BE"/>
    <w:rsid w:val="62727742"/>
    <w:rsid w:val="62813BFC"/>
    <w:rsid w:val="62860881"/>
    <w:rsid w:val="628629B5"/>
    <w:rsid w:val="628779EE"/>
    <w:rsid w:val="62894C27"/>
    <w:rsid w:val="62B23C73"/>
    <w:rsid w:val="62B375B0"/>
    <w:rsid w:val="62FC4FC0"/>
    <w:rsid w:val="630477D3"/>
    <w:rsid w:val="63074A05"/>
    <w:rsid w:val="630D1F7A"/>
    <w:rsid w:val="633C3F46"/>
    <w:rsid w:val="63480B67"/>
    <w:rsid w:val="63614C2D"/>
    <w:rsid w:val="6364505B"/>
    <w:rsid w:val="636C5FB2"/>
    <w:rsid w:val="636E05B3"/>
    <w:rsid w:val="637C713F"/>
    <w:rsid w:val="63A948F4"/>
    <w:rsid w:val="63D23A87"/>
    <w:rsid w:val="63E02A91"/>
    <w:rsid w:val="64107039"/>
    <w:rsid w:val="642765C3"/>
    <w:rsid w:val="642E0EB4"/>
    <w:rsid w:val="64551CDF"/>
    <w:rsid w:val="649D3978"/>
    <w:rsid w:val="64A62BFA"/>
    <w:rsid w:val="64B56EE0"/>
    <w:rsid w:val="64C71184"/>
    <w:rsid w:val="64E64057"/>
    <w:rsid w:val="64F12C1B"/>
    <w:rsid w:val="64F824A1"/>
    <w:rsid w:val="65136D2C"/>
    <w:rsid w:val="65203ED3"/>
    <w:rsid w:val="65476811"/>
    <w:rsid w:val="65603242"/>
    <w:rsid w:val="656B6F5C"/>
    <w:rsid w:val="6597299B"/>
    <w:rsid w:val="659E5344"/>
    <w:rsid w:val="65A056C2"/>
    <w:rsid w:val="65A96F2C"/>
    <w:rsid w:val="65DF1A06"/>
    <w:rsid w:val="65DF76AA"/>
    <w:rsid w:val="65F12D85"/>
    <w:rsid w:val="65FA6F4F"/>
    <w:rsid w:val="65FD7655"/>
    <w:rsid w:val="6648364D"/>
    <w:rsid w:val="664A3174"/>
    <w:rsid w:val="665D1C95"/>
    <w:rsid w:val="665F11B9"/>
    <w:rsid w:val="66742EAB"/>
    <w:rsid w:val="66870461"/>
    <w:rsid w:val="669763BF"/>
    <w:rsid w:val="66B02F51"/>
    <w:rsid w:val="66B135B1"/>
    <w:rsid w:val="66B65001"/>
    <w:rsid w:val="66BB4383"/>
    <w:rsid w:val="66C9508F"/>
    <w:rsid w:val="66CE38F1"/>
    <w:rsid w:val="66DA46DD"/>
    <w:rsid w:val="66E01E3E"/>
    <w:rsid w:val="66FE04E9"/>
    <w:rsid w:val="671A5DA4"/>
    <w:rsid w:val="672D38C9"/>
    <w:rsid w:val="672F373B"/>
    <w:rsid w:val="67306C9E"/>
    <w:rsid w:val="673551EC"/>
    <w:rsid w:val="674E1960"/>
    <w:rsid w:val="675E39C9"/>
    <w:rsid w:val="67770B2E"/>
    <w:rsid w:val="6790291B"/>
    <w:rsid w:val="67A2354A"/>
    <w:rsid w:val="67A548A8"/>
    <w:rsid w:val="67DC31E7"/>
    <w:rsid w:val="67F84320"/>
    <w:rsid w:val="68052A1C"/>
    <w:rsid w:val="68071E1B"/>
    <w:rsid w:val="68271FC8"/>
    <w:rsid w:val="6838373F"/>
    <w:rsid w:val="684E47E5"/>
    <w:rsid w:val="68534E43"/>
    <w:rsid w:val="685D4168"/>
    <w:rsid w:val="68633937"/>
    <w:rsid w:val="686D745F"/>
    <w:rsid w:val="68727B9D"/>
    <w:rsid w:val="68756446"/>
    <w:rsid w:val="688E2E9D"/>
    <w:rsid w:val="68A34466"/>
    <w:rsid w:val="68AA1617"/>
    <w:rsid w:val="68CD6F06"/>
    <w:rsid w:val="68D13735"/>
    <w:rsid w:val="68D84E02"/>
    <w:rsid w:val="68E01334"/>
    <w:rsid w:val="691723B0"/>
    <w:rsid w:val="693973B1"/>
    <w:rsid w:val="693B0A6B"/>
    <w:rsid w:val="6944578E"/>
    <w:rsid w:val="694620B1"/>
    <w:rsid w:val="6960192D"/>
    <w:rsid w:val="697D7DEA"/>
    <w:rsid w:val="697F1D35"/>
    <w:rsid w:val="69844401"/>
    <w:rsid w:val="69930816"/>
    <w:rsid w:val="699F75C5"/>
    <w:rsid w:val="69A45D26"/>
    <w:rsid w:val="69E7057A"/>
    <w:rsid w:val="69FC6236"/>
    <w:rsid w:val="6A0F2369"/>
    <w:rsid w:val="6A145D33"/>
    <w:rsid w:val="6A23081F"/>
    <w:rsid w:val="6A353D63"/>
    <w:rsid w:val="6A490E4F"/>
    <w:rsid w:val="6A621B46"/>
    <w:rsid w:val="6AD53E33"/>
    <w:rsid w:val="6AD61002"/>
    <w:rsid w:val="6AEF7251"/>
    <w:rsid w:val="6AFE20BC"/>
    <w:rsid w:val="6B060B37"/>
    <w:rsid w:val="6B096AD1"/>
    <w:rsid w:val="6B346A95"/>
    <w:rsid w:val="6B472BE2"/>
    <w:rsid w:val="6B64618D"/>
    <w:rsid w:val="6B690D20"/>
    <w:rsid w:val="6B7C31B8"/>
    <w:rsid w:val="6B8C0853"/>
    <w:rsid w:val="6BA2706A"/>
    <w:rsid w:val="6BAA4152"/>
    <w:rsid w:val="6BBA2898"/>
    <w:rsid w:val="6BBC5DB8"/>
    <w:rsid w:val="6BCE4A1B"/>
    <w:rsid w:val="6BDC024D"/>
    <w:rsid w:val="6BE16F7D"/>
    <w:rsid w:val="6BF5054A"/>
    <w:rsid w:val="6C441C67"/>
    <w:rsid w:val="6C487D67"/>
    <w:rsid w:val="6C494129"/>
    <w:rsid w:val="6C6A42C3"/>
    <w:rsid w:val="6C7662AC"/>
    <w:rsid w:val="6C805A84"/>
    <w:rsid w:val="6C8972E5"/>
    <w:rsid w:val="6C910FE0"/>
    <w:rsid w:val="6CA7499B"/>
    <w:rsid w:val="6CAC11AA"/>
    <w:rsid w:val="6CC26BD4"/>
    <w:rsid w:val="6CD20DCE"/>
    <w:rsid w:val="6D082E53"/>
    <w:rsid w:val="6D206290"/>
    <w:rsid w:val="6D3115AB"/>
    <w:rsid w:val="6D311A46"/>
    <w:rsid w:val="6D6A7B3B"/>
    <w:rsid w:val="6D78156E"/>
    <w:rsid w:val="6D931E03"/>
    <w:rsid w:val="6DE04853"/>
    <w:rsid w:val="6DEC5175"/>
    <w:rsid w:val="6DF13289"/>
    <w:rsid w:val="6E1D5D15"/>
    <w:rsid w:val="6E2D091A"/>
    <w:rsid w:val="6E310716"/>
    <w:rsid w:val="6E365B9B"/>
    <w:rsid w:val="6E500FB0"/>
    <w:rsid w:val="6E5105D3"/>
    <w:rsid w:val="6E606455"/>
    <w:rsid w:val="6E625FBD"/>
    <w:rsid w:val="6E7F3EB8"/>
    <w:rsid w:val="6E861CC6"/>
    <w:rsid w:val="6E881330"/>
    <w:rsid w:val="6E89554F"/>
    <w:rsid w:val="6E8A7870"/>
    <w:rsid w:val="6E9F7A87"/>
    <w:rsid w:val="6EA3102C"/>
    <w:rsid w:val="6EAB6026"/>
    <w:rsid w:val="6EB102D7"/>
    <w:rsid w:val="6EC75F80"/>
    <w:rsid w:val="6ED168E5"/>
    <w:rsid w:val="6ED46B95"/>
    <w:rsid w:val="6ED86ED1"/>
    <w:rsid w:val="6ED92E63"/>
    <w:rsid w:val="6EDB5545"/>
    <w:rsid w:val="6EEA2704"/>
    <w:rsid w:val="6EF10721"/>
    <w:rsid w:val="6F0F695D"/>
    <w:rsid w:val="6F183A02"/>
    <w:rsid w:val="6F191027"/>
    <w:rsid w:val="6F317F1E"/>
    <w:rsid w:val="6F6F0326"/>
    <w:rsid w:val="6F7350FD"/>
    <w:rsid w:val="6F756F1F"/>
    <w:rsid w:val="6FA32F89"/>
    <w:rsid w:val="6FA84D2C"/>
    <w:rsid w:val="6FC91DF2"/>
    <w:rsid w:val="700F78EF"/>
    <w:rsid w:val="701124C9"/>
    <w:rsid w:val="701C65ED"/>
    <w:rsid w:val="701E14EF"/>
    <w:rsid w:val="704E7C0C"/>
    <w:rsid w:val="706360A3"/>
    <w:rsid w:val="706E60D7"/>
    <w:rsid w:val="707F6D91"/>
    <w:rsid w:val="7080324F"/>
    <w:rsid w:val="70807B26"/>
    <w:rsid w:val="708E4652"/>
    <w:rsid w:val="70C40F55"/>
    <w:rsid w:val="70E8617C"/>
    <w:rsid w:val="70ED4131"/>
    <w:rsid w:val="71385982"/>
    <w:rsid w:val="713B4A7F"/>
    <w:rsid w:val="714623DE"/>
    <w:rsid w:val="714A51DD"/>
    <w:rsid w:val="716001C3"/>
    <w:rsid w:val="71664AA6"/>
    <w:rsid w:val="716E0665"/>
    <w:rsid w:val="7180719F"/>
    <w:rsid w:val="718C3535"/>
    <w:rsid w:val="71913839"/>
    <w:rsid w:val="71B5446E"/>
    <w:rsid w:val="71B82A1A"/>
    <w:rsid w:val="71BE33B5"/>
    <w:rsid w:val="720D7077"/>
    <w:rsid w:val="721A6A3B"/>
    <w:rsid w:val="723667AA"/>
    <w:rsid w:val="728E26C5"/>
    <w:rsid w:val="72A47862"/>
    <w:rsid w:val="72B570B1"/>
    <w:rsid w:val="72D040DD"/>
    <w:rsid w:val="72D1374D"/>
    <w:rsid w:val="72F07C87"/>
    <w:rsid w:val="72F85F45"/>
    <w:rsid w:val="72FC092C"/>
    <w:rsid w:val="731560DA"/>
    <w:rsid w:val="732955DC"/>
    <w:rsid w:val="73514334"/>
    <w:rsid w:val="7354237E"/>
    <w:rsid w:val="73546928"/>
    <w:rsid w:val="7358061D"/>
    <w:rsid w:val="736A4BC1"/>
    <w:rsid w:val="73984489"/>
    <w:rsid w:val="739E53C7"/>
    <w:rsid w:val="73B54547"/>
    <w:rsid w:val="73BC0F15"/>
    <w:rsid w:val="73D51D2E"/>
    <w:rsid w:val="73E427D4"/>
    <w:rsid w:val="7408437F"/>
    <w:rsid w:val="74302BC3"/>
    <w:rsid w:val="7436137F"/>
    <w:rsid w:val="743D326C"/>
    <w:rsid w:val="7448171A"/>
    <w:rsid w:val="744A7DEF"/>
    <w:rsid w:val="745920C0"/>
    <w:rsid w:val="74594477"/>
    <w:rsid w:val="745D7D79"/>
    <w:rsid w:val="74622FC5"/>
    <w:rsid w:val="74651ACA"/>
    <w:rsid w:val="746C629C"/>
    <w:rsid w:val="748B2711"/>
    <w:rsid w:val="749F566A"/>
    <w:rsid w:val="74AC1EB0"/>
    <w:rsid w:val="74EA07C8"/>
    <w:rsid w:val="74EB2844"/>
    <w:rsid w:val="74EF52D2"/>
    <w:rsid w:val="75013D8A"/>
    <w:rsid w:val="7506161D"/>
    <w:rsid w:val="75081F57"/>
    <w:rsid w:val="75265093"/>
    <w:rsid w:val="75376EFE"/>
    <w:rsid w:val="75380211"/>
    <w:rsid w:val="754722A7"/>
    <w:rsid w:val="75502DCD"/>
    <w:rsid w:val="7553471D"/>
    <w:rsid w:val="75571B66"/>
    <w:rsid w:val="755E2753"/>
    <w:rsid w:val="7569046D"/>
    <w:rsid w:val="757D6758"/>
    <w:rsid w:val="75846879"/>
    <w:rsid w:val="7595205A"/>
    <w:rsid w:val="75975898"/>
    <w:rsid w:val="759A767D"/>
    <w:rsid w:val="759F1DBC"/>
    <w:rsid w:val="75B20A90"/>
    <w:rsid w:val="75BC67EC"/>
    <w:rsid w:val="75D9355A"/>
    <w:rsid w:val="75F15B0C"/>
    <w:rsid w:val="75FB1C9A"/>
    <w:rsid w:val="75FD4744"/>
    <w:rsid w:val="761B3860"/>
    <w:rsid w:val="76241695"/>
    <w:rsid w:val="764075CE"/>
    <w:rsid w:val="7644546B"/>
    <w:rsid w:val="764D059B"/>
    <w:rsid w:val="765575C9"/>
    <w:rsid w:val="765B5671"/>
    <w:rsid w:val="76730D4C"/>
    <w:rsid w:val="7683284B"/>
    <w:rsid w:val="76924687"/>
    <w:rsid w:val="769D61AB"/>
    <w:rsid w:val="76D34AC2"/>
    <w:rsid w:val="76FE2243"/>
    <w:rsid w:val="770B317A"/>
    <w:rsid w:val="772F20E1"/>
    <w:rsid w:val="773023E4"/>
    <w:rsid w:val="773E14AF"/>
    <w:rsid w:val="77446789"/>
    <w:rsid w:val="77595AEB"/>
    <w:rsid w:val="778D2177"/>
    <w:rsid w:val="778D228A"/>
    <w:rsid w:val="7792238E"/>
    <w:rsid w:val="77DC2AC5"/>
    <w:rsid w:val="780F1991"/>
    <w:rsid w:val="7810217B"/>
    <w:rsid w:val="78186948"/>
    <w:rsid w:val="781B1325"/>
    <w:rsid w:val="78231817"/>
    <w:rsid w:val="782E4C4B"/>
    <w:rsid w:val="783A1EF2"/>
    <w:rsid w:val="783E5420"/>
    <w:rsid w:val="784D4467"/>
    <w:rsid w:val="78574F36"/>
    <w:rsid w:val="785945E7"/>
    <w:rsid w:val="785C63C4"/>
    <w:rsid w:val="78914CA0"/>
    <w:rsid w:val="789E51FD"/>
    <w:rsid w:val="78A00071"/>
    <w:rsid w:val="78C53E56"/>
    <w:rsid w:val="78D94CD0"/>
    <w:rsid w:val="78EE3D88"/>
    <w:rsid w:val="78F01B39"/>
    <w:rsid w:val="79422BB8"/>
    <w:rsid w:val="796E1FAE"/>
    <w:rsid w:val="798C7198"/>
    <w:rsid w:val="799505EB"/>
    <w:rsid w:val="79991885"/>
    <w:rsid w:val="79AB38EC"/>
    <w:rsid w:val="79B146D8"/>
    <w:rsid w:val="79D426BF"/>
    <w:rsid w:val="79EC13AB"/>
    <w:rsid w:val="79F17F40"/>
    <w:rsid w:val="7A0708E0"/>
    <w:rsid w:val="7A101C67"/>
    <w:rsid w:val="7A153B66"/>
    <w:rsid w:val="7A1C2C55"/>
    <w:rsid w:val="7A286164"/>
    <w:rsid w:val="7A3D2F95"/>
    <w:rsid w:val="7A4960C9"/>
    <w:rsid w:val="7A58226E"/>
    <w:rsid w:val="7A62525C"/>
    <w:rsid w:val="7A733E4D"/>
    <w:rsid w:val="7A7D14D0"/>
    <w:rsid w:val="7AA6715F"/>
    <w:rsid w:val="7AD45CD1"/>
    <w:rsid w:val="7ADC4B37"/>
    <w:rsid w:val="7ADD7407"/>
    <w:rsid w:val="7AE275F2"/>
    <w:rsid w:val="7AEF2BC3"/>
    <w:rsid w:val="7B006D10"/>
    <w:rsid w:val="7B0421DF"/>
    <w:rsid w:val="7B564794"/>
    <w:rsid w:val="7B5B051E"/>
    <w:rsid w:val="7B870C8C"/>
    <w:rsid w:val="7B891799"/>
    <w:rsid w:val="7B9B7B59"/>
    <w:rsid w:val="7BA2496C"/>
    <w:rsid w:val="7BBF7E4B"/>
    <w:rsid w:val="7BD87D54"/>
    <w:rsid w:val="7BE363DD"/>
    <w:rsid w:val="7BEA3225"/>
    <w:rsid w:val="7C0635ED"/>
    <w:rsid w:val="7C0B5CA3"/>
    <w:rsid w:val="7C2E5D65"/>
    <w:rsid w:val="7C322310"/>
    <w:rsid w:val="7C371D68"/>
    <w:rsid w:val="7C4F4AAB"/>
    <w:rsid w:val="7C517693"/>
    <w:rsid w:val="7C551E70"/>
    <w:rsid w:val="7C704145"/>
    <w:rsid w:val="7C7A2584"/>
    <w:rsid w:val="7CA00516"/>
    <w:rsid w:val="7CAF18E2"/>
    <w:rsid w:val="7CC0137D"/>
    <w:rsid w:val="7CC64408"/>
    <w:rsid w:val="7CD232D2"/>
    <w:rsid w:val="7CD4233B"/>
    <w:rsid w:val="7CF72563"/>
    <w:rsid w:val="7CFF7DFB"/>
    <w:rsid w:val="7D0103C1"/>
    <w:rsid w:val="7D145CD3"/>
    <w:rsid w:val="7D1A699C"/>
    <w:rsid w:val="7D2459B2"/>
    <w:rsid w:val="7D3A74EF"/>
    <w:rsid w:val="7D4D6F7F"/>
    <w:rsid w:val="7D553479"/>
    <w:rsid w:val="7D5C6770"/>
    <w:rsid w:val="7D722BC5"/>
    <w:rsid w:val="7D7F3BCB"/>
    <w:rsid w:val="7D874312"/>
    <w:rsid w:val="7DA72496"/>
    <w:rsid w:val="7DAD733B"/>
    <w:rsid w:val="7DB21F6E"/>
    <w:rsid w:val="7DB22F1E"/>
    <w:rsid w:val="7DD231A4"/>
    <w:rsid w:val="7DD520DC"/>
    <w:rsid w:val="7DDE3B66"/>
    <w:rsid w:val="7DE70964"/>
    <w:rsid w:val="7DF07F7A"/>
    <w:rsid w:val="7DF24B60"/>
    <w:rsid w:val="7E2577C3"/>
    <w:rsid w:val="7E432E7E"/>
    <w:rsid w:val="7E4E0A8C"/>
    <w:rsid w:val="7E4F6847"/>
    <w:rsid w:val="7E562336"/>
    <w:rsid w:val="7E883A9D"/>
    <w:rsid w:val="7E8F6C22"/>
    <w:rsid w:val="7ED37260"/>
    <w:rsid w:val="7EE01C43"/>
    <w:rsid w:val="7EF81DA8"/>
    <w:rsid w:val="7F093418"/>
    <w:rsid w:val="7F0F4882"/>
    <w:rsid w:val="7F11465C"/>
    <w:rsid w:val="7F182622"/>
    <w:rsid w:val="7F193310"/>
    <w:rsid w:val="7F3543F4"/>
    <w:rsid w:val="7F462EF5"/>
    <w:rsid w:val="7F591A37"/>
    <w:rsid w:val="7F6A3E46"/>
    <w:rsid w:val="7F9B1061"/>
    <w:rsid w:val="7FC005E0"/>
    <w:rsid w:val="7FC01E58"/>
    <w:rsid w:val="7FC43A97"/>
    <w:rsid w:val="7FCB5B57"/>
    <w:rsid w:val="7FCF7B7A"/>
    <w:rsid w:val="7FDB3372"/>
    <w:rsid w:val="7FDE3C36"/>
    <w:rsid w:val="7FF73B78"/>
    <w:rsid w:val="7FF8488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 w:type="paragraph" w:customStyle="1" w:styleId="8">
    <w:name w:val="办公自动化专用正文"/>
    <w:basedOn w:val="1"/>
    <w:qFormat/>
    <w:uiPriority w:val="0"/>
    <w:pPr>
      <w:spacing w:line="500" w:lineRule="atLeast"/>
      <w:ind w:firstLine="624"/>
    </w:pPr>
    <w:rPr>
      <w:rFonts w:eastAsia="楷体_GB2312"/>
      <w:sz w:val="32"/>
      <w:szCs w:val="20"/>
    </w:rPr>
  </w:style>
  <w:style w:type="paragraph" w:customStyle="1" w:styleId="9">
    <w:name w:val="Default"/>
    <w:unhideWhenUsed/>
    <w:qFormat/>
    <w:uiPriority w:val="99"/>
    <w:pPr>
      <w:widowControl w:val="0"/>
      <w:autoSpaceDE w:val="0"/>
      <w:autoSpaceDN w:val="0"/>
      <w:adjustRightInd w:val="0"/>
    </w:pPr>
    <w:rPr>
      <w:rFonts w:hint="eastAsia" w:ascii="方正仿宋简体" w:hAnsi="方正仿宋简体" w:eastAsia="方正仿宋简体" w:cs="Times New Roman"/>
      <w:color w:val="000000"/>
      <w:sz w:val="24"/>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5</Pages>
  <Words>2224</Words>
  <Characters>2714</Characters>
  <Lines>7</Lines>
  <Paragraphs>2</Paragraphs>
  <TotalTime>5</TotalTime>
  <ScaleCrop>false</ScaleCrop>
  <LinksUpToDate>false</LinksUpToDate>
  <CharactersWithSpaces>2715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2020-11-02T08:33:00Z</dcterms:created>
  <dc:creator>小严</dc:creator>
  <cp:lastModifiedBy>陈泳君</cp:lastModifiedBy>
  <cp:lastPrinted>2023-02-21T02:46:16Z</cp:lastPrinted>
  <dcterms:modified xsi:type="dcterms:W3CDTF">2023-02-21T02:46:22Z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CF3A2F1AA5214A4DBE719ACBC4E6344B</vt:lpwstr>
  </property>
</Properties>
</file>