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江门市江海区审计局专项资金信息</w:t>
      </w:r>
    </w:p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公开情况说明</w:t>
      </w:r>
    </w:p>
    <w:p>
      <w:pPr>
        <w:jc w:val="center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（公开时点：2021年上半年执行情况）</w:t>
      </w: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    根据2021年人大通过我单位的专项年初预算总数为125    万，截止至6月支出为63.15万，支出率为50.52%，具体情况如下：</w:t>
      </w:r>
    </w:p>
    <w:p>
      <w:p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一、年初预算专项情况</w:t>
      </w:r>
    </w:p>
    <w:p>
      <w:pPr>
        <w:ind w:firstLine="640"/>
        <w:rPr>
          <w:rFonts w:hint="eastAsia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经人大通过我单位本年的专项项目有：办公场所管护经费项目5万元、审计助理经费项目90万元、审计业务项目30万元。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办公场所管护经费项目年初预算5万元，截止至2021年6月支出为2.35万，支出率为</w:t>
      </w: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47%。项目绩效情况：无。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审计助理经费项目年初预算90万元，截止至6月支出为47.57万，支出率为52.86%。</w:t>
      </w: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项目绩效情况：无。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审计业务经费项目年初预算30万元，截止至6月支出为13.23万元，支出率为44.1%。</w:t>
      </w:r>
      <w:r>
        <w:rPr>
          <w:rFonts w:hint="eastAsia"/>
          <w:b w:val="0"/>
          <w:bCs w:val="0"/>
          <w:sz w:val="32"/>
          <w:szCs w:val="32"/>
          <w:highlight w:val="none"/>
          <w:lang w:val="en-US" w:eastAsia="zh-CN"/>
        </w:rPr>
        <w:t>项目绩效情况：无。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  本年我单位无上级下达专项补助项目。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本年我单位无专项调整情况。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                         江门市江海区审计局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                         2021年12月16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日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63660"/>
    <w:rsid w:val="332050FA"/>
    <w:rsid w:val="3BCD20E3"/>
    <w:rsid w:val="428C2D68"/>
    <w:rsid w:val="45DE5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衣冠南渡</cp:lastModifiedBy>
  <dcterms:modified xsi:type="dcterms:W3CDTF">2021-12-17T01:57:08Z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