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仿宋_GB2312" w:hAnsi="宋体" w:eastAsia="仿宋_GB2312"/>
          <w:b/>
          <w:sz w:val="36"/>
          <w:szCs w:val="36"/>
        </w:rPr>
      </w:pPr>
      <w:bookmarkStart w:id="26" w:name="_GoBack"/>
      <w:r>
        <w:rPr>
          <w:rFonts w:hint="eastAsia" w:ascii="仿宋_GB2312" w:hAnsi="宋体" w:eastAsia="仿宋_GB2312"/>
          <w:b/>
          <w:sz w:val="36"/>
          <w:szCs w:val="36"/>
        </w:rPr>
        <w:t>关于</w:t>
      </w:r>
      <w:bookmarkStart w:id="0" w:name="PO_part2explain2Year1"/>
      <w:r>
        <w:rPr>
          <w:rFonts w:hint="eastAsia" w:ascii="仿宋_GB2312" w:hAnsi="宋体" w:eastAsia="仿宋_GB2312"/>
          <w:b/>
          <w:sz w:val="36"/>
          <w:szCs w:val="36"/>
        </w:rPr>
        <w:t>2020</w:t>
      </w:r>
      <w:r>
        <w:rPr>
          <w:rFonts w:hint="eastAsia" w:ascii="仿宋_GB2312" w:hAnsi="宋体" w:eastAsia="仿宋_GB2312"/>
          <w:b/>
          <w:sz w:val="11"/>
          <w:szCs w:val="11"/>
        </w:rPr>
        <w:t xml:space="preserve"> </w:t>
      </w:r>
      <w:bookmarkEnd w:id="0"/>
      <w:r>
        <w:rPr>
          <w:rFonts w:hint="eastAsia" w:ascii="仿宋_GB2312" w:hAnsi="宋体" w:eastAsia="仿宋_GB2312"/>
          <w:b/>
          <w:sz w:val="36"/>
          <w:szCs w:val="36"/>
        </w:rPr>
        <w:t>年</w:t>
      </w:r>
      <w:bookmarkStart w:id="1" w:name="PO_part2explain2Area1"/>
      <w:r>
        <w:rPr>
          <w:rFonts w:hint="eastAsia" w:ascii="仿宋_GB2312" w:hAnsi="宋体" w:eastAsia="仿宋_GB2312"/>
          <w:b/>
          <w:sz w:val="36"/>
          <w:szCs w:val="36"/>
        </w:rPr>
        <w:t>江门高新区（江海区）</w:t>
      </w:r>
      <w:r>
        <w:rPr>
          <w:rFonts w:hint="eastAsia" w:ascii="仿宋_GB2312" w:hAnsi="宋体" w:eastAsia="仿宋_GB2312"/>
          <w:b/>
          <w:sz w:val="36"/>
          <w:szCs w:val="36"/>
          <w:lang w:eastAsia="zh-CN"/>
        </w:rPr>
        <w:t>区本级</w:t>
      </w:r>
      <w:r>
        <w:rPr>
          <w:rFonts w:hint="eastAsia" w:ascii="仿宋_GB2312" w:hAnsi="宋体" w:eastAsia="仿宋_GB2312"/>
          <w:b/>
          <w:sz w:val="11"/>
          <w:szCs w:val="11"/>
        </w:rPr>
        <w:t xml:space="preserve"> </w:t>
      </w:r>
      <w:bookmarkEnd w:id="1"/>
      <w:r>
        <w:rPr>
          <w:rFonts w:hint="eastAsia" w:ascii="仿宋_GB2312" w:hAnsi="宋体" w:eastAsia="仿宋_GB2312"/>
          <w:b/>
          <w:sz w:val="36"/>
          <w:szCs w:val="36"/>
        </w:rPr>
        <w:t>一般公共</w:t>
      </w:r>
      <w:bookmarkEnd w:id="26"/>
      <w:r>
        <w:rPr>
          <w:rFonts w:hint="eastAsia" w:ascii="仿宋_GB2312" w:hAnsi="宋体" w:eastAsia="仿宋_GB2312"/>
          <w:b/>
          <w:sz w:val="36"/>
          <w:szCs w:val="36"/>
        </w:rPr>
        <w:t>预算“三公”经费决算的说明</w:t>
      </w:r>
    </w:p>
    <w:p>
      <w:pPr>
        <w:pStyle w:val="6"/>
        <w:adjustRightInd w:val="0"/>
        <w:spacing w:line="480" w:lineRule="auto"/>
        <w:ind w:firstLine="64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一、</w:t>
      </w:r>
      <w:bookmarkStart w:id="2" w:name="PO_part2explain2Year2"/>
      <w:r>
        <w:rPr>
          <w:rFonts w:hint="eastAsia" w:ascii="仿宋_GB2312" w:hAnsi="宋体" w:eastAsia="仿宋_GB2312" w:cs="宋体"/>
          <w:sz w:val="32"/>
          <w:szCs w:val="32"/>
        </w:rPr>
        <w:t>2020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"/>
      <w:r>
        <w:rPr>
          <w:rFonts w:hint="eastAsia" w:ascii="仿宋_GB2312" w:hAnsi="宋体" w:eastAsia="仿宋_GB2312" w:cs="宋体"/>
          <w:sz w:val="32"/>
          <w:szCs w:val="32"/>
        </w:rPr>
        <w:t>年本级财政拨款安排“三公”经费</w:t>
      </w:r>
      <w:bookmarkStart w:id="3" w:name="PO_part2explain2Amount1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536.64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"/>
      <w:r>
        <w:rPr>
          <w:rFonts w:hint="eastAsia" w:ascii="仿宋_GB2312" w:hAnsi="宋体" w:eastAsia="仿宋_GB2312" w:cs="宋体"/>
          <w:sz w:val="32"/>
          <w:szCs w:val="32"/>
        </w:rPr>
        <w:t>万元，比预算</w:t>
      </w:r>
      <w:bookmarkStart w:id="4" w:name="PO_part2explain2IncAmount1"/>
      <w:r>
        <w:rPr>
          <w:rFonts w:hint="eastAsia" w:ascii="仿宋_GB2312" w:hAnsi="宋体" w:eastAsia="仿宋_GB2312" w:cs="宋体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433.54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"/>
      <w:r>
        <w:rPr>
          <w:rFonts w:hint="eastAsia" w:ascii="仿宋_GB2312" w:hAnsi="宋体" w:eastAsia="仿宋_GB2312" w:cs="宋体"/>
          <w:sz w:val="32"/>
          <w:szCs w:val="32"/>
        </w:rPr>
        <w:t>万元，原因是</w:t>
      </w:r>
      <w:bookmarkStart w:id="5" w:name="PO_part2explain2IncReason1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我区历来重视三公经费管理，始终坚持严格执行中央、省、市和区关于三公经费的各项规定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"/>
      <w:r>
        <w:rPr>
          <w:rFonts w:hint="eastAsia" w:ascii="仿宋_GB2312" w:hAnsi="宋体" w:eastAsia="仿宋_GB2312" w:cs="宋体"/>
          <w:sz w:val="32"/>
          <w:szCs w:val="32"/>
        </w:rPr>
        <w:t>。其中：</w:t>
      </w:r>
    </w:p>
    <w:p>
      <w:pPr>
        <w:pStyle w:val="6"/>
        <w:numPr>
          <w:ilvl w:val="0"/>
          <w:numId w:val="1"/>
        </w:numPr>
        <w:adjustRightInd w:val="0"/>
        <w:spacing w:line="480" w:lineRule="auto"/>
        <w:ind w:firstLine="643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因公出国（境）支出</w:t>
      </w:r>
      <w:bookmarkStart w:id="6" w:name="PO_part2explain2Amount2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1.41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6"/>
      <w:r>
        <w:rPr>
          <w:rFonts w:hint="eastAsia" w:ascii="仿宋_GB2312" w:hAnsi="宋体" w:eastAsia="仿宋_GB2312" w:cs="宋体"/>
          <w:sz w:val="32"/>
          <w:szCs w:val="32"/>
        </w:rPr>
        <w:t>万元，比预算</w:t>
      </w:r>
      <w:bookmarkStart w:id="7" w:name="PO_part2explain2IncAmount2"/>
      <w:r>
        <w:rPr>
          <w:rFonts w:hint="eastAsia" w:ascii="仿宋_GB2312" w:hAnsi="宋体" w:eastAsia="仿宋_GB2312" w:cs="宋体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121.59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7"/>
      <w:r>
        <w:rPr>
          <w:rFonts w:hint="eastAsia" w:ascii="仿宋_GB2312" w:hAnsi="宋体" w:eastAsia="仿宋_GB2312" w:cs="宋体"/>
          <w:sz w:val="32"/>
          <w:szCs w:val="32"/>
        </w:rPr>
        <w:t>万元，原因是</w:t>
      </w:r>
      <w:bookmarkStart w:id="8" w:name="PO_part2explain2IncReason2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一方面我区加强出国（境）管理，另一方面受疫情影响出国（境）明显减少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8"/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pStyle w:val="6"/>
        <w:numPr>
          <w:ilvl w:val="0"/>
          <w:numId w:val="1"/>
        </w:numPr>
        <w:adjustRightInd w:val="0"/>
        <w:spacing w:line="480" w:lineRule="auto"/>
        <w:ind w:firstLine="643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公务用车购置及运行维护支出</w:t>
      </w:r>
      <w:bookmarkStart w:id="9" w:name="PO_part2explain2Amount3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469.78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9"/>
      <w:r>
        <w:rPr>
          <w:rFonts w:hint="eastAsia" w:ascii="仿宋_GB2312" w:hAnsi="宋体" w:eastAsia="仿宋_GB2312" w:cs="宋体"/>
          <w:sz w:val="32"/>
          <w:szCs w:val="32"/>
        </w:rPr>
        <w:t>万元，比预算</w:t>
      </w:r>
      <w:bookmarkStart w:id="10" w:name="PO_part2explain2IncAmount5"/>
      <w:r>
        <w:rPr>
          <w:rFonts w:hint="eastAsia" w:ascii="仿宋_GB2312" w:hAnsi="宋体" w:eastAsia="仿宋_GB2312" w:cs="宋体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154.79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0"/>
      <w:r>
        <w:rPr>
          <w:rFonts w:hint="eastAsia" w:ascii="仿宋_GB2312" w:hAnsi="宋体" w:eastAsia="仿宋_GB2312" w:cs="宋体"/>
          <w:sz w:val="32"/>
          <w:szCs w:val="32"/>
        </w:rPr>
        <w:t>万元（公务用车购置费</w:t>
      </w:r>
      <w:bookmarkStart w:id="11" w:name="PO_part2explain2Amount4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145.17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1"/>
      <w:r>
        <w:rPr>
          <w:rFonts w:hint="eastAsia" w:ascii="仿宋_GB2312" w:hAnsi="宋体" w:eastAsia="仿宋_GB2312" w:cs="宋体"/>
          <w:sz w:val="32"/>
          <w:szCs w:val="32"/>
        </w:rPr>
        <w:t>万元，比预算</w:t>
      </w:r>
      <w:bookmarkStart w:id="12" w:name="PO_part2explain2IncAmount6"/>
      <w:r>
        <w:rPr>
          <w:rFonts w:hint="eastAsia" w:ascii="仿宋_GB2312" w:hAnsi="宋体" w:eastAsia="仿宋_GB2312" w:cs="宋体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12.83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2"/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万元；公务用车运行维护费</w:t>
      </w:r>
      <w:bookmarkStart w:id="13" w:name="PO_part2explain2Amount5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324.61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3"/>
      <w:r>
        <w:rPr>
          <w:rFonts w:hint="eastAsia" w:ascii="仿宋_GB2312" w:hAnsi="宋体" w:eastAsia="仿宋_GB2312" w:cs="宋体"/>
          <w:sz w:val="32"/>
          <w:szCs w:val="32"/>
        </w:rPr>
        <w:t>万元，比预算</w:t>
      </w:r>
      <w:bookmarkStart w:id="14" w:name="PO_part2explain2IncAmount3"/>
      <w:r>
        <w:rPr>
          <w:rFonts w:hint="eastAsia" w:ascii="仿宋_GB2312" w:hAnsi="宋体" w:eastAsia="仿宋_GB2312" w:cs="宋体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141.96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4"/>
      <w:r>
        <w:rPr>
          <w:rFonts w:hint="eastAsia" w:ascii="仿宋_GB2312" w:hAnsi="宋体" w:eastAsia="仿宋_GB2312" w:cs="宋体"/>
          <w:sz w:val="32"/>
          <w:szCs w:val="32"/>
        </w:rPr>
        <w:t>万元。原因是</w:t>
      </w:r>
      <w:bookmarkStart w:id="15" w:name="PO_part2explain2IncReason3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我区加强对公务用车的管理，公务用车的使用更加规范，费用呈合理降低趋势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5"/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pStyle w:val="6"/>
        <w:numPr>
          <w:ilvl w:val="0"/>
          <w:numId w:val="1"/>
        </w:numPr>
        <w:adjustRightInd w:val="0"/>
        <w:spacing w:line="480" w:lineRule="auto"/>
        <w:ind w:firstLine="643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公务接待费支出</w:t>
      </w:r>
      <w:bookmarkStart w:id="16" w:name="PO_part2explain2Amount6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65.45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6"/>
      <w:r>
        <w:rPr>
          <w:rFonts w:hint="eastAsia" w:ascii="仿宋_GB2312" w:hAnsi="宋体" w:eastAsia="仿宋_GB2312" w:cs="宋体"/>
          <w:sz w:val="32"/>
          <w:szCs w:val="32"/>
        </w:rPr>
        <w:t>万元，比预算</w:t>
      </w:r>
      <w:bookmarkStart w:id="17" w:name="PO_part2explain2IncAmount4"/>
      <w:r>
        <w:rPr>
          <w:rFonts w:hint="eastAsia" w:ascii="仿宋_GB2312" w:hAnsi="宋体" w:eastAsia="仿宋_GB2312" w:cs="宋体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157.16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7"/>
      <w:r>
        <w:rPr>
          <w:rFonts w:hint="eastAsia" w:ascii="仿宋_GB2312" w:hAnsi="宋体" w:eastAsia="仿宋_GB2312" w:cs="宋体"/>
          <w:sz w:val="32"/>
          <w:szCs w:val="32"/>
        </w:rPr>
        <w:t>万元，原因是</w:t>
      </w:r>
      <w:bookmarkStart w:id="18" w:name="PO_part2explain2IncReason4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我区严格执行中央、省、市和区关于公务接待费的各项规定，工作中坚持“从简”原则，严格执行公务接待标准，节约从简观念逐步增强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8"/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 w:cs="宋体"/>
          <w:sz w:val="32"/>
          <w:szCs w:val="32"/>
        </w:rPr>
        <w:t>二、</w:t>
      </w:r>
      <w:bookmarkStart w:id="19" w:name="PO_part2explain2Year3"/>
      <w:r>
        <w:rPr>
          <w:rFonts w:hint="eastAsia" w:ascii="仿宋_GB2312" w:hAnsi="宋体" w:eastAsia="仿宋_GB2312" w:cs="宋体"/>
          <w:sz w:val="32"/>
          <w:szCs w:val="32"/>
        </w:rPr>
        <w:t>2020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9"/>
      <w:r>
        <w:rPr>
          <w:rFonts w:hint="eastAsia" w:ascii="仿宋_GB2312" w:hAnsi="宋体" w:eastAsia="仿宋_GB2312" w:cs="宋体"/>
          <w:sz w:val="32"/>
          <w:szCs w:val="32"/>
        </w:rPr>
        <w:t>年，本级因公出国（境）团组</w:t>
      </w:r>
      <w:bookmarkStart w:id="20" w:name="PO_part2explain2Count1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0"/>
      <w:r>
        <w:rPr>
          <w:rFonts w:hint="eastAsia" w:ascii="仿宋_GB2312" w:hAnsi="宋体" w:eastAsia="仿宋_GB2312" w:cs="宋体"/>
          <w:sz w:val="32"/>
          <w:szCs w:val="32"/>
        </w:rPr>
        <w:t>个，累计</w:t>
      </w:r>
      <w:bookmarkStart w:id="21" w:name="PO_part2explain2Count2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1"/>
      <w:r>
        <w:rPr>
          <w:rFonts w:hint="eastAsia" w:ascii="仿宋_GB2312" w:hAnsi="宋体" w:eastAsia="仿宋_GB2312" w:cs="宋体"/>
          <w:sz w:val="32"/>
          <w:szCs w:val="32"/>
        </w:rPr>
        <w:t>人次；购置公务用车</w:t>
      </w:r>
      <w:bookmarkStart w:id="22" w:name="PO_part2explain2Car1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2"/>
      <w:r>
        <w:rPr>
          <w:rFonts w:hint="eastAsia" w:ascii="仿宋_GB2312" w:hAnsi="宋体" w:eastAsia="仿宋_GB2312" w:cs="宋体"/>
          <w:sz w:val="32"/>
          <w:szCs w:val="32"/>
        </w:rPr>
        <w:t>辆，公务用车保有</w:t>
      </w:r>
      <w:bookmarkStart w:id="23" w:name="PO_part2explain2Car2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183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3"/>
      <w:r>
        <w:rPr>
          <w:rFonts w:hint="eastAsia" w:ascii="仿宋_GB2312" w:hAnsi="宋体" w:eastAsia="仿宋_GB2312" w:cs="宋体"/>
          <w:sz w:val="32"/>
          <w:szCs w:val="32"/>
        </w:rPr>
        <w:t>辆；公务接待</w:t>
      </w:r>
      <w:bookmarkStart w:id="24" w:name="PO_part2explain2Count3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621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4"/>
      <w:r>
        <w:rPr>
          <w:rFonts w:hint="eastAsia" w:ascii="仿宋_GB2312" w:hAnsi="宋体" w:eastAsia="仿宋_GB2312" w:cs="宋体"/>
          <w:sz w:val="32"/>
          <w:szCs w:val="32"/>
        </w:rPr>
        <w:t>批次，累计</w:t>
      </w:r>
      <w:bookmarkStart w:id="25" w:name="PO_part2explain2Count4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7569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5"/>
      <w:r>
        <w:rPr>
          <w:rFonts w:hint="eastAsia" w:ascii="仿宋_GB2312" w:hAnsi="宋体" w:eastAsia="仿宋_GB2312" w:cs="宋体"/>
          <w:sz w:val="32"/>
          <w:szCs w:val="32"/>
        </w:rPr>
        <w:t>人次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38</w:t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97970"/>
    <w:multiLevelType w:val="singleLevel"/>
    <w:tmpl w:val="7439797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88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列表段落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2021-10-15T11:17:52Z</dcterms:created>
  <dc:creator>Administrator</dc:creator>
  <cp:lastModifiedBy>高怡源</cp:lastModifiedBy>
  <cp:lastPrinted>2021-10-15T11:18:36Z</cp:lastPrinted>
  <dcterms:modified xsi:type="dcterms:W3CDTF">2021-10-15T11:19:44Z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