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640" w:firstLineChars="200"/>
        <w:rPr>
          <w:rFonts w:eastAsia="仿宋_GB2312"/>
          <w:sz w:val="32"/>
          <w:szCs w:val="30"/>
        </w:rPr>
      </w:pPr>
      <w:r>
        <w:rPr>
          <w:rFonts w:hint="eastAsia" w:eastAsia="仿宋_GB2312"/>
          <w:sz w:val="32"/>
          <w:szCs w:val="30"/>
        </w:rPr>
        <w:t>根据</w:t>
      </w:r>
      <w:r>
        <w:rPr>
          <w:rFonts w:hint="eastAsia" w:eastAsia="仿宋_GB2312"/>
          <w:sz w:val="32"/>
          <w:szCs w:val="30"/>
          <w:lang w:val="en-US" w:eastAsia="zh-CN"/>
        </w:rPr>
        <w:t>日常监督抽检工作的要求对</w:t>
      </w:r>
      <w:r>
        <w:rPr>
          <w:rFonts w:hint="eastAsia" w:ascii="仿宋" w:hAnsi="仿宋" w:eastAsia="仿宋" w:cs="仿宋"/>
          <w:color w:val="auto"/>
          <w:sz w:val="32"/>
          <w:szCs w:val="32"/>
          <w:u w:val="none"/>
          <w:lang w:val="en-US" w:eastAsia="zh-CN"/>
        </w:rPr>
        <w:t>江门市江海区嘉福市场内</w:t>
      </w:r>
      <w:r>
        <w:rPr>
          <w:rFonts w:hint="eastAsia" w:ascii="仿宋" w:hAnsi="仿宋" w:eastAsia="仿宋" w:cs="仿宋"/>
          <w:sz w:val="32"/>
          <w:szCs w:val="32"/>
          <w:lang w:val="en-US" w:eastAsia="zh-CN"/>
        </w:rPr>
        <w:t>的源壮水产品店销售的罗氏虾进行检测，</w:t>
      </w:r>
      <w:r>
        <w:rPr>
          <w:rFonts w:hint="eastAsia" w:eastAsia="仿宋_GB2312"/>
          <w:sz w:val="32"/>
          <w:szCs w:val="30"/>
        </w:rPr>
        <w:t>《检验报告》（</w:t>
      </w:r>
      <w:r>
        <w:rPr>
          <w:rFonts w:hint="eastAsia" w:ascii="仿宋" w:hAnsi="仿宋" w:eastAsia="仿宋" w:cs="仿宋"/>
          <w:sz w:val="32"/>
          <w:szCs w:val="32"/>
          <w:u w:val="none"/>
        </w:rPr>
        <w:t>NO：NO：</w:t>
      </w:r>
      <w:r>
        <w:rPr>
          <w:rFonts w:hint="eastAsia" w:ascii="仿宋" w:hAnsi="仿宋" w:eastAsia="仿宋" w:cs="仿宋"/>
          <w:sz w:val="32"/>
          <w:szCs w:val="32"/>
          <w:u w:val="none"/>
          <w:lang w:val="en-US" w:eastAsia="zh-CN"/>
        </w:rPr>
        <w:t>20201200554-5a</w:t>
      </w:r>
      <w:r>
        <w:rPr>
          <w:rFonts w:hint="eastAsia" w:eastAsia="仿宋_GB2312"/>
          <w:sz w:val="32"/>
          <w:szCs w:val="30"/>
        </w:rPr>
        <w:t>）</w:t>
      </w:r>
      <w:r>
        <w:rPr>
          <w:rFonts w:eastAsia="仿宋_GB2312"/>
          <w:sz w:val="32"/>
          <w:szCs w:val="30"/>
        </w:rPr>
        <w:t>，现将</w:t>
      </w:r>
      <w:r>
        <w:rPr>
          <w:rFonts w:hint="eastAsia" w:eastAsia="仿宋_GB2312"/>
          <w:sz w:val="32"/>
          <w:szCs w:val="30"/>
        </w:rPr>
        <w:t>（</w:t>
      </w:r>
      <w:r>
        <w:rPr>
          <w:rFonts w:hint="eastAsia" w:eastAsia="仿宋_GB2312"/>
          <w:sz w:val="32"/>
          <w:szCs w:val="30"/>
          <w:lang w:val="en-US" w:eastAsia="zh-CN"/>
        </w:rPr>
        <w:t>购进</w:t>
      </w:r>
      <w:r>
        <w:rPr>
          <w:rFonts w:hint="eastAsia" w:eastAsia="仿宋_GB2312"/>
          <w:sz w:val="32"/>
          <w:szCs w:val="30"/>
        </w:rPr>
        <w:t>日期/批号：</w:t>
      </w:r>
      <w:r>
        <w:rPr>
          <w:rFonts w:hint="eastAsia" w:ascii="仿宋" w:hAnsi="仿宋" w:eastAsia="仿宋" w:cs="仿宋"/>
          <w:sz w:val="32"/>
          <w:szCs w:val="32"/>
          <w:u w:val="none"/>
        </w:rPr>
        <w:t>20</w:t>
      </w:r>
      <w:r>
        <w:rPr>
          <w:rFonts w:hint="eastAsia" w:ascii="仿宋" w:hAnsi="仿宋" w:eastAsia="仿宋" w:cs="仿宋"/>
          <w:sz w:val="32"/>
          <w:szCs w:val="32"/>
          <w:u w:val="none"/>
          <w:lang w:val="en-US" w:eastAsia="zh-CN"/>
        </w:rPr>
        <w:t>20-06-01，规格型号：散装</w:t>
      </w:r>
      <w:r>
        <w:rPr>
          <w:rFonts w:hint="eastAsia" w:eastAsia="仿宋_GB2312"/>
          <w:sz w:val="32"/>
          <w:szCs w:val="30"/>
        </w:rPr>
        <w:t>）批次</w:t>
      </w:r>
      <w:r>
        <w:rPr>
          <w:rFonts w:eastAsia="仿宋_GB2312"/>
          <w:sz w:val="32"/>
          <w:szCs w:val="30"/>
        </w:rPr>
        <w:t>不合格食品</w:t>
      </w:r>
      <w:r>
        <w:rPr>
          <w:rFonts w:hint="eastAsia" w:eastAsia="仿宋_GB2312"/>
          <w:sz w:val="32"/>
          <w:szCs w:val="30"/>
        </w:rPr>
        <w:t>一</w:t>
      </w:r>
      <w:r>
        <w:rPr>
          <w:rFonts w:eastAsia="仿宋_GB2312"/>
          <w:sz w:val="32"/>
          <w:szCs w:val="30"/>
        </w:rPr>
        <w:t>家经营企业有关核查处置及信息公开情况报告如下：</w:t>
      </w:r>
    </w:p>
    <w:p>
      <w:pPr>
        <w:spacing w:line="600" w:lineRule="exact"/>
        <w:ind w:firstLine="640" w:firstLineChars="200"/>
        <w:rPr>
          <w:rFonts w:hint="eastAsia" w:ascii="黑体" w:hAnsi="黑体" w:eastAsia="黑体" w:cs="黑体"/>
          <w:sz w:val="32"/>
          <w:szCs w:val="32"/>
        </w:rPr>
      </w:pPr>
      <w:r>
        <w:rPr>
          <w:rFonts w:hint="eastAsia" w:ascii="黑体" w:hAnsi="黑体" w:eastAsia="黑体"/>
          <w:sz w:val="32"/>
          <w:szCs w:val="30"/>
        </w:rPr>
        <w:t>一、</w:t>
      </w:r>
      <w:r>
        <w:rPr>
          <w:rFonts w:hint="eastAsia" w:ascii="黑体" w:hAnsi="黑体" w:eastAsia="黑体" w:cs="黑体"/>
          <w:sz w:val="32"/>
          <w:szCs w:val="32"/>
        </w:rPr>
        <w:t>抽样编号为</w:t>
      </w:r>
      <w:r>
        <w:rPr>
          <w:rFonts w:hint="eastAsia" w:ascii="黑体" w:hAnsi="黑体" w:eastAsia="黑体" w:cs="黑体"/>
          <w:i w:val="0"/>
          <w:caps w:val="0"/>
          <w:color w:val="auto"/>
          <w:spacing w:val="0"/>
          <w:sz w:val="32"/>
          <w:szCs w:val="32"/>
          <w:shd w:val="clear" w:fill="FFFFFF"/>
        </w:rPr>
        <w:t>NCP20440704598003005</w:t>
      </w:r>
      <w:r>
        <w:rPr>
          <w:rFonts w:hint="eastAsia" w:ascii="黑体" w:hAnsi="黑体" w:eastAsia="黑体" w:cs="黑体"/>
          <w:sz w:val="32"/>
          <w:szCs w:val="32"/>
        </w:rPr>
        <w:t>的不合格食品</w:t>
      </w: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（一）基本情况</w:t>
      </w:r>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4"/>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59"/>
        <w:gridCol w:w="11"/>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抽样编号</w:t>
            </w:r>
          </w:p>
        </w:tc>
        <w:tc>
          <w:tcPr>
            <w:tcW w:w="2170" w:type="dxa"/>
            <w:gridSpan w:val="2"/>
            <w:shd w:val="clear" w:color="auto" w:fill="auto"/>
            <w:vAlign w:val="center"/>
          </w:tcPr>
          <w:p>
            <w:pPr>
              <w:jc w:val="center"/>
              <w:rPr>
                <w:rFonts w:ascii="仿宋_GB2312" w:hAnsi="仿宋" w:eastAsia="仿宋_GB2312"/>
                <w:sz w:val="24"/>
              </w:rPr>
            </w:pPr>
            <w:r>
              <w:rPr>
                <w:rFonts w:ascii="微软雅黑" w:hAnsi="微软雅黑" w:eastAsia="微软雅黑" w:cs="微软雅黑"/>
                <w:i w:val="0"/>
                <w:caps w:val="0"/>
                <w:color w:val="2C3E50"/>
                <w:spacing w:val="0"/>
                <w:sz w:val="21"/>
                <w:szCs w:val="21"/>
                <w:shd w:val="clear" w:fill="FFFFFF"/>
              </w:rPr>
              <w:t>NCP20440704598003005</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样品名称</w:t>
            </w:r>
          </w:p>
        </w:tc>
        <w:tc>
          <w:tcPr>
            <w:tcW w:w="2224"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val="en-US" w:eastAsia="zh-CN"/>
              </w:rPr>
              <w:t>罗氏虾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lang w:val="en-US" w:eastAsia="zh-CN"/>
              </w:rPr>
              <w:t>购进</w:t>
            </w:r>
            <w:r>
              <w:rPr>
                <w:rFonts w:hint="eastAsia" w:ascii="仿宋_GB2312" w:hAnsi="仿宋" w:eastAsia="仿宋_GB2312"/>
                <w:sz w:val="24"/>
              </w:rPr>
              <w:t>日期</w:t>
            </w:r>
          </w:p>
        </w:tc>
        <w:tc>
          <w:tcPr>
            <w:tcW w:w="2170" w:type="dxa"/>
            <w:gridSpan w:val="2"/>
            <w:shd w:val="clear" w:color="auto" w:fill="auto"/>
            <w:vAlign w:val="center"/>
          </w:tcPr>
          <w:p>
            <w:pPr>
              <w:jc w:val="center"/>
              <w:rPr>
                <w:rFonts w:ascii="仿宋_GB2312" w:hAnsi="仿宋" w:eastAsia="仿宋_GB2312"/>
                <w:sz w:val="24"/>
              </w:rPr>
            </w:pPr>
            <w:r>
              <w:rPr>
                <w:rFonts w:hint="eastAsia" w:ascii="仿宋" w:hAnsi="仿宋" w:eastAsia="仿宋" w:cs="仿宋"/>
                <w:sz w:val="24"/>
                <w:szCs w:val="24"/>
                <w:u w:val="none"/>
              </w:rPr>
              <w:t>20</w:t>
            </w:r>
            <w:r>
              <w:rPr>
                <w:rFonts w:hint="eastAsia" w:ascii="仿宋" w:hAnsi="仿宋" w:eastAsia="仿宋" w:cs="仿宋"/>
                <w:sz w:val="24"/>
                <w:szCs w:val="24"/>
                <w:u w:val="none"/>
                <w:lang w:val="en-US" w:eastAsia="zh-CN"/>
              </w:rPr>
              <w:t>20-06-01</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型号规格</w:t>
            </w:r>
          </w:p>
        </w:tc>
        <w:tc>
          <w:tcPr>
            <w:tcW w:w="2224"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val="en-US" w:eastAsia="zh-CN"/>
              </w:rPr>
              <w:t>散装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标称生产企业</w:t>
            </w:r>
          </w:p>
        </w:tc>
        <w:tc>
          <w:tcPr>
            <w:tcW w:w="2170" w:type="dxa"/>
            <w:gridSpan w:val="2"/>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val="en-US" w:eastAsia="zh-CN"/>
              </w:rPr>
              <w:t>无</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被抽样单位</w:t>
            </w:r>
          </w:p>
        </w:tc>
        <w:tc>
          <w:tcPr>
            <w:tcW w:w="2224" w:type="dxa"/>
            <w:shd w:val="clear" w:color="auto" w:fill="auto"/>
            <w:vAlign w:val="center"/>
          </w:tcPr>
          <w:p>
            <w:pPr>
              <w:jc w:val="center"/>
              <w:rPr>
                <w:rFonts w:ascii="仿宋_GB2312" w:hAnsi="仿宋" w:eastAsia="仿宋_GB2312"/>
                <w:sz w:val="24"/>
              </w:rPr>
            </w:pPr>
            <w:r>
              <w:rPr>
                <w:rFonts w:hint="eastAsia" w:ascii="仿宋" w:hAnsi="仿宋" w:eastAsia="仿宋" w:cs="仿宋"/>
                <w:sz w:val="24"/>
                <w:szCs w:val="24"/>
                <w:lang w:val="en-US" w:eastAsia="zh-CN"/>
              </w:rPr>
              <w:t>源壮水产品店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color w:val="FF0000"/>
                <w:sz w:val="24"/>
              </w:rPr>
            </w:pPr>
            <w:r>
              <w:rPr>
                <w:rFonts w:hint="eastAsia" w:ascii="仿宋_GB2312" w:hAnsi="仿宋" w:eastAsia="仿宋_GB2312"/>
                <w:sz w:val="24"/>
              </w:rPr>
              <w:t>检验不合格项目</w:t>
            </w:r>
          </w:p>
        </w:tc>
        <w:tc>
          <w:tcPr>
            <w:tcW w:w="2159" w:type="dxa"/>
            <w:shd w:val="clear" w:color="auto" w:fill="auto"/>
            <w:vAlign w:val="center"/>
          </w:tcPr>
          <w:p>
            <w:pPr>
              <w:jc w:val="center"/>
              <w:rPr>
                <w:rFonts w:ascii="仿宋_GB2312" w:hAnsi="仿宋" w:eastAsia="仿宋_GB2312"/>
                <w:color w:val="FF0000"/>
                <w:sz w:val="24"/>
              </w:rPr>
            </w:pPr>
            <w:r>
              <w:rPr>
                <w:rFonts w:hint="eastAsia" w:ascii="仿宋" w:hAnsi="仿宋" w:eastAsia="仿宋" w:cs="仿宋"/>
                <w:sz w:val="24"/>
                <w:szCs w:val="24"/>
                <w:u w:val="none"/>
                <w:lang w:val="en-US" w:eastAsia="zh-CN"/>
              </w:rPr>
              <w:t>呋喃唑酮代谢物（AOZ）</w:t>
            </w:r>
            <w:r>
              <w:rPr>
                <w:rFonts w:hint="eastAsia" w:ascii="仿宋" w:hAnsi="仿宋" w:eastAsia="仿宋" w:cs="仿宋"/>
                <w:sz w:val="24"/>
                <w:szCs w:val="24"/>
              </w:rPr>
              <w:t>项目</w:t>
            </w:r>
          </w:p>
        </w:tc>
        <w:tc>
          <w:tcPr>
            <w:tcW w:w="1802" w:type="dxa"/>
            <w:gridSpan w:val="2"/>
            <w:shd w:val="clear" w:color="auto" w:fill="auto"/>
            <w:vAlign w:val="center"/>
          </w:tcPr>
          <w:p>
            <w:pPr>
              <w:jc w:val="center"/>
              <w:rPr>
                <w:rFonts w:ascii="仿宋_GB2312" w:hAnsi="仿宋" w:eastAsia="仿宋_GB2312"/>
                <w:color w:val="FF0000"/>
                <w:sz w:val="24"/>
              </w:rPr>
            </w:pPr>
            <w:r>
              <w:rPr>
                <w:rFonts w:hint="eastAsia" w:ascii="仿宋_GB2312" w:hAnsi="仿宋" w:eastAsia="仿宋_GB2312"/>
                <w:sz w:val="24"/>
              </w:rPr>
              <w:t>检验机构</w:t>
            </w:r>
          </w:p>
        </w:tc>
        <w:tc>
          <w:tcPr>
            <w:tcW w:w="2224" w:type="dxa"/>
            <w:shd w:val="clear" w:color="auto" w:fill="auto"/>
            <w:vAlign w:val="center"/>
          </w:tcPr>
          <w:p>
            <w:pPr>
              <w:jc w:val="center"/>
              <w:rPr>
                <w:rFonts w:ascii="仿宋_GB2312" w:hAnsi="仿宋" w:eastAsia="仿宋_GB2312"/>
                <w:color w:val="FF0000"/>
                <w:sz w:val="24"/>
              </w:rPr>
            </w:pPr>
            <w:r>
              <w:rPr>
                <w:rFonts w:hint="eastAsia" w:ascii="仿宋" w:hAnsi="仿宋" w:eastAsia="仿宋" w:cs="仿宋"/>
                <w:color w:val="000000"/>
                <w:sz w:val="24"/>
                <w:szCs w:val="24"/>
                <w:u w:val="none"/>
                <w:lang w:val="en-US" w:eastAsia="zh-CN"/>
              </w:rPr>
              <w:t>广东省测试分析研究所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监管部门收到检验报告日期</w:t>
            </w:r>
          </w:p>
        </w:tc>
        <w:tc>
          <w:tcPr>
            <w:tcW w:w="2170" w:type="dxa"/>
            <w:gridSpan w:val="2"/>
            <w:shd w:val="clear" w:color="auto" w:fill="auto"/>
            <w:vAlign w:val="center"/>
          </w:tcPr>
          <w:p>
            <w:pPr>
              <w:jc w:val="center"/>
              <w:rPr>
                <w:rFonts w:hint="default" w:ascii="仿宋_GB2312" w:hAnsi="仿宋" w:eastAsia="仿宋_GB2312"/>
                <w:sz w:val="24"/>
                <w:lang w:val="en-US" w:eastAsia="zh-CN"/>
              </w:rPr>
            </w:pPr>
            <w:r>
              <w:rPr>
                <w:rFonts w:hint="eastAsia" w:ascii="仿宋_GB2312" w:hAnsi="仿宋" w:eastAsia="仿宋_GB2312"/>
                <w:sz w:val="24"/>
              </w:rPr>
              <w:t>2020-0</w:t>
            </w:r>
            <w:r>
              <w:rPr>
                <w:rFonts w:hint="eastAsia" w:ascii="仿宋_GB2312" w:hAnsi="仿宋" w:eastAsia="仿宋_GB2312"/>
                <w:sz w:val="24"/>
                <w:lang w:val="en-US" w:eastAsia="zh-CN"/>
              </w:rPr>
              <w:t>6-24</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检验报告送达企业日期</w:t>
            </w:r>
          </w:p>
        </w:tc>
        <w:tc>
          <w:tcPr>
            <w:tcW w:w="2224" w:type="dxa"/>
            <w:shd w:val="clear" w:color="auto" w:fill="auto"/>
            <w:vAlign w:val="center"/>
          </w:tcPr>
          <w:p>
            <w:pPr>
              <w:jc w:val="center"/>
              <w:rPr>
                <w:rFonts w:hint="default" w:ascii="仿宋_GB2312" w:hAnsi="仿宋" w:eastAsia="仿宋_GB2312"/>
                <w:sz w:val="24"/>
                <w:lang w:val="en-US" w:eastAsia="zh-CN"/>
              </w:rPr>
            </w:pPr>
            <w:r>
              <w:rPr>
                <w:rFonts w:hint="eastAsia" w:ascii="仿宋_GB2312" w:hAnsi="仿宋" w:eastAsia="仿宋_GB2312"/>
                <w:sz w:val="24"/>
              </w:rPr>
              <w:t>2020-0</w:t>
            </w:r>
            <w:r>
              <w:rPr>
                <w:rFonts w:hint="eastAsia" w:ascii="仿宋_GB2312" w:hAnsi="仿宋" w:eastAsia="仿宋_GB2312"/>
                <w:sz w:val="24"/>
                <w:lang w:val="en-US" w:eastAsia="zh-CN"/>
              </w:rPr>
              <w:t>7-10</w:t>
            </w:r>
          </w:p>
        </w:tc>
      </w:tr>
    </w:tbl>
    <w:p>
      <w:pPr>
        <w:spacing w:line="600" w:lineRule="exact"/>
        <w:ind w:firstLine="640" w:firstLineChars="200"/>
        <w:rPr>
          <w:rFonts w:ascii="楷体_GB2312" w:hAnsi="仿宋" w:eastAsia="楷体_GB2312"/>
          <w:sz w:val="32"/>
          <w:szCs w:val="30"/>
        </w:rPr>
      </w:pP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（二）</w:t>
      </w:r>
      <w:r>
        <w:rPr>
          <w:rFonts w:hint="eastAsia" w:ascii="楷体_GB2312" w:hAnsi="仿宋" w:eastAsia="楷体_GB2312"/>
          <w:sz w:val="32"/>
          <w:szCs w:val="30"/>
          <w:lang w:val="en-US" w:eastAsia="zh-CN"/>
        </w:rPr>
        <w:t>经营</w:t>
      </w:r>
      <w:r>
        <w:rPr>
          <w:rFonts w:hint="eastAsia" w:ascii="楷体_GB2312" w:hAnsi="仿宋" w:eastAsia="楷体_GB2312"/>
          <w:sz w:val="32"/>
          <w:szCs w:val="30"/>
        </w:rPr>
        <w:t>环节</w:t>
      </w:r>
    </w:p>
    <w:p>
      <w:pPr>
        <w:spacing w:line="600" w:lineRule="exact"/>
        <w:ind w:firstLine="640" w:firstLineChars="200"/>
        <w:rPr>
          <w:rFonts w:eastAsia="仿宋_GB2312"/>
          <w:sz w:val="32"/>
          <w:szCs w:val="30"/>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ascii="黑体" w:hAnsi="黑体" w:eastAsia="黑体"/>
          <w:sz w:val="28"/>
        </w:rPr>
      </w:pPr>
      <w:r>
        <w:rPr>
          <w:rFonts w:hint="eastAsia" w:ascii="黑体" w:hAnsi="黑体" w:eastAsia="黑体"/>
          <w:sz w:val="28"/>
        </w:rPr>
        <w:t xml:space="preserve">表2  </w:t>
      </w:r>
      <w:r>
        <w:rPr>
          <w:rFonts w:hint="eastAsia" w:ascii="黑体" w:hAnsi="黑体" w:eastAsia="黑体"/>
          <w:sz w:val="28"/>
          <w:lang w:val="en-US" w:eastAsia="zh-CN"/>
        </w:rPr>
        <w:t>经营</w:t>
      </w:r>
      <w:bookmarkStart w:id="0" w:name="_GoBack"/>
      <w:bookmarkEnd w:id="0"/>
      <w:r>
        <w:rPr>
          <w:rFonts w:hint="eastAsia" w:ascii="黑体" w:hAnsi="黑体" w:eastAsia="黑体"/>
          <w:sz w:val="28"/>
        </w:rPr>
        <w:t>环节核查处置情况表</w:t>
      </w:r>
    </w:p>
    <w:tbl>
      <w:tblPr>
        <w:tblStyle w:val="4"/>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ascii="仿宋" w:hAnsi="仿宋" w:eastAsia="仿宋" w:cs="仿宋"/>
                <w:sz w:val="24"/>
                <w:szCs w:val="24"/>
                <w:lang w:val="en-US" w:eastAsia="zh-CN"/>
              </w:rPr>
            </w:pPr>
            <w:r>
              <w:rPr>
                <w:rFonts w:hint="eastAsia" w:ascii="仿宋" w:hAnsi="仿宋" w:eastAsia="仿宋" w:cs="仿宋"/>
                <w:sz w:val="24"/>
                <w:szCs w:val="24"/>
              </w:rPr>
              <w:t>产品控制措施：江门市江海区市场监督管理局对</w:t>
            </w:r>
            <w:r>
              <w:rPr>
                <w:rFonts w:hint="eastAsia" w:ascii="仿宋" w:hAnsi="仿宋" w:eastAsia="仿宋" w:cs="仿宋"/>
                <w:sz w:val="24"/>
                <w:szCs w:val="24"/>
                <w:lang w:val="en-US" w:eastAsia="zh-CN"/>
              </w:rPr>
              <w:t>经营</w:t>
            </w:r>
            <w:r>
              <w:rPr>
                <w:rFonts w:hint="eastAsia" w:ascii="仿宋" w:hAnsi="仿宋" w:eastAsia="仿宋" w:cs="仿宋"/>
                <w:sz w:val="24"/>
                <w:szCs w:val="24"/>
              </w:rPr>
              <w:t>场所进行现场检查，未发现同批次</w:t>
            </w:r>
            <w:r>
              <w:rPr>
                <w:rFonts w:hint="eastAsia" w:ascii="仿宋" w:hAnsi="仿宋" w:eastAsia="仿宋" w:cs="仿宋"/>
                <w:sz w:val="24"/>
                <w:szCs w:val="24"/>
                <w:lang w:val="en-US" w:eastAsia="zh-CN"/>
              </w:rPr>
              <w:t>的罗氏虾</w:t>
            </w:r>
            <w:r>
              <w:rPr>
                <w:rFonts w:hint="eastAsia" w:ascii="仿宋" w:hAnsi="仿宋" w:eastAsia="仿宋" w:cs="仿宋"/>
                <w:sz w:val="24"/>
                <w:szCs w:val="24"/>
              </w:rPr>
              <w:t>。</w:t>
            </w:r>
            <w:r>
              <w:rPr>
                <w:rFonts w:hint="eastAsia" w:ascii="仿宋" w:hAnsi="仿宋" w:eastAsia="仿宋" w:cs="仿宋"/>
                <w:sz w:val="24"/>
                <w:szCs w:val="24"/>
                <w:lang w:val="en-US" w:eastAsia="zh-CN"/>
              </w:rPr>
              <w:t>该水产品档称罗氏虾已销售太久无法召回。</w:t>
            </w:r>
          </w:p>
          <w:p>
            <w:pPr>
              <w:numPr>
                <w:ilvl w:val="0"/>
                <w:numId w:val="0"/>
              </w:numPr>
              <w:spacing w:line="440" w:lineRule="exact"/>
              <w:rPr>
                <w:rFonts w:hint="eastAsia" w:ascii="仿宋" w:hAnsi="仿宋" w:eastAsia="仿宋" w:cs="仿宋"/>
                <w:sz w:val="24"/>
                <w:szCs w:val="24"/>
              </w:rPr>
            </w:pPr>
            <w:r>
              <w:rPr>
                <w:rFonts w:hint="eastAsia" w:ascii="仿宋" w:hAnsi="仿宋" w:eastAsia="仿宋" w:cs="仿宋"/>
                <w:sz w:val="24"/>
                <w:szCs w:val="24"/>
              </w:rPr>
              <w:t>2.产品控制具体情况</w:t>
            </w:r>
          </w:p>
          <w:p>
            <w:pPr>
              <w:spacing w:line="440" w:lineRule="exac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购进</w:t>
            </w:r>
            <w:r>
              <w:rPr>
                <w:rFonts w:hint="eastAsia" w:ascii="仿宋" w:hAnsi="仿宋" w:eastAsia="仿宋" w:cs="仿宋"/>
                <w:sz w:val="24"/>
                <w:szCs w:val="24"/>
              </w:rPr>
              <w:t>数量、货值，已销售数量，库存数量。</w:t>
            </w:r>
            <w:r>
              <w:rPr>
                <w:rFonts w:hint="eastAsia" w:ascii="仿宋" w:hAnsi="仿宋" w:eastAsia="仿宋" w:cs="仿宋"/>
                <w:sz w:val="24"/>
                <w:szCs w:val="24"/>
                <w:lang w:val="en-US" w:eastAsia="zh-CN"/>
              </w:rPr>
              <w:t>购进</w:t>
            </w:r>
            <w:r>
              <w:rPr>
                <w:rFonts w:hint="eastAsia" w:ascii="仿宋" w:hAnsi="仿宋" w:eastAsia="仿宋" w:cs="仿宋"/>
                <w:sz w:val="24"/>
                <w:szCs w:val="24"/>
              </w:rPr>
              <w:t>数量：</w:t>
            </w:r>
            <w:r>
              <w:rPr>
                <w:rFonts w:hint="eastAsia" w:ascii="仿宋" w:hAnsi="仿宋" w:eastAsia="仿宋" w:cs="仿宋"/>
                <w:color w:val="auto"/>
                <w:sz w:val="24"/>
                <w:szCs w:val="24"/>
                <w:lang w:val="en-US" w:eastAsia="zh-CN"/>
              </w:rPr>
              <w:t>10斤罗氏虾</w:t>
            </w:r>
            <w:r>
              <w:rPr>
                <w:rFonts w:hint="eastAsia" w:ascii="仿宋" w:hAnsi="仿宋" w:eastAsia="仿宋" w:cs="仿宋"/>
                <w:sz w:val="24"/>
                <w:szCs w:val="24"/>
              </w:rPr>
              <w:t>，货值</w:t>
            </w:r>
            <w:r>
              <w:rPr>
                <w:rFonts w:hint="eastAsia" w:ascii="仿宋" w:hAnsi="仿宋" w:eastAsia="仿宋" w:cs="仿宋"/>
                <w:sz w:val="24"/>
                <w:szCs w:val="24"/>
                <w:lang w:val="en-US" w:eastAsia="zh-CN"/>
              </w:rPr>
              <w:t>250</w:t>
            </w:r>
            <w:r>
              <w:rPr>
                <w:rFonts w:hint="eastAsia" w:ascii="仿宋" w:hAnsi="仿宋" w:eastAsia="仿宋" w:cs="仿宋"/>
                <w:sz w:val="24"/>
                <w:szCs w:val="24"/>
              </w:rPr>
              <w:t>元，已销售数量</w:t>
            </w:r>
            <w:r>
              <w:rPr>
                <w:rFonts w:hint="eastAsia" w:ascii="仿宋" w:hAnsi="仿宋" w:eastAsia="仿宋" w:cs="仿宋"/>
                <w:sz w:val="24"/>
                <w:szCs w:val="24"/>
                <w:lang w:val="en-US" w:eastAsia="zh-CN"/>
              </w:rPr>
              <w:t>10斤</w:t>
            </w:r>
            <w:r>
              <w:rPr>
                <w:rFonts w:hint="eastAsia" w:ascii="仿宋" w:hAnsi="仿宋" w:eastAsia="仿宋" w:cs="仿宋"/>
                <w:sz w:val="24"/>
                <w:szCs w:val="24"/>
              </w:rPr>
              <w:t>，库存数量</w:t>
            </w:r>
            <w:r>
              <w:rPr>
                <w:rFonts w:hint="eastAsia" w:ascii="仿宋" w:hAnsi="仿宋" w:eastAsia="仿宋" w:cs="仿宋"/>
                <w:sz w:val="24"/>
                <w:szCs w:val="24"/>
                <w:lang w:val="en-US" w:eastAsia="zh-CN"/>
              </w:rPr>
              <w:t>0</w:t>
            </w:r>
            <w:r>
              <w:rPr>
                <w:rFonts w:hint="eastAsia" w:ascii="仿宋" w:hAnsi="仿宋" w:eastAsia="仿宋" w:cs="仿宋"/>
                <w:sz w:val="24"/>
                <w:szCs w:val="24"/>
              </w:rPr>
              <w:t>（2）封存数量。0</w:t>
            </w:r>
          </w:p>
          <w:p>
            <w:pPr>
              <w:spacing w:line="440" w:lineRule="exact"/>
              <w:rPr>
                <w:rFonts w:hint="eastAsia" w:ascii="仿宋" w:hAnsi="仿宋" w:eastAsia="仿宋" w:cs="仿宋"/>
                <w:sz w:val="24"/>
                <w:szCs w:val="24"/>
              </w:rPr>
            </w:pPr>
            <w:r>
              <w:rPr>
                <w:rFonts w:hint="eastAsia" w:ascii="仿宋" w:hAnsi="仿宋" w:eastAsia="仿宋" w:cs="仿宋"/>
                <w:sz w:val="24"/>
                <w:szCs w:val="24"/>
              </w:rPr>
              <w:t>（3）召回数量。如未完全召回，应当说明原因。</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由于销售时间较长，难以召回。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8"/>
              <w:numPr>
                <w:ilvl w:val="0"/>
                <w:numId w:val="2"/>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说明具体原因</w:t>
            </w:r>
          </w:p>
          <w:p>
            <w:pPr>
              <w:spacing w:line="440" w:lineRule="exact"/>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购进不合格的罗氏虾，可能是养殖环节出现问题。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8"/>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行政立案结案时间。若未立案，说明原因。</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sz w:val="24"/>
                <w:szCs w:val="24"/>
              </w:rPr>
              <w:t>我局于2020年</w:t>
            </w:r>
            <w:r>
              <w:rPr>
                <w:rFonts w:hint="eastAsia" w:ascii="仿宋" w:hAnsi="仿宋" w:eastAsia="仿宋" w:cs="仿宋"/>
                <w:sz w:val="24"/>
                <w:szCs w:val="24"/>
                <w:lang w:val="en-US" w:eastAsia="zh-CN"/>
              </w:rPr>
              <w:t>7</w:t>
            </w:r>
            <w:r>
              <w:rPr>
                <w:rFonts w:hint="eastAsia" w:ascii="仿宋" w:hAnsi="仿宋" w:eastAsia="仿宋" w:cs="仿宋"/>
                <w:sz w:val="24"/>
                <w:szCs w:val="24"/>
              </w:rPr>
              <w:t>月</w:t>
            </w:r>
            <w:r>
              <w:rPr>
                <w:rFonts w:hint="eastAsia" w:ascii="仿宋" w:hAnsi="仿宋" w:eastAsia="仿宋" w:cs="仿宋"/>
                <w:sz w:val="24"/>
                <w:szCs w:val="24"/>
                <w:lang w:val="en-US" w:eastAsia="zh-CN"/>
              </w:rPr>
              <w:t>15</w:t>
            </w:r>
            <w:r>
              <w:rPr>
                <w:rFonts w:hint="eastAsia" w:ascii="仿宋" w:hAnsi="仿宋" w:eastAsia="仿宋" w:cs="仿宋"/>
                <w:sz w:val="24"/>
                <w:szCs w:val="24"/>
              </w:rPr>
              <w:t>日对其进行立案，并于2020年</w:t>
            </w:r>
            <w:r>
              <w:rPr>
                <w:rFonts w:hint="eastAsia" w:ascii="仿宋" w:hAnsi="仿宋" w:eastAsia="仿宋" w:cs="仿宋"/>
                <w:sz w:val="24"/>
                <w:szCs w:val="24"/>
                <w:lang w:val="en-US" w:eastAsia="zh-CN"/>
              </w:rPr>
              <w:t>8</w:t>
            </w:r>
            <w:r>
              <w:rPr>
                <w:rFonts w:hint="eastAsia" w:ascii="仿宋" w:hAnsi="仿宋" w:eastAsia="仿宋" w:cs="仿宋"/>
                <w:sz w:val="24"/>
                <w:szCs w:val="24"/>
              </w:rPr>
              <w:t>月</w:t>
            </w:r>
            <w:r>
              <w:rPr>
                <w:rFonts w:hint="eastAsia" w:ascii="仿宋" w:hAnsi="仿宋" w:eastAsia="仿宋" w:cs="仿宋"/>
                <w:sz w:val="24"/>
                <w:szCs w:val="24"/>
                <w:lang w:val="en-US" w:eastAsia="zh-CN"/>
              </w:rPr>
              <w:t>10</w:t>
            </w:r>
            <w:r>
              <w:rPr>
                <w:rFonts w:hint="eastAsia" w:ascii="仿宋" w:hAnsi="仿宋" w:eastAsia="仿宋" w:cs="仿宋"/>
                <w:sz w:val="24"/>
                <w:szCs w:val="24"/>
              </w:rPr>
              <w:t>日结案。</w:t>
            </w:r>
          </w:p>
          <w:p>
            <w:pPr>
              <w:pStyle w:val="8"/>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违法事实认定及相关法律依据。</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该水产档违反</w:t>
            </w:r>
            <w:r>
              <w:rPr>
                <w:rFonts w:hint="eastAsia" w:ascii="仿宋" w:hAnsi="仿宋" w:eastAsia="仿宋" w:cs="仿宋"/>
                <w:color w:val="000000"/>
                <w:sz w:val="24"/>
                <w:szCs w:val="24"/>
              </w:rPr>
              <w:t>《中华人民共和国食品安全法》</w:t>
            </w:r>
            <w:r>
              <w:rPr>
                <w:rFonts w:hint="eastAsia" w:ascii="仿宋" w:hAnsi="仿宋" w:eastAsia="仿宋" w:cs="仿宋"/>
                <w:sz w:val="24"/>
                <w:szCs w:val="24"/>
                <w:lang w:eastAsia="zh-CN"/>
              </w:rPr>
              <w:t>第三十四条第（二）项“禁止生产经营下列食品、食品添加剂、食品相关产品：……(二)致病性微生物，农药残留、兽药残留、生物毒素、重金属等污染物质以及其他危害人体健康的物质含量超过食品安全标准限量的食品、食品添加剂、食品相关产品；……”的规定</w:t>
            </w:r>
          </w:p>
          <w:p>
            <w:pPr>
              <w:pStyle w:val="8"/>
              <w:spacing w:line="440" w:lineRule="exact"/>
              <w:ind w:left="720" w:firstLine="0" w:firstLineChars="0"/>
              <w:rPr>
                <w:rFonts w:hint="eastAsia" w:ascii="仿宋" w:hAnsi="仿宋" w:eastAsia="仿宋" w:cs="仿宋"/>
                <w:sz w:val="24"/>
                <w:szCs w:val="24"/>
              </w:rPr>
            </w:pPr>
          </w:p>
          <w:p>
            <w:pPr>
              <w:pStyle w:val="8"/>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具体处罚种类。</w:t>
            </w:r>
          </w:p>
          <w:p>
            <w:pPr>
              <w:pStyle w:val="8"/>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lang w:val="en-US" w:eastAsia="zh-CN"/>
              </w:rPr>
              <w:t>不予处罚</w:t>
            </w:r>
          </w:p>
          <w:p>
            <w:pPr>
              <w:pStyle w:val="8"/>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若减轻处罚或免予处罚，说明自由裁量权行使的依据和理由。</w:t>
            </w:r>
          </w:p>
          <w:p>
            <w:pPr>
              <w:spacing w:line="44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当</w:t>
            </w:r>
            <w:r>
              <w:rPr>
                <w:rFonts w:hint="eastAsia" w:ascii="仿宋" w:hAnsi="仿宋" w:eastAsia="仿宋" w:cs="仿宋"/>
                <w:color w:val="000000"/>
                <w:sz w:val="24"/>
                <w:szCs w:val="24"/>
                <w:lang w:val="en-US" w:eastAsia="zh-CN"/>
              </w:rPr>
              <w:t>第一百三十六条</w:t>
            </w:r>
            <w:r>
              <w:rPr>
                <w:rFonts w:hint="eastAsia" w:ascii="仿宋" w:hAnsi="仿宋" w:eastAsia="仿宋" w:cs="仿宋"/>
                <w:b w:val="0"/>
                <w:bCs w:val="0"/>
                <w:color w:val="000000"/>
                <w:sz w:val="24"/>
                <w:szCs w:val="24"/>
                <w:lang w:val="en-US" w:eastAsia="zh-CN"/>
              </w:rPr>
              <w:t>“</w:t>
            </w:r>
            <w:r>
              <w:rPr>
                <w:rFonts w:hint="eastAsia" w:ascii="仿宋" w:hAnsi="仿宋" w:eastAsia="仿宋" w:cs="仿宋"/>
                <w:b w:val="0"/>
                <w:bCs w:val="0"/>
                <w:i w:val="0"/>
                <w:caps w:val="0"/>
                <w:color w:val="333333"/>
                <w:spacing w:val="0"/>
                <w:kern w:val="0"/>
                <w:sz w:val="24"/>
                <w:szCs w:val="24"/>
                <w:shd w:val="clear" w:color="auto" w:fill="FFFFFF"/>
                <w:lang w:val="en-US" w:eastAsia="zh-CN" w:bidi="ar"/>
              </w:rPr>
              <w:t>食品经营者履行了本法规定的进货查验等义务，有充分证据证明其不知道所采购的食品不符合食品安全标准，并能如实说明其进货来源的，可以免予处罚，但应当依法没收其不符合食品安全标准的食品；造成 人身、财产或者其他损害的，依法承担赔偿责任。”的规定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8"/>
              <w:numPr>
                <w:ilvl w:val="0"/>
                <w:numId w:val="4"/>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企业整改情况和具体措施。</w:t>
            </w:r>
          </w:p>
          <w:p>
            <w:pPr>
              <w:spacing w:line="440" w:lineRule="exact"/>
              <w:ind w:firstLine="600" w:firstLineChars="25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加强对购进的水产品进行进货查验。</w:t>
            </w:r>
          </w:p>
          <w:p>
            <w:pPr>
              <w:spacing w:line="440" w:lineRule="exact"/>
              <w:rPr>
                <w:rFonts w:eastAsia="仿宋_GB2312"/>
                <w:sz w:val="24"/>
              </w:rPr>
            </w:pPr>
            <w:r>
              <w:rPr>
                <w:rFonts w:eastAsia="仿宋_GB2312"/>
                <w:sz w:val="24"/>
              </w:rPr>
              <w:t>（2）整改复查情况。</w:t>
            </w:r>
          </w:p>
          <w:p>
            <w:pPr>
              <w:spacing w:line="440" w:lineRule="exac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 xml:space="preserve">  以加强对购进的水产品索票索证。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8"/>
              <w:numPr>
                <w:ilvl w:val="0"/>
                <w:numId w:val="5"/>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涉及其他地区、其他行政部门职责的，具体通报情况。</w:t>
            </w:r>
          </w:p>
          <w:p>
            <w:pPr>
              <w:pStyle w:val="8"/>
              <w:numPr>
                <w:ilvl w:val="0"/>
                <w:numId w:val="0"/>
              </w:numPr>
              <w:spacing w:line="440" w:lineRule="exact"/>
              <w:ind w:leftChars="0" w:firstLine="720" w:firstLineChars="3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暂无</w:t>
            </w:r>
          </w:p>
          <w:p>
            <w:pPr>
              <w:pStyle w:val="8"/>
              <w:numPr>
                <w:ilvl w:val="0"/>
                <w:numId w:val="5"/>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向司法机关移送情况。</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sz w:val="24"/>
                <w:szCs w:val="24"/>
              </w:rPr>
              <w:t>无</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87D55E"/>
    <w:multiLevelType w:val="singleLevel"/>
    <w:tmpl w:val="CA87D55E"/>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930F8C"/>
    <w:multiLevelType w:val="multilevel"/>
    <w:tmpl w:val="65930F8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790B5A"/>
    <w:rsid w:val="007C6E5D"/>
    <w:rsid w:val="007F215C"/>
    <w:rsid w:val="008352D9"/>
    <w:rsid w:val="0093163C"/>
    <w:rsid w:val="009612AE"/>
    <w:rsid w:val="00992C71"/>
    <w:rsid w:val="00D75D29"/>
    <w:rsid w:val="00EA0228"/>
    <w:rsid w:val="00EA5E86"/>
    <w:rsid w:val="00F73CF4"/>
    <w:rsid w:val="00FB7716"/>
    <w:rsid w:val="00FD3033"/>
    <w:rsid w:val="00FD5624"/>
    <w:rsid w:val="00FF17D0"/>
    <w:rsid w:val="1722419F"/>
    <w:rsid w:val="18155BD8"/>
    <w:rsid w:val="1DD436B0"/>
    <w:rsid w:val="1EC028AE"/>
    <w:rsid w:val="26FB5728"/>
    <w:rsid w:val="30287082"/>
    <w:rsid w:val="309A0ADB"/>
    <w:rsid w:val="40C979D0"/>
    <w:rsid w:val="463143E7"/>
    <w:rsid w:val="4E2B16F7"/>
    <w:rsid w:val="610840BB"/>
    <w:rsid w:val="6CE90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1</TotalTime>
  <ScaleCrop>false</ScaleCrop>
  <LinksUpToDate>false</LinksUpToDate>
  <CharactersWithSpaces>2271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探路者</cp:lastModifiedBy>
  <dcterms:modified xsi:type="dcterms:W3CDTF">2020-10-14T00:46:26Z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