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eastAsia="仿宋_GB2312"/>
          <w:sz w:val="32"/>
          <w:szCs w:val="30"/>
        </w:rPr>
      </w:pPr>
      <w:r>
        <w:rPr>
          <w:rFonts w:hint="eastAsia" w:eastAsia="仿宋_GB2312"/>
          <w:sz w:val="32"/>
          <w:szCs w:val="30"/>
        </w:rPr>
        <w:t>根据</w:t>
      </w:r>
      <w:r>
        <w:rPr>
          <w:rFonts w:hint="eastAsia" w:eastAsia="仿宋_GB2312"/>
          <w:sz w:val="32"/>
          <w:szCs w:val="30"/>
          <w:lang w:val="en-US" w:eastAsia="zh-CN"/>
        </w:rPr>
        <w:t>日常监督抽检工作的要求对</w:t>
      </w:r>
      <w:r>
        <w:rPr>
          <w:rFonts w:hint="eastAsia" w:ascii="仿宋" w:hAnsi="仿宋" w:eastAsia="仿宋" w:cs="仿宋"/>
          <w:color w:val="auto"/>
          <w:sz w:val="32"/>
          <w:szCs w:val="32"/>
          <w:u w:val="none"/>
          <w:lang w:val="en-US" w:eastAsia="zh-CN"/>
        </w:rPr>
        <w:t>江门市江海区礼乐中心市场内</w:t>
      </w:r>
      <w:r>
        <w:rPr>
          <w:rFonts w:hint="eastAsia" w:ascii="仿宋" w:hAnsi="仿宋" w:eastAsia="仿宋" w:cs="仿宋"/>
          <w:sz w:val="32"/>
          <w:szCs w:val="32"/>
          <w:lang w:val="en-US" w:eastAsia="zh-CN"/>
        </w:rPr>
        <w:t>的区美琼水产品档销售的罗氏虾进行检测，</w:t>
      </w:r>
      <w:r>
        <w:rPr>
          <w:rFonts w:hint="eastAsia" w:eastAsia="仿宋_GB2312"/>
          <w:sz w:val="32"/>
          <w:szCs w:val="30"/>
        </w:rPr>
        <w:t>《检验报告》（</w:t>
      </w:r>
      <w:r>
        <w:rPr>
          <w:rFonts w:hint="eastAsia" w:ascii="仿宋" w:hAnsi="仿宋" w:eastAsia="仿宋" w:cs="仿宋"/>
          <w:sz w:val="32"/>
          <w:szCs w:val="32"/>
          <w:u w:val="none"/>
        </w:rPr>
        <w:t>NO：</w:t>
      </w:r>
      <w:r>
        <w:rPr>
          <w:rFonts w:hint="eastAsia" w:ascii="仿宋" w:hAnsi="仿宋" w:eastAsia="仿宋" w:cs="仿宋"/>
          <w:sz w:val="32"/>
          <w:szCs w:val="32"/>
          <w:u w:val="none"/>
          <w:lang w:val="en-US" w:eastAsia="zh-CN"/>
        </w:rPr>
        <w:t>20201200482-1a</w:t>
      </w:r>
      <w:r>
        <w:rPr>
          <w:rFonts w:hint="eastAsia" w:eastAsia="仿宋_GB2312"/>
          <w:sz w:val="32"/>
          <w:szCs w:val="30"/>
        </w:rPr>
        <w:t>）</w:t>
      </w:r>
      <w:r>
        <w:rPr>
          <w:rFonts w:eastAsia="仿宋_GB2312"/>
          <w:sz w:val="32"/>
          <w:szCs w:val="30"/>
        </w:rPr>
        <w:t>，现将</w:t>
      </w:r>
      <w:r>
        <w:rPr>
          <w:rFonts w:hint="eastAsia" w:eastAsia="仿宋_GB2312"/>
          <w:sz w:val="32"/>
          <w:szCs w:val="30"/>
        </w:rPr>
        <w:t>（</w:t>
      </w:r>
      <w:r>
        <w:rPr>
          <w:rFonts w:hint="eastAsia" w:eastAsia="仿宋_GB2312"/>
          <w:sz w:val="32"/>
          <w:szCs w:val="30"/>
          <w:lang w:val="en-US" w:eastAsia="zh-CN"/>
        </w:rPr>
        <w:t>购进</w:t>
      </w:r>
      <w:r>
        <w:rPr>
          <w:rFonts w:hint="eastAsia" w:eastAsia="仿宋_GB2312"/>
          <w:sz w:val="32"/>
          <w:szCs w:val="30"/>
        </w:rPr>
        <w:t>日期/批号：</w:t>
      </w:r>
      <w:r>
        <w:rPr>
          <w:rFonts w:hint="eastAsia" w:ascii="仿宋" w:hAnsi="仿宋" w:eastAsia="仿宋" w:cs="仿宋"/>
          <w:sz w:val="32"/>
          <w:szCs w:val="32"/>
          <w:u w:val="none"/>
        </w:rPr>
        <w:t>20</w:t>
      </w:r>
      <w:r>
        <w:rPr>
          <w:rFonts w:hint="eastAsia" w:ascii="仿宋" w:hAnsi="仿宋" w:eastAsia="仿宋" w:cs="仿宋"/>
          <w:sz w:val="32"/>
          <w:szCs w:val="32"/>
          <w:u w:val="none"/>
          <w:lang w:val="en-US" w:eastAsia="zh-CN"/>
        </w:rPr>
        <w:t>20-06-02，规格型号：散装</w:t>
      </w:r>
      <w:r>
        <w:rPr>
          <w:rFonts w:hint="eastAsia" w:eastAsia="仿宋_GB2312"/>
          <w:sz w:val="32"/>
          <w:szCs w:val="30"/>
        </w:rPr>
        <w:t>）批次</w:t>
      </w:r>
      <w:r>
        <w:rPr>
          <w:rFonts w:eastAsia="仿宋_GB2312"/>
          <w:sz w:val="32"/>
          <w:szCs w:val="30"/>
        </w:rPr>
        <w:t>不合格食品</w:t>
      </w:r>
      <w:r>
        <w:rPr>
          <w:rFonts w:hint="eastAsia" w:eastAsia="仿宋_GB2312"/>
          <w:sz w:val="32"/>
          <w:szCs w:val="30"/>
        </w:rPr>
        <w:t>一</w:t>
      </w:r>
      <w:r>
        <w:rPr>
          <w:rFonts w:eastAsia="仿宋_GB2312"/>
          <w:sz w:val="32"/>
          <w:szCs w:val="30"/>
        </w:rPr>
        <w:t>家经营企业有关核查处置及信息公开情况报告如下：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ascii="黑体" w:hAnsi="黑体" w:eastAsia="黑体" w:cs="黑体"/>
          <w:i w:val="0"/>
          <w:caps w:val="0"/>
          <w:color w:val="auto"/>
          <w:spacing w:val="0"/>
          <w:sz w:val="32"/>
          <w:szCs w:val="32"/>
          <w:shd w:val="clear" w:fill="FFFFFF"/>
        </w:rPr>
        <w:t>NCP20440704598001010</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抽样编号</w:t>
            </w:r>
          </w:p>
        </w:tc>
        <w:tc>
          <w:tcPr>
            <w:tcW w:w="2170" w:type="dxa"/>
            <w:gridSpan w:val="2"/>
            <w:shd w:val="clear" w:color="auto" w:fill="auto"/>
            <w:vAlign w:val="center"/>
          </w:tcPr>
          <w:p>
            <w:pPr>
              <w:jc w:val="center"/>
              <w:rPr>
                <w:rFonts w:ascii="仿宋_GB2312" w:hAnsi="仿宋" w:eastAsia="仿宋_GB2312"/>
                <w:sz w:val="24"/>
              </w:rPr>
            </w:pPr>
            <w:r>
              <w:rPr>
                <w:rFonts w:ascii="微软雅黑" w:hAnsi="微软雅黑" w:eastAsia="微软雅黑" w:cs="微软雅黑"/>
                <w:i w:val="0"/>
                <w:caps w:val="0"/>
                <w:color w:val="2C3E50"/>
                <w:spacing w:val="0"/>
                <w:sz w:val="21"/>
                <w:szCs w:val="21"/>
                <w:shd w:val="clear" w:fill="FFFFFF"/>
              </w:rPr>
              <w:t>NCP20440704598001010</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样品名称</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罗氏虾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lang w:val="en-US" w:eastAsia="zh-CN"/>
              </w:rPr>
              <w:t>购进</w:t>
            </w:r>
            <w:r>
              <w:rPr>
                <w:rFonts w:hint="eastAsia" w:ascii="仿宋_GB2312" w:hAnsi="仿宋" w:eastAsia="仿宋_GB2312"/>
                <w:sz w:val="24"/>
              </w:rPr>
              <w:t>日期</w:t>
            </w:r>
          </w:p>
        </w:tc>
        <w:tc>
          <w:tcPr>
            <w:tcW w:w="2170" w:type="dxa"/>
            <w:gridSpan w:val="2"/>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u w:val="none"/>
              </w:rPr>
              <w:t>20</w:t>
            </w:r>
            <w:r>
              <w:rPr>
                <w:rFonts w:hint="eastAsia" w:ascii="仿宋" w:hAnsi="仿宋" w:eastAsia="仿宋" w:cs="仿宋"/>
                <w:sz w:val="24"/>
                <w:szCs w:val="24"/>
                <w:u w:val="none"/>
                <w:lang w:val="en-US" w:eastAsia="zh-CN"/>
              </w:rPr>
              <w:t>20-06-02</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型号规格</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散装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标称生产企业</w:t>
            </w:r>
          </w:p>
        </w:tc>
        <w:tc>
          <w:tcPr>
            <w:tcW w:w="2170" w:type="dxa"/>
            <w:gridSpan w:val="2"/>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无</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被抽样单位</w:t>
            </w:r>
          </w:p>
        </w:tc>
        <w:tc>
          <w:tcPr>
            <w:tcW w:w="2224" w:type="dxa"/>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lang w:val="en-US" w:eastAsia="zh-CN"/>
              </w:rPr>
              <w:t>区美琼水产品档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检验不合格项目</w:t>
            </w:r>
          </w:p>
        </w:tc>
        <w:tc>
          <w:tcPr>
            <w:tcW w:w="2159"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i w:val="0"/>
                <w:caps w:val="0"/>
                <w:color w:val="495060"/>
                <w:spacing w:val="0"/>
                <w:sz w:val="24"/>
                <w:szCs w:val="24"/>
                <w:shd w:val="clear" w:fill="EBF7FF"/>
              </w:rPr>
              <w:t>呋喃西林代谢物(SEM)</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检验机构</w:t>
            </w:r>
          </w:p>
        </w:tc>
        <w:tc>
          <w:tcPr>
            <w:tcW w:w="2224"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color w:val="000000"/>
                <w:sz w:val="24"/>
                <w:szCs w:val="24"/>
                <w:u w:val="none"/>
                <w:lang w:val="en-US" w:eastAsia="zh-CN"/>
              </w:rPr>
              <w:t>广东省测试分析研究所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监管部门收到检验报告日期</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rPr>
              <w:t>2020-0</w:t>
            </w:r>
            <w:r>
              <w:rPr>
                <w:rFonts w:hint="eastAsia" w:ascii="仿宋_GB2312" w:hAnsi="仿宋" w:eastAsia="仿宋_GB2312"/>
                <w:sz w:val="24"/>
                <w:lang w:val="en-US" w:eastAsia="zh-CN"/>
              </w:rPr>
              <w:t>6-24</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检验报告送达企业日期</w:t>
            </w:r>
          </w:p>
        </w:tc>
        <w:tc>
          <w:tcPr>
            <w:tcW w:w="2224" w:type="dxa"/>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rPr>
              <w:t>2020-0</w:t>
            </w:r>
            <w:r>
              <w:rPr>
                <w:rFonts w:hint="eastAsia" w:ascii="仿宋_GB2312" w:hAnsi="仿宋" w:eastAsia="仿宋_GB2312"/>
                <w:sz w:val="24"/>
                <w:lang w:val="en-US" w:eastAsia="zh-CN"/>
              </w:rPr>
              <w:t>7-08</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w:t>
      </w:r>
      <w:r>
        <w:rPr>
          <w:rFonts w:hint="eastAsia" w:ascii="楷体_GB2312" w:hAnsi="仿宋" w:eastAsia="楷体_GB2312"/>
          <w:sz w:val="32"/>
          <w:szCs w:val="30"/>
          <w:lang w:val="en-US" w:eastAsia="zh-CN"/>
        </w:rPr>
        <w:t>经营</w:t>
      </w:r>
      <w:r>
        <w:rPr>
          <w:rFonts w:hint="eastAsia" w:ascii="楷体_GB2312" w:hAnsi="仿宋" w:eastAsia="楷体_GB2312"/>
          <w:sz w:val="32"/>
          <w:szCs w:val="30"/>
        </w:rPr>
        <w:t>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 xml:space="preserve">表2  </w:t>
      </w:r>
      <w:r>
        <w:rPr>
          <w:rFonts w:hint="eastAsia" w:ascii="黑体" w:hAnsi="黑体" w:eastAsia="黑体"/>
          <w:sz w:val="28"/>
          <w:lang w:val="en-US" w:eastAsia="zh-CN"/>
        </w:rPr>
        <w:t>经营</w:t>
      </w:r>
      <w:bookmarkStart w:id="0" w:name="_GoBack"/>
      <w:bookmarkEnd w:id="0"/>
      <w:r>
        <w:rPr>
          <w:rFonts w:hint="eastAsia" w:ascii="黑体" w:hAnsi="黑体" w:eastAsia="黑体"/>
          <w:sz w:val="28"/>
        </w:rPr>
        <w:t>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ascii="仿宋" w:hAnsi="仿宋" w:eastAsia="仿宋" w:cs="仿宋"/>
                <w:sz w:val="24"/>
                <w:szCs w:val="24"/>
                <w:lang w:val="en-US" w:eastAsia="zh-CN"/>
              </w:rPr>
            </w:pPr>
            <w:r>
              <w:rPr>
                <w:rFonts w:hint="eastAsia" w:ascii="仿宋" w:hAnsi="仿宋" w:eastAsia="仿宋" w:cs="仿宋"/>
                <w:sz w:val="24"/>
                <w:szCs w:val="24"/>
              </w:rPr>
              <w:t>产品控制措施：江门市江海区市场监督管理局对</w:t>
            </w:r>
            <w:r>
              <w:rPr>
                <w:rFonts w:hint="eastAsia" w:ascii="仿宋" w:hAnsi="仿宋" w:eastAsia="仿宋" w:cs="仿宋"/>
                <w:sz w:val="24"/>
                <w:szCs w:val="24"/>
                <w:lang w:val="en-US" w:eastAsia="zh-CN"/>
              </w:rPr>
              <w:t>经营</w:t>
            </w:r>
            <w:r>
              <w:rPr>
                <w:rFonts w:hint="eastAsia" w:ascii="仿宋" w:hAnsi="仿宋" w:eastAsia="仿宋" w:cs="仿宋"/>
                <w:sz w:val="24"/>
                <w:szCs w:val="24"/>
              </w:rPr>
              <w:t>场所进行现场检查，未发现同批次</w:t>
            </w:r>
            <w:r>
              <w:rPr>
                <w:rFonts w:hint="eastAsia" w:ascii="仿宋" w:hAnsi="仿宋" w:eastAsia="仿宋" w:cs="仿宋"/>
                <w:sz w:val="24"/>
                <w:szCs w:val="24"/>
                <w:lang w:val="en-US" w:eastAsia="zh-CN"/>
              </w:rPr>
              <w:t>的罗氏虾</w:t>
            </w:r>
            <w:r>
              <w:rPr>
                <w:rFonts w:hint="eastAsia" w:ascii="仿宋" w:hAnsi="仿宋" w:eastAsia="仿宋" w:cs="仿宋"/>
                <w:sz w:val="24"/>
                <w:szCs w:val="24"/>
              </w:rPr>
              <w:t>。</w:t>
            </w:r>
            <w:r>
              <w:rPr>
                <w:rFonts w:hint="eastAsia" w:ascii="仿宋" w:hAnsi="仿宋" w:eastAsia="仿宋" w:cs="仿宋"/>
                <w:sz w:val="24"/>
                <w:szCs w:val="24"/>
                <w:lang w:val="en-US" w:eastAsia="zh-CN"/>
              </w:rPr>
              <w:t>该水产品档称罗氏虾已销售太久无法召回。</w:t>
            </w:r>
          </w:p>
          <w:p>
            <w:pPr>
              <w:numPr>
                <w:ilvl w:val="0"/>
                <w:numId w:val="0"/>
              </w:numPr>
              <w:spacing w:line="440" w:lineRule="exact"/>
              <w:rPr>
                <w:rFonts w:hint="eastAsia" w:ascii="仿宋" w:hAnsi="仿宋" w:eastAsia="仿宋" w:cs="仿宋"/>
                <w:sz w:val="24"/>
                <w:szCs w:val="24"/>
              </w:rPr>
            </w:pPr>
            <w:r>
              <w:rPr>
                <w:rFonts w:hint="eastAsia" w:ascii="仿宋" w:hAnsi="仿宋" w:eastAsia="仿宋" w:cs="仿宋"/>
                <w:sz w:val="24"/>
                <w:szCs w:val="24"/>
              </w:rPr>
              <w:t>2.产品控制具体情况</w:t>
            </w:r>
          </w:p>
          <w:p>
            <w:pPr>
              <w:spacing w:line="440" w:lineRule="exac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购进</w:t>
            </w:r>
            <w:r>
              <w:rPr>
                <w:rFonts w:hint="eastAsia" w:ascii="仿宋" w:hAnsi="仿宋" w:eastAsia="仿宋" w:cs="仿宋"/>
                <w:sz w:val="24"/>
                <w:szCs w:val="24"/>
              </w:rPr>
              <w:t>数量、货值，已销售数量，库存数量。</w:t>
            </w:r>
            <w:r>
              <w:rPr>
                <w:rFonts w:hint="eastAsia" w:ascii="仿宋" w:hAnsi="仿宋" w:eastAsia="仿宋" w:cs="仿宋"/>
                <w:sz w:val="24"/>
                <w:szCs w:val="24"/>
                <w:lang w:val="en-US" w:eastAsia="zh-CN"/>
              </w:rPr>
              <w:t>购进</w:t>
            </w:r>
            <w:r>
              <w:rPr>
                <w:rFonts w:hint="eastAsia" w:ascii="仿宋" w:hAnsi="仿宋" w:eastAsia="仿宋" w:cs="仿宋"/>
                <w:sz w:val="24"/>
                <w:szCs w:val="24"/>
              </w:rPr>
              <w:t>数量：</w:t>
            </w:r>
            <w:r>
              <w:rPr>
                <w:rFonts w:hint="eastAsia" w:ascii="仿宋" w:hAnsi="仿宋" w:eastAsia="仿宋" w:cs="仿宋"/>
                <w:color w:val="auto"/>
                <w:sz w:val="24"/>
                <w:szCs w:val="24"/>
                <w:lang w:val="en-US" w:eastAsia="zh-CN"/>
              </w:rPr>
              <w:t>30斤罗氏虾</w:t>
            </w:r>
            <w:r>
              <w:rPr>
                <w:rFonts w:hint="eastAsia" w:ascii="仿宋" w:hAnsi="仿宋" w:eastAsia="仿宋" w:cs="仿宋"/>
                <w:sz w:val="24"/>
                <w:szCs w:val="24"/>
              </w:rPr>
              <w:t>，货值</w:t>
            </w:r>
            <w:r>
              <w:rPr>
                <w:rFonts w:hint="eastAsia" w:ascii="仿宋" w:hAnsi="仿宋" w:eastAsia="仿宋" w:cs="仿宋"/>
                <w:sz w:val="24"/>
                <w:szCs w:val="24"/>
                <w:lang w:val="en-US" w:eastAsia="zh-CN"/>
              </w:rPr>
              <w:t>750</w:t>
            </w:r>
            <w:r>
              <w:rPr>
                <w:rFonts w:hint="eastAsia" w:ascii="仿宋" w:hAnsi="仿宋" w:eastAsia="仿宋" w:cs="仿宋"/>
                <w:sz w:val="24"/>
                <w:szCs w:val="24"/>
              </w:rPr>
              <w:t>元，已销售数量</w:t>
            </w:r>
            <w:r>
              <w:rPr>
                <w:rFonts w:hint="eastAsia" w:ascii="仿宋" w:hAnsi="仿宋" w:eastAsia="仿宋" w:cs="仿宋"/>
                <w:sz w:val="24"/>
                <w:szCs w:val="24"/>
                <w:lang w:val="en-US" w:eastAsia="zh-CN"/>
              </w:rPr>
              <w:t>30斤</w:t>
            </w:r>
            <w:r>
              <w:rPr>
                <w:rFonts w:hint="eastAsia" w:ascii="仿宋" w:hAnsi="仿宋" w:eastAsia="仿宋" w:cs="仿宋"/>
                <w:sz w:val="24"/>
                <w:szCs w:val="24"/>
              </w:rPr>
              <w:t>，库存数量</w:t>
            </w:r>
            <w:r>
              <w:rPr>
                <w:rFonts w:hint="eastAsia" w:ascii="仿宋" w:hAnsi="仿宋" w:eastAsia="仿宋" w:cs="仿宋"/>
                <w:sz w:val="24"/>
                <w:szCs w:val="24"/>
                <w:lang w:val="en-US" w:eastAsia="zh-CN"/>
              </w:rPr>
              <w:t>0</w:t>
            </w:r>
            <w:r>
              <w:rPr>
                <w:rFonts w:hint="eastAsia" w:ascii="仿宋" w:hAnsi="仿宋" w:eastAsia="仿宋" w:cs="仿宋"/>
                <w:sz w:val="24"/>
                <w:szCs w:val="24"/>
              </w:rPr>
              <w:t>（2）封存数量。0</w:t>
            </w:r>
          </w:p>
          <w:p>
            <w:pPr>
              <w:spacing w:line="440" w:lineRule="exact"/>
              <w:rPr>
                <w:rFonts w:hint="eastAsia" w:ascii="仿宋" w:hAnsi="仿宋" w:eastAsia="仿宋" w:cs="仿宋"/>
                <w:sz w:val="24"/>
                <w:szCs w:val="24"/>
              </w:rPr>
            </w:pPr>
            <w:r>
              <w:rPr>
                <w:rFonts w:hint="eastAsia" w:ascii="仿宋" w:hAnsi="仿宋" w:eastAsia="仿宋" w:cs="仿宋"/>
                <w:sz w:val="24"/>
                <w:szCs w:val="24"/>
              </w:rPr>
              <w:t>（3）召回数量。如未完全召回，应当说明原因。</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说明具体原因</w:t>
            </w:r>
          </w:p>
          <w:p>
            <w:pPr>
              <w:spacing w:line="44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购进不合格的罗氏虾，可能是养殖环节出现问题。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行政立案结案时间。若未立案，说明原因。</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我局于2020年</w:t>
            </w:r>
            <w:r>
              <w:rPr>
                <w:rFonts w:hint="eastAsia" w:ascii="仿宋" w:hAnsi="仿宋" w:eastAsia="仿宋" w:cs="仿宋"/>
                <w:sz w:val="24"/>
                <w:szCs w:val="24"/>
                <w:lang w:val="en-US" w:eastAsia="zh-CN"/>
              </w:rPr>
              <w:t>7</w:t>
            </w:r>
            <w:r>
              <w:rPr>
                <w:rFonts w:hint="eastAsia" w:ascii="仿宋" w:hAnsi="仿宋" w:eastAsia="仿宋" w:cs="仿宋"/>
                <w:sz w:val="24"/>
                <w:szCs w:val="24"/>
              </w:rPr>
              <w:t>月</w:t>
            </w:r>
            <w:r>
              <w:rPr>
                <w:rFonts w:hint="eastAsia" w:ascii="仿宋" w:hAnsi="仿宋" w:eastAsia="仿宋" w:cs="仿宋"/>
                <w:sz w:val="24"/>
                <w:szCs w:val="24"/>
                <w:lang w:val="en-US" w:eastAsia="zh-CN"/>
              </w:rPr>
              <w:t>8</w:t>
            </w:r>
            <w:r>
              <w:rPr>
                <w:rFonts w:hint="eastAsia" w:ascii="仿宋" w:hAnsi="仿宋" w:eastAsia="仿宋" w:cs="仿宋"/>
                <w:sz w:val="24"/>
                <w:szCs w:val="24"/>
              </w:rPr>
              <w:t>日对其进行立案，并于2020年</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10</w:t>
            </w:r>
            <w:r>
              <w:rPr>
                <w:rFonts w:hint="eastAsia" w:ascii="仿宋" w:hAnsi="仿宋" w:eastAsia="仿宋" w:cs="仿宋"/>
                <w:sz w:val="24"/>
                <w:szCs w:val="24"/>
              </w:rPr>
              <w:t>日结案。</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违法事实认定及相关法律依据。</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该水产档违反</w:t>
            </w:r>
            <w:r>
              <w:rPr>
                <w:rFonts w:hint="eastAsia" w:ascii="仿宋" w:hAnsi="仿宋" w:eastAsia="仿宋" w:cs="仿宋"/>
                <w:color w:val="000000"/>
                <w:sz w:val="24"/>
                <w:szCs w:val="24"/>
              </w:rPr>
              <w:t>《中华人民共和国食品安全法》</w:t>
            </w:r>
            <w:r>
              <w:rPr>
                <w:rFonts w:hint="eastAsia" w:ascii="仿宋" w:hAnsi="仿宋" w:eastAsia="仿宋" w:cs="仿宋"/>
                <w:sz w:val="24"/>
                <w:szCs w:val="24"/>
                <w:lang w:eastAsia="zh-CN"/>
              </w:rPr>
              <w:t>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w:t>
            </w:r>
          </w:p>
          <w:p>
            <w:pPr>
              <w:pStyle w:val="8"/>
              <w:spacing w:line="440" w:lineRule="exact"/>
              <w:ind w:left="720" w:firstLine="0" w:firstLineChars="0"/>
              <w:rPr>
                <w:rFonts w:hint="eastAsia" w:ascii="仿宋" w:hAnsi="仿宋" w:eastAsia="仿宋" w:cs="仿宋"/>
                <w:sz w:val="24"/>
                <w:szCs w:val="24"/>
              </w:rPr>
            </w:pP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具体处罚种类。</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lang w:val="en-US" w:eastAsia="zh-CN"/>
              </w:rPr>
              <w:t>不予处罚</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若减轻处罚或免予处罚，说明自由裁量权行使的依据和理由。</w:t>
            </w:r>
          </w:p>
          <w:p>
            <w:pPr>
              <w:spacing w:line="44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当</w:t>
            </w:r>
            <w:r>
              <w:rPr>
                <w:rFonts w:hint="eastAsia" w:ascii="仿宋" w:hAnsi="仿宋" w:eastAsia="仿宋" w:cs="仿宋"/>
                <w:color w:val="000000"/>
                <w:sz w:val="24"/>
                <w:szCs w:val="24"/>
                <w:lang w:val="en-US" w:eastAsia="zh-CN"/>
              </w:rPr>
              <w:t>第一百三十六条</w:t>
            </w:r>
            <w:r>
              <w:rPr>
                <w:rFonts w:hint="eastAsia" w:ascii="仿宋" w:hAnsi="仿宋" w:eastAsia="仿宋" w:cs="仿宋"/>
                <w:b w:val="0"/>
                <w:bCs w:val="0"/>
                <w:color w:val="000000"/>
                <w:sz w:val="24"/>
                <w:szCs w:val="24"/>
                <w:lang w:val="en-US" w:eastAsia="zh-CN"/>
              </w:rPr>
              <w:t>“</w:t>
            </w:r>
            <w:r>
              <w:rPr>
                <w:rFonts w:hint="eastAsia" w:ascii="仿宋" w:hAnsi="仿宋" w:eastAsia="仿宋" w:cs="仿宋"/>
                <w:b w:val="0"/>
                <w:bCs w:val="0"/>
                <w:i w:val="0"/>
                <w:caps w:val="0"/>
                <w:color w:val="333333"/>
                <w:spacing w:val="0"/>
                <w:kern w:val="0"/>
                <w:sz w:val="24"/>
                <w:szCs w:val="24"/>
                <w:shd w:val="clear" w:color="auto" w:fill="FFFFFF"/>
                <w:lang w:val="en-US" w:eastAsia="zh-CN" w:bidi="ar"/>
              </w:rPr>
              <w:t>食品经营者履行了本法规定的进货查验等义务，有充分证据证明其不知道所采购的食品不符合食品安全标准，并能如实说明其进货来源的，可以免予处罚，但应当依法没收其不符合食品安全标准的食品；造成 人身、财产或者其他损害的，依法承担赔偿责任。”的规定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企业整改情况和具体措施。</w:t>
            </w:r>
          </w:p>
          <w:p>
            <w:pPr>
              <w:spacing w:line="440" w:lineRule="exact"/>
              <w:ind w:firstLine="600" w:firstLineChars="25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加强对购进的水产品进行进货查验。</w:t>
            </w:r>
          </w:p>
          <w:p>
            <w:pPr>
              <w:spacing w:line="440" w:lineRule="exact"/>
              <w:rPr>
                <w:rFonts w:eastAsia="仿宋_GB2312"/>
                <w:sz w:val="24"/>
              </w:rPr>
            </w:pPr>
            <w:r>
              <w:rPr>
                <w:rFonts w:eastAsia="仿宋_GB2312"/>
                <w:sz w:val="24"/>
              </w:rPr>
              <w:t>（2）整改复查情况。</w:t>
            </w:r>
          </w:p>
          <w:p>
            <w:pPr>
              <w:spacing w:line="44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以加强对购进的水产品索票索证。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涉及其他地区、其他行政部门职责的，具体通报情况。</w:t>
            </w:r>
          </w:p>
          <w:p>
            <w:pPr>
              <w:pStyle w:val="8"/>
              <w:numPr>
                <w:ilvl w:val="0"/>
                <w:numId w:val="0"/>
              </w:numPr>
              <w:spacing w:line="440" w:lineRule="exact"/>
              <w:ind w:leftChars="0" w:firstLine="720" w:firstLineChars="3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暂无</w:t>
            </w:r>
          </w:p>
          <w:p>
            <w:pPr>
              <w:pStyle w:val="8"/>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向司法机关移送情况。</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87D55E"/>
    <w:multiLevelType w:val="singleLevel"/>
    <w:tmpl w:val="CA87D55E"/>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1722419F"/>
    <w:rsid w:val="1DD436B0"/>
    <w:rsid w:val="1EC028AE"/>
    <w:rsid w:val="26FB5728"/>
    <w:rsid w:val="34750BA6"/>
    <w:rsid w:val="40C979D0"/>
    <w:rsid w:val="4CD13BDE"/>
    <w:rsid w:val="58F50CB3"/>
    <w:rsid w:val="76BE0368"/>
    <w:rsid w:val="77996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0</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2020-10-14T00:38:23Z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