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ascii="黑体" w:hAnsi="黑体" w:eastAsia="黑体"/>
          <w:sz w:val="32"/>
          <w:szCs w:val="32"/>
        </w:rPr>
      </w:pP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江门市江海区市场监督管理局关于</w:t>
      </w:r>
    </w:p>
    <w:p>
      <w:pPr>
        <w:spacing w:line="600" w:lineRule="exact"/>
        <w:jc w:val="center"/>
        <w:rPr>
          <w:rFonts w:ascii="方正小标宋简体" w:eastAsia="方正小标宋简体"/>
          <w:sz w:val="44"/>
          <w:szCs w:val="48"/>
        </w:rPr>
      </w:pPr>
      <w:r>
        <w:rPr>
          <w:rFonts w:hint="eastAsia" w:ascii="方正小标宋简体" w:eastAsia="方正小标宋简体"/>
          <w:sz w:val="44"/>
          <w:szCs w:val="48"/>
        </w:rPr>
        <w:t>不合格食品核查处置情况的报告</w:t>
      </w:r>
    </w:p>
    <w:p>
      <w:pPr>
        <w:spacing w:line="600" w:lineRule="exact"/>
        <w:rPr>
          <w:rFonts w:ascii="仿宋_GB2312" w:hAnsi="仿宋" w:eastAsia="仿宋_GB2312"/>
          <w:sz w:val="32"/>
          <w:szCs w:val="30"/>
        </w:rPr>
      </w:pPr>
    </w:p>
    <w:p>
      <w:pPr>
        <w:spacing w:line="600" w:lineRule="exact"/>
        <w:ind w:firstLine="640" w:firstLineChars="200"/>
        <w:rPr>
          <w:rFonts w:eastAsia="仿宋_GB2312"/>
          <w:sz w:val="32"/>
          <w:szCs w:val="30"/>
        </w:rPr>
      </w:pPr>
      <w:bookmarkStart w:id="0" w:name="_GoBack"/>
      <w:bookmarkEnd w:id="0"/>
      <w:r>
        <w:rPr>
          <w:rFonts w:hint="eastAsia" w:eastAsia="仿宋_GB2312"/>
          <w:sz w:val="32"/>
          <w:szCs w:val="30"/>
        </w:rPr>
        <w:t>根据</w:t>
      </w:r>
      <w:r>
        <w:rPr>
          <w:rFonts w:hint="eastAsia" w:eastAsia="仿宋_GB2312"/>
          <w:sz w:val="32"/>
          <w:szCs w:val="30"/>
          <w:lang w:val="en-US" w:eastAsia="zh-CN"/>
        </w:rPr>
        <w:t>广东省测试分析研究所（中国广州分析测试中心）</w:t>
      </w:r>
      <w:r>
        <w:rPr>
          <w:rFonts w:hint="eastAsia" w:eastAsia="仿宋_GB2312"/>
          <w:sz w:val="32"/>
          <w:szCs w:val="30"/>
        </w:rPr>
        <w:t>转来的《检验报告》（</w:t>
      </w:r>
      <w:r>
        <w:rPr>
          <w:rFonts w:hint="eastAsia" w:eastAsia="仿宋_GB2312"/>
          <w:sz w:val="32"/>
          <w:szCs w:val="30"/>
          <w:lang w:val="en-US" w:eastAsia="zh-CN"/>
        </w:rPr>
        <w:t>NO:S191600928-10a</w:t>
      </w:r>
      <w:r>
        <w:rPr>
          <w:rFonts w:hint="eastAsia" w:eastAsia="仿宋_GB2312"/>
          <w:sz w:val="32"/>
          <w:szCs w:val="30"/>
        </w:rPr>
        <w:t>）</w:t>
      </w:r>
      <w:r>
        <w:rPr>
          <w:rFonts w:hint="eastAsia" w:eastAsia="仿宋_GB2312"/>
          <w:sz w:val="32"/>
          <w:szCs w:val="30"/>
          <w:lang w:eastAsia="zh-CN"/>
        </w:rPr>
        <w:t>结果</w:t>
      </w:r>
      <w:r>
        <w:rPr>
          <w:rFonts w:eastAsia="仿宋_GB2312"/>
          <w:sz w:val="32"/>
          <w:szCs w:val="30"/>
        </w:rPr>
        <w:t>，现将</w:t>
      </w:r>
      <w:r>
        <w:rPr>
          <w:rFonts w:hint="eastAsia" w:eastAsia="仿宋_GB2312"/>
          <w:sz w:val="32"/>
          <w:szCs w:val="30"/>
          <w:lang w:eastAsia="zh-CN"/>
        </w:rPr>
        <w:t>被抽检</w:t>
      </w:r>
      <w:r>
        <w:rPr>
          <w:rFonts w:hint="eastAsia" w:eastAsia="仿宋_GB2312"/>
          <w:sz w:val="32"/>
          <w:szCs w:val="30"/>
        </w:rPr>
        <w:t>批次</w:t>
      </w:r>
      <w:r>
        <w:rPr>
          <w:rFonts w:eastAsia="仿宋_GB2312"/>
          <w:sz w:val="32"/>
          <w:szCs w:val="30"/>
        </w:rPr>
        <w:t>不合格食品</w:t>
      </w:r>
      <w:r>
        <w:rPr>
          <w:rFonts w:hint="eastAsia" w:eastAsia="仿宋_GB2312"/>
          <w:sz w:val="32"/>
          <w:szCs w:val="30"/>
          <w:lang w:eastAsia="zh-CN"/>
        </w:rPr>
        <w:t>的销售方</w:t>
      </w:r>
      <w:r>
        <w:rPr>
          <w:rFonts w:eastAsia="仿宋_GB2312"/>
          <w:sz w:val="32"/>
          <w:szCs w:val="30"/>
        </w:rPr>
        <w:t>有关核查处置及信息公开情况报告如下：</w:t>
      </w:r>
    </w:p>
    <w:p>
      <w:pPr>
        <w:spacing w:line="600" w:lineRule="exact"/>
        <w:rPr>
          <w:rFonts w:ascii="楷体_GB2312" w:hAnsi="仿宋" w:eastAsia="楷体_GB2312"/>
          <w:sz w:val="32"/>
          <w:szCs w:val="30"/>
        </w:rPr>
      </w:pPr>
      <w:r>
        <w:rPr>
          <w:rFonts w:hint="eastAsia" w:ascii="楷体_GB2312" w:hAnsi="仿宋" w:eastAsia="楷体_GB2312"/>
          <w:sz w:val="32"/>
          <w:szCs w:val="30"/>
        </w:rPr>
        <w:t>（一）基本情况</w:t>
      </w:r>
    </w:p>
    <w:p>
      <w:pPr>
        <w:spacing w:before="93" w:beforeLines="30" w:line="480" w:lineRule="exact"/>
        <w:jc w:val="center"/>
        <w:rPr>
          <w:rFonts w:ascii="黑体" w:hAnsi="黑体" w:eastAsia="黑体"/>
          <w:sz w:val="28"/>
        </w:rPr>
      </w:pPr>
      <w:r>
        <w:rPr>
          <w:rFonts w:hint="eastAsia" w:ascii="黑体" w:hAnsi="黑体" w:eastAsia="黑体"/>
          <w:sz w:val="28"/>
        </w:rPr>
        <w:t>表1  不合格食品基本信息表</w:t>
      </w:r>
    </w:p>
    <w:tbl>
      <w:tblPr>
        <w:tblStyle w:val="4"/>
        <w:tblW w:w="82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6"/>
        <w:gridCol w:w="2159"/>
        <w:gridCol w:w="11"/>
        <w:gridCol w:w="1791"/>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抽样编号</w:t>
            </w:r>
          </w:p>
        </w:tc>
        <w:tc>
          <w:tcPr>
            <w:tcW w:w="2170" w:type="dxa"/>
            <w:gridSpan w:val="2"/>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lang w:eastAsia="zh-CN"/>
              </w:rPr>
              <w:t>DC19440700598013547</w:t>
            </w:r>
          </w:p>
        </w:tc>
        <w:tc>
          <w:tcPr>
            <w:tcW w:w="1791"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样品名称</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翠绿提子（蜜饯）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生产日期</w:t>
            </w:r>
          </w:p>
        </w:tc>
        <w:tc>
          <w:tcPr>
            <w:tcW w:w="2170" w:type="dxa"/>
            <w:gridSpan w:val="2"/>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lang w:eastAsia="zh-CN"/>
              </w:rPr>
              <w:t>2019-09-17</w:t>
            </w:r>
          </w:p>
        </w:tc>
        <w:tc>
          <w:tcPr>
            <w:tcW w:w="1791"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型号规格</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130克/瓶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标称生产企业</w:t>
            </w:r>
          </w:p>
        </w:tc>
        <w:tc>
          <w:tcPr>
            <w:tcW w:w="2170" w:type="dxa"/>
            <w:gridSpan w:val="2"/>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新兴县日日昌食品有限公司</w:t>
            </w:r>
          </w:p>
        </w:tc>
        <w:tc>
          <w:tcPr>
            <w:tcW w:w="1791"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被抽样单位</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江海区聚兴商场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046"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检验不合格项目</w:t>
            </w:r>
          </w:p>
        </w:tc>
        <w:tc>
          <w:tcPr>
            <w:tcW w:w="2159"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霉菌</w:t>
            </w:r>
            <w:r>
              <w:rPr>
                <w:rFonts w:hint="eastAsia" w:ascii="仿宋_GB2312" w:hAnsi="仿宋" w:eastAsia="仿宋_GB2312"/>
                <w:sz w:val="24"/>
                <w:lang w:eastAsia="zh-CN"/>
              </w:rPr>
              <w:t>项目</w:t>
            </w:r>
          </w:p>
        </w:tc>
        <w:tc>
          <w:tcPr>
            <w:tcW w:w="1802" w:type="dxa"/>
            <w:gridSpan w:val="2"/>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检验机构</w:t>
            </w:r>
          </w:p>
        </w:tc>
        <w:tc>
          <w:tcPr>
            <w:tcW w:w="2224"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val="en-US" w:eastAsia="zh-CN"/>
              </w:rPr>
              <w:t>广东省测试分析研究所（中国广州分析测试中心）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046"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监管部门收到检验报告日期</w:t>
            </w:r>
          </w:p>
        </w:tc>
        <w:tc>
          <w:tcPr>
            <w:tcW w:w="2170" w:type="dxa"/>
            <w:gridSpan w:val="2"/>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lang w:eastAsia="zh-CN"/>
              </w:rPr>
              <w:t>20</w:t>
            </w:r>
            <w:r>
              <w:rPr>
                <w:rFonts w:hint="eastAsia" w:ascii="仿宋_GB2312" w:hAnsi="仿宋" w:eastAsia="仿宋_GB2312"/>
                <w:sz w:val="24"/>
                <w:lang w:val="en-US" w:eastAsia="zh-CN"/>
              </w:rPr>
              <w:t>19-11-21</w:t>
            </w:r>
          </w:p>
        </w:tc>
        <w:tc>
          <w:tcPr>
            <w:tcW w:w="1791" w:type="dxa"/>
            <w:shd w:val="clear" w:color="auto" w:fill="auto"/>
            <w:vAlign w:val="center"/>
          </w:tcPr>
          <w:p>
            <w:pPr>
              <w:jc w:val="center"/>
              <w:rPr>
                <w:rFonts w:hint="eastAsia" w:ascii="仿宋_GB2312" w:hAnsi="仿宋" w:eastAsia="仿宋_GB2312"/>
                <w:sz w:val="24"/>
                <w:lang w:eastAsia="zh-CN"/>
              </w:rPr>
            </w:pPr>
            <w:r>
              <w:rPr>
                <w:rFonts w:hint="eastAsia" w:ascii="仿宋_GB2312" w:hAnsi="仿宋" w:eastAsia="仿宋_GB2312"/>
                <w:sz w:val="24"/>
                <w:lang w:eastAsia="zh-CN"/>
              </w:rPr>
              <w:t>检验报告送达企业日期</w:t>
            </w:r>
          </w:p>
        </w:tc>
        <w:tc>
          <w:tcPr>
            <w:tcW w:w="2224" w:type="dxa"/>
            <w:shd w:val="clear" w:color="auto" w:fill="auto"/>
            <w:vAlign w:val="center"/>
          </w:tcPr>
          <w:p>
            <w:pPr>
              <w:jc w:val="center"/>
              <w:rPr>
                <w:rFonts w:hint="default" w:ascii="仿宋_GB2312" w:hAnsi="仿宋" w:eastAsia="仿宋_GB2312"/>
                <w:sz w:val="24"/>
                <w:lang w:val="en-US" w:eastAsia="zh-CN"/>
              </w:rPr>
            </w:pPr>
            <w:r>
              <w:rPr>
                <w:rFonts w:hint="eastAsia" w:ascii="仿宋_GB2312" w:hAnsi="仿宋" w:eastAsia="仿宋_GB2312"/>
                <w:sz w:val="24"/>
                <w:lang w:eastAsia="zh-CN"/>
              </w:rPr>
              <w:t>20</w:t>
            </w:r>
            <w:r>
              <w:rPr>
                <w:rFonts w:hint="eastAsia" w:ascii="仿宋_GB2312" w:hAnsi="仿宋" w:eastAsia="仿宋_GB2312"/>
                <w:sz w:val="24"/>
                <w:lang w:val="en-US" w:eastAsia="zh-CN"/>
              </w:rPr>
              <w:t>19-11-21</w:t>
            </w:r>
          </w:p>
        </w:tc>
      </w:tr>
    </w:tbl>
    <w:p>
      <w:pPr>
        <w:spacing w:line="600" w:lineRule="exact"/>
        <w:ind w:firstLine="640" w:firstLineChars="200"/>
        <w:rPr>
          <w:rFonts w:ascii="楷体_GB2312" w:hAnsi="仿宋" w:eastAsia="楷体_GB2312"/>
          <w:sz w:val="32"/>
          <w:szCs w:val="30"/>
        </w:rPr>
      </w:pPr>
    </w:p>
    <w:p>
      <w:pPr>
        <w:spacing w:line="600" w:lineRule="exact"/>
        <w:rPr>
          <w:rFonts w:ascii="楷体_GB2312" w:hAnsi="仿宋" w:eastAsia="楷体_GB2312"/>
          <w:sz w:val="32"/>
          <w:szCs w:val="30"/>
        </w:rPr>
      </w:pPr>
      <w:r>
        <w:rPr>
          <w:rFonts w:hint="eastAsia" w:ascii="楷体_GB2312" w:hAnsi="仿宋" w:eastAsia="楷体_GB2312"/>
          <w:sz w:val="32"/>
          <w:szCs w:val="30"/>
        </w:rPr>
        <w:t>（二）</w:t>
      </w:r>
      <w:r>
        <w:rPr>
          <w:rFonts w:hint="eastAsia" w:ascii="楷体_GB2312" w:hAnsi="仿宋" w:eastAsia="楷体_GB2312"/>
          <w:sz w:val="32"/>
          <w:szCs w:val="30"/>
          <w:lang w:eastAsia="zh-CN"/>
        </w:rPr>
        <w:t>流通</w:t>
      </w:r>
      <w:r>
        <w:rPr>
          <w:rFonts w:hint="eastAsia" w:ascii="楷体_GB2312" w:hAnsi="仿宋" w:eastAsia="楷体_GB2312"/>
          <w:sz w:val="32"/>
          <w:szCs w:val="30"/>
        </w:rPr>
        <w:t>环节</w:t>
      </w:r>
    </w:p>
    <w:p>
      <w:pPr>
        <w:spacing w:line="600" w:lineRule="exact"/>
        <w:ind w:firstLine="640" w:firstLineChars="200"/>
        <w:rPr>
          <w:rFonts w:eastAsia="仿宋_GB2312"/>
          <w:sz w:val="32"/>
          <w:szCs w:val="30"/>
        </w:rPr>
      </w:pPr>
      <w:r>
        <w:rPr>
          <w:rFonts w:hint="eastAsia" w:eastAsia="仿宋_GB2312"/>
          <w:sz w:val="32"/>
          <w:szCs w:val="30"/>
        </w:rPr>
        <w:t>江海区市场监督管理</w:t>
      </w:r>
      <w:r>
        <w:rPr>
          <w:rFonts w:eastAsia="仿宋_GB2312"/>
          <w:sz w:val="32"/>
          <w:szCs w:val="30"/>
        </w:rPr>
        <w:t>局收到不合格报告后开展核查处置工作情况。具体处置情况见下表。</w:t>
      </w: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rPr>
      </w:pPr>
    </w:p>
    <w:p>
      <w:pPr>
        <w:spacing w:before="93" w:beforeLines="30" w:line="480" w:lineRule="exact"/>
        <w:jc w:val="center"/>
        <w:rPr>
          <w:rFonts w:hint="eastAsia" w:ascii="黑体" w:hAnsi="黑体" w:eastAsia="黑体"/>
          <w:sz w:val="28"/>
          <w:lang w:val="en-US" w:eastAsia="zh-CN"/>
        </w:rPr>
      </w:pPr>
      <w:r>
        <w:rPr>
          <w:rFonts w:hint="eastAsia" w:ascii="黑体" w:hAnsi="黑体" w:eastAsia="黑体"/>
          <w:sz w:val="28"/>
          <w:lang w:val="en-US" w:eastAsia="zh-CN"/>
        </w:rPr>
        <w:t xml:space="preserve">    </w:t>
      </w:r>
    </w:p>
    <w:p>
      <w:pPr>
        <w:spacing w:before="93" w:beforeLines="30" w:line="480" w:lineRule="exact"/>
        <w:jc w:val="center"/>
        <w:rPr>
          <w:rFonts w:ascii="黑体" w:hAnsi="黑体" w:eastAsia="黑体"/>
          <w:sz w:val="28"/>
        </w:rPr>
      </w:pPr>
      <w:r>
        <w:rPr>
          <w:rFonts w:hint="eastAsia" w:ascii="黑体" w:hAnsi="黑体" w:eastAsia="黑体"/>
          <w:sz w:val="28"/>
          <w:lang w:val="en-US" w:eastAsia="zh-CN"/>
        </w:rPr>
        <w:t xml:space="preserve"> 表2  </w:t>
      </w:r>
      <w:r>
        <w:rPr>
          <w:rFonts w:hint="eastAsia" w:ascii="黑体" w:hAnsi="黑体" w:eastAsia="黑体"/>
          <w:sz w:val="28"/>
          <w:lang w:eastAsia="zh-CN"/>
        </w:rPr>
        <w:t>流通</w:t>
      </w:r>
      <w:r>
        <w:rPr>
          <w:rFonts w:hint="eastAsia" w:ascii="黑体" w:hAnsi="黑体" w:eastAsia="黑体"/>
          <w:sz w:val="28"/>
        </w:rPr>
        <w:t>环节核查处置情况表</w:t>
      </w:r>
    </w:p>
    <w:tbl>
      <w:tblPr>
        <w:tblStyle w:val="4"/>
        <w:tblW w:w="83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417" w:type="dxa"/>
            <w:shd w:val="clear" w:color="auto" w:fill="auto"/>
            <w:vAlign w:val="center"/>
          </w:tcPr>
          <w:p>
            <w:pPr>
              <w:jc w:val="center"/>
              <w:rPr>
                <w:rFonts w:eastAsia="仿宋_GB2312"/>
                <w:sz w:val="24"/>
              </w:rPr>
            </w:pPr>
            <w:r>
              <w:rPr>
                <w:rFonts w:eastAsia="仿宋_GB2312"/>
                <w:sz w:val="24"/>
              </w:rPr>
              <w:t>处置措施</w:t>
            </w:r>
          </w:p>
        </w:tc>
        <w:tc>
          <w:tcPr>
            <w:tcW w:w="6946" w:type="dxa"/>
            <w:shd w:val="clear" w:color="auto" w:fill="auto"/>
            <w:vAlign w:val="center"/>
          </w:tcPr>
          <w:p>
            <w:pPr>
              <w:jc w:val="center"/>
              <w:rPr>
                <w:rFonts w:eastAsia="仿宋_GB2312"/>
                <w:sz w:val="24"/>
              </w:rPr>
            </w:pPr>
            <w:r>
              <w:rPr>
                <w:rFonts w:eastAsia="仿宋_GB2312"/>
                <w:sz w:val="24"/>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93"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产品控制</w:t>
            </w:r>
          </w:p>
        </w:tc>
        <w:tc>
          <w:tcPr>
            <w:tcW w:w="6946" w:type="dxa"/>
            <w:shd w:val="clear" w:color="auto" w:fill="auto"/>
            <w:vAlign w:val="center"/>
          </w:tcPr>
          <w:p>
            <w:pPr>
              <w:numPr>
                <w:ilvl w:val="0"/>
                <w:numId w:val="1"/>
              </w:numPr>
              <w:spacing w:line="440" w:lineRule="exact"/>
              <w:rPr>
                <w:rFonts w:hint="eastAsia" w:eastAsia="仿宋_GB2312"/>
                <w:sz w:val="24"/>
              </w:rPr>
            </w:pPr>
            <w:r>
              <w:rPr>
                <w:rFonts w:eastAsia="仿宋_GB2312"/>
                <w:sz w:val="24"/>
              </w:rPr>
              <w:t>产品控制措施</w:t>
            </w:r>
            <w:r>
              <w:rPr>
                <w:rFonts w:hint="eastAsia" w:eastAsia="仿宋_GB2312"/>
                <w:sz w:val="24"/>
              </w:rPr>
              <w:t>：</w:t>
            </w:r>
            <w:r>
              <w:rPr>
                <w:rFonts w:hint="eastAsia" w:eastAsia="仿宋_GB2312"/>
                <w:sz w:val="24"/>
                <w:lang w:val="en-US" w:eastAsia="zh-CN"/>
              </w:rPr>
              <w:t>2020年11月21日</w:t>
            </w:r>
            <w:r>
              <w:rPr>
                <w:rFonts w:hint="eastAsia" w:eastAsia="仿宋_GB2312"/>
                <w:sz w:val="24"/>
                <w:lang w:eastAsia="zh-CN"/>
              </w:rPr>
              <w:t>我局执法人员</w:t>
            </w:r>
            <w:r>
              <w:rPr>
                <w:rFonts w:hint="eastAsia" w:eastAsia="仿宋_GB2312"/>
                <w:sz w:val="24"/>
              </w:rPr>
              <w:t>对</w:t>
            </w:r>
            <w:r>
              <w:rPr>
                <w:rFonts w:hint="eastAsia" w:eastAsia="仿宋_GB2312"/>
                <w:sz w:val="24"/>
                <w:lang w:eastAsia="zh-CN"/>
              </w:rPr>
              <w:t>不合格食品销售者经营</w:t>
            </w:r>
            <w:r>
              <w:rPr>
                <w:rFonts w:hint="eastAsia" w:eastAsia="仿宋_GB2312"/>
                <w:sz w:val="24"/>
              </w:rPr>
              <w:t>场所进行现场检查，发现同批次不合格食品</w:t>
            </w:r>
            <w:r>
              <w:rPr>
                <w:rFonts w:hint="eastAsia" w:eastAsia="仿宋_GB2312"/>
                <w:sz w:val="24"/>
                <w:lang w:val="en-US" w:eastAsia="zh-CN"/>
              </w:rPr>
              <w:t>13瓶现场作出扣押处理</w:t>
            </w:r>
            <w:r>
              <w:rPr>
                <w:rFonts w:hint="eastAsia" w:eastAsia="仿宋_GB2312"/>
                <w:sz w:val="24"/>
              </w:rPr>
              <w:t>。</w:t>
            </w:r>
          </w:p>
          <w:p>
            <w:pPr>
              <w:numPr>
                <w:numId w:val="0"/>
              </w:numPr>
              <w:spacing w:line="440" w:lineRule="exact"/>
              <w:rPr>
                <w:rFonts w:eastAsia="仿宋_GB2312"/>
                <w:sz w:val="24"/>
              </w:rPr>
            </w:pPr>
            <w:r>
              <w:rPr>
                <w:rFonts w:eastAsia="仿宋_GB2312"/>
                <w:sz w:val="24"/>
              </w:rPr>
              <w:t>2.产品控制具体情况</w:t>
            </w:r>
          </w:p>
          <w:p>
            <w:pPr>
              <w:numPr>
                <w:numId w:val="0"/>
              </w:numPr>
              <w:spacing w:line="440" w:lineRule="exact"/>
              <w:rPr>
                <w:rFonts w:hint="eastAsia" w:eastAsia="仿宋_GB2312"/>
                <w:sz w:val="24"/>
                <w:lang w:eastAsia="zh-CN"/>
              </w:rPr>
            </w:pPr>
            <w:r>
              <w:rPr>
                <w:rFonts w:hint="eastAsia" w:eastAsia="仿宋_GB2312"/>
                <w:sz w:val="24"/>
                <w:lang w:eastAsia="zh-CN"/>
              </w:rPr>
              <w:t>（1）当事人于2019年</w:t>
            </w:r>
            <w:r>
              <w:rPr>
                <w:rFonts w:hint="eastAsia" w:eastAsia="仿宋_GB2312"/>
                <w:sz w:val="24"/>
                <w:lang w:val="en-US" w:eastAsia="zh-CN"/>
              </w:rPr>
              <w:t>10</w:t>
            </w:r>
            <w:r>
              <w:rPr>
                <w:rFonts w:hint="eastAsia" w:eastAsia="仿宋_GB2312"/>
                <w:sz w:val="24"/>
                <w:lang w:eastAsia="zh-CN"/>
              </w:rPr>
              <w:t>月</w:t>
            </w:r>
            <w:r>
              <w:rPr>
                <w:rFonts w:hint="eastAsia" w:eastAsia="仿宋_GB2312"/>
                <w:sz w:val="24"/>
                <w:lang w:val="en-US" w:eastAsia="zh-CN"/>
              </w:rPr>
              <w:t>11</w:t>
            </w:r>
            <w:r>
              <w:rPr>
                <w:rFonts w:hint="eastAsia" w:eastAsia="仿宋_GB2312"/>
                <w:sz w:val="24"/>
                <w:lang w:eastAsia="zh-CN"/>
              </w:rPr>
              <w:t>日在</w:t>
            </w:r>
            <w:r>
              <w:rPr>
                <w:rFonts w:hint="eastAsia" w:eastAsia="仿宋_GB2312"/>
                <w:sz w:val="24"/>
                <w:lang w:val="en-US" w:eastAsia="zh-CN"/>
              </w:rPr>
              <w:t>广州市越秀区穗益食品商行</w:t>
            </w:r>
            <w:r>
              <w:rPr>
                <w:rFonts w:hint="eastAsia" w:eastAsia="仿宋_GB2312"/>
                <w:sz w:val="24"/>
                <w:lang w:eastAsia="zh-CN"/>
              </w:rPr>
              <w:t>购进上述</w:t>
            </w:r>
            <w:r>
              <w:rPr>
                <w:rFonts w:hint="eastAsia" w:eastAsia="仿宋_GB2312"/>
                <w:sz w:val="24"/>
                <w:lang w:val="en-US" w:eastAsia="zh-CN"/>
              </w:rPr>
              <w:t>翠绿提子（蜜饯）30瓶</w:t>
            </w:r>
            <w:r>
              <w:rPr>
                <w:rFonts w:hint="eastAsia" w:eastAsia="仿宋_GB2312"/>
                <w:sz w:val="24"/>
                <w:lang w:eastAsia="zh-CN"/>
              </w:rPr>
              <w:t>，已销售</w:t>
            </w:r>
            <w:r>
              <w:rPr>
                <w:rFonts w:hint="eastAsia" w:eastAsia="仿宋_GB2312"/>
                <w:sz w:val="24"/>
                <w:lang w:val="en-US" w:eastAsia="zh-CN"/>
              </w:rPr>
              <w:t>17瓶，13瓶被现场扣押。</w:t>
            </w:r>
          </w:p>
          <w:p>
            <w:pPr>
              <w:numPr>
                <w:numId w:val="0"/>
              </w:numPr>
              <w:spacing w:line="440" w:lineRule="exact"/>
              <w:rPr>
                <w:rFonts w:hint="default" w:eastAsia="仿宋_GB2312"/>
                <w:sz w:val="24"/>
                <w:lang w:val="en-US" w:eastAsia="zh-CN"/>
              </w:rPr>
            </w:pPr>
            <w:r>
              <w:rPr>
                <w:rFonts w:hint="eastAsia" w:eastAsia="仿宋_GB2312"/>
                <w:sz w:val="24"/>
                <w:lang w:eastAsia="zh-CN"/>
              </w:rPr>
              <w:t>（2）封存数量。</w:t>
            </w:r>
            <w:r>
              <w:rPr>
                <w:rFonts w:hint="eastAsia" w:eastAsia="仿宋_GB2312"/>
                <w:sz w:val="24"/>
                <w:lang w:val="en-US" w:eastAsia="zh-CN"/>
              </w:rPr>
              <w:t>13瓶</w:t>
            </w:r>
          </w:p>
          <w:p>
            <w:pPr>
              <w:spacing w:line="440" w:lineRule="exact"/>
              <w:rPr>
                <w:rFonts w:eastAsia="仿宋_GB2312"/>
                <w:sz w:val="24"/>
              </w:rPr>
            </w:pPr>
            <w:r>
              <w:rPr>
                <w:rFonts w:eastAsia="仿宋_GB2312"/>
                <w:sz w:val="24"/>
              </w:rPr>
              <w:t>（3）召回数量。</w:t>
            </w:r>
            <w:r>
              <w:rPr>
                <w:rFonts w:hint="eastAsia" w:eastAsia="仿宋_GB2312"/>
                <w:sz w:val="24"/>
                <w:lang w:eastAsia="zh-CN"/>
              </w:rPr>
              <w:t>无（</w:t>
            </w:r>
            <w:r>
              <w:rPr>
                <w:rFonts w:hint="eastAsia" w:eastAsia="仿宋_GB2312"/>
                <w:sz w:val="24"/>
              </w:rPr>
              <w:t>由于</w:t>
            </w:r>
            <w:r>
              <w:rPr>
                <w:rFonts w:hint="eastAsia" w:eastAsia="仿宋_GB2312"/>
                <w:sz w:val="24"/>
                <w:lang w:eastAsia="zh-CN"/>
              </w:rPr>
              <w:t>该食品</w:t>
            </w:r>
            <w:r>
              <w:rPr>
                <w:rFonts w:hint="eastAsia" w:eastAsia="仿宋_GB2312"/>
                <w:sz w:val="24"/>
              </w:rPr>
              <w:t>销售时间较长，难以召回。</w:t>
            </w:r>
            <w:r>
              <w:rPr>
                <w:rFonts w:hint="eastAsia" w:eastAsia="仿宋_GB2312"/>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原因排查</w:t>
            </w:r>
          </w:p>
        </w:tc>
        <w:tc>
          <w:tcPr>
            <w:tcW w:w="6946" w:type="dxa"/>
            <w:shd w:val="clear" w:color="auto" w:fill="auto"/>
            <w:vAlign w:val="center"/>
          </w:tcPr>
          <w:p>
            <w:pPr>
              <w:pStyle w:val="8"/>
              <w:numPr>
                <w:ilvl w:val="0"/>
                <w:numId w:val="2"/>
              </w:numPr>
              <w:spacing w:line="440" w:lineRule="exact"/>
              <w:ind w:firstLineChars="0"/>
              <w:rPr>
                <w:rFonts w:eastAsia="仿宋_GB2312"/>
                <w:sz w:val="24"/>
              </w:rPr>
            </w:pPr>
            <w:r>
              <w:rPr>
                <w:rFonts w:eastAsia="仿宋_GB2312"/>
                <w:sz w:val="24"/>
              </w:rPr>
              <w:t>说明具体原因</w:t>
            </w:r>
          </w:p>
          <w:p>
            <w:pPr>
              <w:ind w:firstLine="480" w:firstLineChars="200"/>
              <w:jc w:val="both"/>
              <w:rPr>
                <w:rFonts w:hint="eastAsia" w:eastAsia="仿宋_GB2312"/>
                <w:sz w:val="24"/>
              </w:rPr>
            </w:pPr>
            <w:r>
              <w:rPr>
                <w:rFonts w:hint="eastAsia" w:eastAsia="仿宋_GB2312"/>
                <w:sz w:val="24"/>
                <w:lang w:eastAsia="zh-CN"/>
              </w:rPr>
              <w:t>生产环节带入</w:t>
            </w:r>
            <w:r>
              <w:rPr>
                <w:rFonts w:hint="eastAsia" w:eastAsia="仿宋_GB2312"/>
                <w:sz w:val="24"/>
              </w:rPr>
              <w:t>。</w:t>
            </w:r>
          </w:p>
          <w:p>
            <w:pPr>
              <w:numPr>
                <w:ilvl w:val="0"/>
                <w:numId w:val="2"/>
              </w:numPr>
              <w:spacing w:line="440" w:lineRule="exact"/>
              <w:ind w:left="360" w:leftChars="0" w:hanging="360" w:firstLineChars="0"/>
              <w:rPr>
                <w:rFonts w:eastAsia="仿宋_GB2312"/>
                <w:sz w:val="24"/>
              </w:rPr>
            </w:pPr>
            <w:r>
              <w:rPr>
                <w:rFonts w:eastAsia="仿宋_GB2312"/>
                <w:sz w:val="24"/>
              </w:rPr>
              <w:t>若为原料问题，说明源头追溯情况和具体的原料供应商。未追溯到原料生产者的，说明原因。</w:t>
            </w:r>
          </w:p>
          <w:p>
            <w:pPr>
              <w:numPr>
                <w:ilvl w:val="0"/>
                <w:numId w:val="0"/>
              </w:numPr>
              <w:spacing w:line="440" w:lineRule="exact"/>
              <w:ind w:leftChars="0"/>
              <w:rPr>
                <w:rFonts w:hint="default" w:eastAsia="仿宋_GB2312"/>
                <w:sz w:val="24"/>
                <w:lang w:val="en-US" w:eastAsia="zh-CN"/>
              </w:rPr>
            </w:pPr>
            <w:r>
              <w:rPr>
                <w:rFonts w:hint="eastAsia" w:eastAsia="仿宋_GB2312"/>
                <w:sz w:val="24"/>
                <w:lang w:val="en-US" w:eastAsia="zh-CN"/>
              </w:rPr>
              <w:t xml:space="preserve">   无。</w:t>
            </w:r>
          </w:p>
          <w:p>
            <w:pPr>
              <w:numPr>
                <w:ilvl w:val="0"/>
                <w:numId w:val="0"/>
              </w:numPr>
              <w:spacing w:line="440" w:lineRule="exact"/>
              <w:ind w:leftChars="0"/>
              <w:rPr>
                <w:rFonts w:hint="default" w:eastAsia="仿宋_GB2312"/>
                <w:sz w:val="24"/>
                <w:lang w:val="en-US" w:eastAsia="zh-CN"/>
              </w:rPr>
            </w:pPr>
            <w:r>
              <w:rPr>
                <w:rFonts w:hint="eastAsia" w:eastAsia="仿宋_GB2312"/>
                <w:sz w:val="24"/>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0"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行政处罚</w:t>
            </w:r>
          </w:p>
        </w:tc>
        <w:tc>
          <w:tcPr>
            <w:tcW w:w="6946" w:type="dxa"/>
            <w:shd w:val="clear" w:color="auto" w:fill="auto"/>
            <w:vAlign w:val="center"/>
          </w:tcPr>
          <w:p>
            <w:pPr>
              <w:pStyle w:val="8"/>
              <w:numPr>
                <w:ilvl w:val="0"/>
                <w:numId w:val="0"/>
              </w:numPr>
              <w:spacing w:line="440" w:lineRule="exact"/>
              <w:rPr>
                <w:rFonts w:eastAsia="仿宋_GB2312"/>
                <w:sz w:val="24"/>
              </w:rPr>
            </w:pPr>
            <w:r>
              <w:rPr>
                <w:rFonts w:hint="eastAsia" w:eastAsia="仿宋_GB2312"/>
                <w:sz w:val="24"/>
                <w:lang w:val="en-US" w:eastAsia="zh-CN"/>
              </w:rPr>
              <w:t>(1)</w:t>
            </w:r>
            <w:r>
              <w:rPr>
                <w:rFonts w:eastAsia="仿宋_GB2312"/>
                <w:sz w:val="24"/>
              </w:rPr>
              <w:t>行政立案结案时间。若未立案，说明原因。</w:t>
            </w:r>
          </w:p>
          <w:p>
            <w:pPr>
              <w:numPr>
                <w:ilvl w:val="0"/>
                <w:numId w:val="0"/>
              </w:numPr>
              <w:spacing w:line="440" w:lineRule="exact"/>
              <w:ind w:firstLine="480" w:firstLineChars="200"/>
              <w:rPr>
                <w:rFonts w:eastAsia="仿宋_GB2312"/>
                <w:sz w:val="24"/>
              </w:rPr>
            </w:pPr>
            <w:r>
              <w:rPr>
                <w:rFonts w:hint="eastAsia" w:eastAsia="仿宋_GB2312"/>
                <w:sz w:val="24"/>
              </w:rPr>
              <w:t>我局于20</w:t>
            </w:r>
            <w:r>
              <w:rPr>
                <w:rFonts w:hint="eastAsia" w:eastAsia="仿宋_GB2312"/>
                <w:sz w:val="24"/>
                <w:lang w:val="en-US" w:eastAsia="zh-CN"/>
              </w:rPr>
              <w:t>19</w:t>
            </w:r>
            <w:r>
              <w:rPr>
                <w:rFonts w:hint="eastAsia" w:eastAsia="仿宋_GB2312"/>
                <w:sz w:val="24"/>
              </w:rPr>
              <w:t>年</w:t>
            </w:r>
            <w:r>
              <w:rPr>
                <w:rFonts w:hint="eastAsia" w:eastAsia="仿宋_GB2312"/>
                <w:sz w:val="24"/>
                <w:lang w:val="en-US" w:eastAsia="zh-CN"/>
              </w:rPr>
              <w:t>11</w:t>
            </w:r>
            <w:r>
              <w:rPr>
                <w:rFonts w:hint="eastAsia" w:eastAsia="仿宋_GB2312"/>
                <w:sz w:val="24"/>
              </w:rPr>
              <w:t>月</w:t>
            </w:r>
            <w:r>
              <w:rPr>
                <w:rFonts w:hint="eastAsia" w:eastAsia="仿宋_GB2312"/>
                <w:sz w:val="24"/>
                <w:lang w:val="en-US" w:eastAsia="zh-CN"/>
              </w:rPr>
              <w:t>21</w:t>
            </w:r>
            <w:r>
              <w:rPr>
                <w:rFonts w:hint="eastAsia" w:eastAsia="仿宋_GB2312"/>
                <w:sz w:val="24"/>
              </w:rPr>
              <w:t>日对其进行立案，并于20</w:t>
            </w:r>
            <w:r>
              <w:rPr>
                <w:rFonts w:hint="eastAsia" w:eastAsia="仿宋_GB2312"/>
                <w:sz w:val="24"/>
                <w:lang w:val="en-US" w:eastAsia="zh-CN"/>
              </w:rPr>
              <w:t>19</w:t>
            </w:r>
            <w:r>
              <w:rPr>
                <w:rFonts w:hint="eastAsia" w:eastAsia="仿宋_GB2312"/>
                <w:sz w:val="24"/>
              </w:rPr>
              <w:t>年</w:t>
            </w:r>
            <w:r>
              <w:rPr>
                <w:rFonts w:hint="eastAsia" w:eastAsia="仿宋_GB2312"/>
                <w:sz w:val="24"/>
                <w:lang w:val="en-US" w:eastAsia="zh-CN"/>
              </w:rPr>
              <w:t>12</w:t>
            </w:r>
            <w:r>
              <w:rPr>
                <w:rFonts w:hint="eastAsia" w:eastAsia="仿宋_GB2312"/>
                <w:sz w:val="24"/>
              </w:rPr>
              <w:t>月</w:t>
            </w:r>
            <w:r>
              <w:rPr>
                <w:rFonts w:hint="eastAsia" w:eastAsia="仿宋_GB2312"/>
                <w:sz w:val="24"/>
                <w:lang w:val="en-US" w:eastAsia="zh-CN"/>
              </w:rPr>
              <w:t>10</w:t>
            </w:r>
            <w:r>
              <w:rPr>
                <w:rFonts w:hint="eastAsia" w:eastAsia="仿宋_GB2312"/>
                <w:sz w:val="24"/>
              </w:rPr>
              <w:t>日结案。</w:t>
            </w:r>
          </w:p>
          <w:p>
            <w:pPr>
              <w:numPr>
                <w:ilvl w:val="0"/>
                <w:numId w:val="0"/>
              </w:numPr>
              <w:spacing w:line="440" w:lineRule="exact"/>
              <w:rPr>
                <w:rFonts w:eastAsia="仿宋_GB2312"/>
                <w:sz w:val="24"/>
              </w:rPr>
            </w:pPr>
            <w:r>
              <w:rPr>
                <w:rFonts w:hint="eastAsia" w:eastAsia="仿宋_GB2312"/>
                <w:sz w:val="24"/>
                <w:lang w:val="en-US" w:eastAsia="zh-CN"/>
              </w:rPr>
              <w:t>(2)</w:t>
            </w:r>
            <w:r>
              <w:rPr>
                <w:rFonts w:eastAsia="仿宋_GB2312"/>
                <w:sz w:val="24"/>
              </w:rPr>
              <w:t>违法事实认定及相关法律依据。</w:t>
            </w:r>
          </w:p>
          <w:p>
            <w:pPr>
              <w:numPr>
                <w:numId w:val="0"/>
              </w:numPr>
              <w:spacing w:line="440" w:lineRule="exact"/>
              <w:ind w:firstLine="480" w:firstLineChars="200"/>
              <w:rPr>
                <w:rFonts w:hint="eastAsia" w:eastAsia="仿宋_GB2312"/>
                <w:sz w:val="24"/>
                <w:lang w:eastAsia="zh-CN"/>
              </w:rPr>
            </w:pPr>
            <w:r>
              <w:rPr>
                <w:rFonts w:hint="eastAsia" w:eastAsia="仿宋_GB2312"/>
                <w:sz w:val="24"/>
                <w:lang w:eastAsia="zh-CN"/>
              </w:rPr>
              <w:t>当事人销售抽检不合格食品的行为违反了《中华人民共和国食品安全法》第三十四条“禁止生产经营下列食品、食品添加剂、食品相关产品：……（</w:t>
            </w:r>
            <w:r>
              <w:rPr>
                <w:rFonts w:hint="eastAsia" w:eastAsia="仿宋_GB2312"/>
                <w:sz w:val="24"/>
                <w:lang w:val="en-US" w:eastAsia="zh-CN"/>
              </w:rPr>
              <w:t>二</w:t>
            </w:r>
            <w:r>
              <w:rPr>
                <w:rFonts w:hint="eastAsia" w:eastAsia="仿宋_GB2312"/>
                <w:sz w:val="24"/>
                <w:lang w:eastAsia="zh-CN"/>
              </w:rPr>
              <w:t>）</w:t>
            </w:r>
            <w:r>
              <w:rPr>
                <w:rFonts w:hint="eastAsia" w:eastAsia="仿宋_GB2312"/>
                <w:sz w:val="24"/>
                <w:lang w:val="en-US" w:eastAsia="zh-CN"/>
              </w:rPr>
              <w:t>致病性微生物，农药残留、兽药残留、生物毒素</w:t>
            </w:r>
            <w:r>
              <w:rPr>
                <w:rFonts w:hint="eastAsia" w:eastAsia="仿宋_GB2312"/>
                <w:sz w:val="24"/>
                <w:lang w:eastAsia="zh-CN"/>
              </w:rPr>
              <w:t>……”的规定。</w:t>
            </w:r>
          </w:p>
          <w:p>
            <w:pPr>
              <w:numPr>
                <w:numId w:val="0"/>
              </w:numPr>
              <w:spacing w:line="440" w:lineRule="exact"/>
              <w:rPr>
                <w:rFonts w:hint="eastAsia" w:eastAsia="仿宋_GB2312"/>
                <w:sz w:val="24"/>
                <w:lang w:eastAsia="zh-CN"/>
              </w:rPr>
            </w:pPr>
            <w:r>
              <w:rPr>
                <w:rFonts w:hint="eastAsia" w:eastAsia="仿宋_GB2312"/>
                <w:sz w:val="24"/>
                <w:lang w:val="en-US" w:eastAsia="zh-CN"/>
              </w:rPr>
              <w:t>(3)</w:t>
            </w:r>
            <w:r>
              <w:rPr>
                <w:rFonts w:hint="eastAsia" w:eastAsia="仿宋_GB2312"/>
                <w:sz w:val="24"/>
                <w:lang w:eastAsia="zh-CN"/>
              </w:rPr>
              <w:t>具体处罚种类。</w:t>
            </w:r>
          </w:p>
          <w:p>
            <w:pPr>
              <w:numPr>
                <w:numId w:val="0"/>
              </w:numPr>
              <w:spacing w:line="440" w:lineRule="exact"/>
              <w:ind w:firstLine="240" w:firstLineChars="100"/>
              <w:rPr>
                <w:rFonts w:hint="eastAsia" w:eastAsia="仿宋_GB2312"/>
                <w:sz w:val="24"/>
                <w:lang w:val="en-US" w:eastAsia="zh-CN"/>
              </w:rPr>
            </w:pPr>
            <w:r>
              <w:rPr>
                <w:rFonts w:hint="eastAsia" w:eastAsia="仿宋_GB2312"/>
                <w:sz w:val="24"/>
                <w:lang w:eastAsia="zh-CN"/>
              </w:rPr>
              <w:t>没收不符合食品安全标准的</w:t>
            </w:r>
            <w:r>
              <w:rPr>
                <w:rFonts w:hint="eastAsia" w:eastAsia="仿宋_GB2312"/>
                <w:sz w:val="24"/>
                <w:lang w:val="en-US" w:eastAsia="zh-CN"/>
              </w:rPr>
              <w:t>翠绿提子（蜜饯）</w:t>
            </w:r>
            <w:r>
              <w:rPr>
                <w:rFonts w:hint="eastAsia" w:eastAsia="仿宋_GB2312"/>
                <w:sz w:val="24"/>
                <w:lang w:eastAsia="zh-CN"/>
              </w:rPr>
              <w:t>（2019.</w:t>
            </w:r>
            <w:r>
              <w:rPr>
                <w:rFonts w:hint="eastAsia" w:eastAsia="仿宋_GB2312"/>
                <w:sz w:val="24"/>
                <w:lang w:val="en-US" w:eastAsia="zh-CN"/>
              </w:rPr>
              <w:t>09</w:t>
            </w:r>
            <w:r>
              <w:rPr>
                <w:rFonts w:hint="eastAsia" w:eastAsia="仿宋_GB2312"/>
                <w:sz w:val="24"/>
                <w:lang w:eastAsia="zh-CN"/>
              </w:rPr>
              <w:t>.</w:t>
            </w:r>
            <w:r>
              <w:rPr>
                <w:rFonts w:hint="eastAsia" w:eastAsia="仿宋_GB2312"/>
                <w:sz w:val="24"/>
                <w:lang w:val="en-US" w:eastAsia="zh-CN"/>
              </w:rPr>
              <w:t>17</w:t>
            </w:r>
            <w:r>
              <w:rPr>
                <w:rFonts w:hint="eastAsia" w:eastAsia="仿宋_GB2312"/>
                <w:sz w:val="24"/>
                <w:lang w:eastAsia="zh-CN"/>
              </w:rPr>
              <w:t>）</w:t>
            </w:r>
            <w:r>
              <w:rPr>
                <w:rFonts w:hint="eastAsia" w:eastAsia="仿宋_GB2312"/>
                <w:sz w:val="24"/>
                <w:lang w:val="en-US" w:eastAsia="zh-CN"/>
              </w:rPr>
              <w:t>13瓶。</w:t>
            </w:r>
          </w:p>
          <w:p>
            <w:pPr>
              <w:numPr>
                <w:numId w:val="0"/>
              </w:numPr>
              <w:spacing w:line="440" w:lineRule="exact"/>
              <w:rPr>
                <w:rFonts w:hint="eastAsia" w:eastAsia="仿宋_GB2312"/>
                <w:sz w:val="24"/>
                <w:lang w:eastAsia="zh-CN"/>
              </w:rPr>
            </w:pPr>
            <w:r>
              <w:rPr>
                <w:rFonts w:hint="eastAsia" w:eastAsia="仿宋_GB2312"/>
                <w:sz w:val="24"/>
                <w:lang w:eastAsia="zh-CN"/>
              </w:rPr>
              <w:t>（</w:t>
            </w:r>
            <w:r>
              <w:rPr>
                <w:rFonts w:hint="eastAsia" w:eastAsia="仿宋_GB2312"/>
                <w:sz w:val="24"/>
                <w:lang w:val="en-US" w:eastAsia="zh-CN"/>
              </w:rPr>
              <w:t>4</w:t>
            </w:r>
            <w:r>
              <w:rPr>
                <w:rFonts w:hint="eastAsia" w:eastAsia="仿宋_GB2312"/>
                <w:sz w:val="24"/>
                <w:lang w:eastAsia="zh-CN"/>
              </w:rPr>
              <w:t>）若减轻处罚或免予处罚，说明自由裁量权行使的依据和理由。</w:t>
            </w:r>
          </w:p>
          <w:p>
            <w:pPr>
              <w:numPr>
                <w:numId w:val="0"/>
              </w:numPr>
              <w:spacing w:line="440" w:lineRule="exact"/>
              <w:ind w:firstLine="480" w:firstLineChars="200"/>
              <w:rPr>
                <w:rFonts w:hint="eastAsia" w:eastAsiaTheme="minorEastAsia"/>
                <w:sz w:val="24"/>
                <w:lang w:eastAsia="zh-CN"/>
              </w:rPr>
            </w:pPr>
            <w:r>
              <w:rPr>
                <w:rFonts w:hint="eastAsia" w:eastAsia="仿宋_GB2312"/>
                <w:sz w:val="24"/>
                <w:lang w:eastAsia="zh-CN"/>
              </w:rPr>
              <w:t>《江门市食品药品监督管理局行政处罚自由裁量适用规则》第十一条“有下列情形之一的，依法从轻或者减轻行政处罚：（一） 主动消除或者减轻违法行为危害后果的；”、《江门市江海区市场监督管理局行政处罚自由裁量权适用规则》第十八条第（一）项“当事人有下列情形之一的，应当依法从轻或者减轻行政处罚：（一）主动消除或者减轻违法行为危害后果的；……”、第十九条第（一）项“当事人有下列情形之一的，可以依法从轻行政处罚：（一）能够主动改正或者及时中止违法行为的；……”的情形。根据《中华人民共和国行政处罚法》第二十七条第一款第 (一)项“当事人有下列情形之一的，应当依法从轻或者减轻行政处罚：（一）主动消除或者减轻违法行为危害后果的；……”和《中华人民共和国食品安全法》第一百二十四条第（三）项“违反本法规定，有下列情形之一，尚不构成犯罪的，由县级以上人民政府食品药品监督管理部门没收违法所得和违法生产经营的食品、食品添加剂，并可以没收用于违法生产经营的工具、设备、原料等物品；……（三）生产经营超范围、超限量使用食品添加剂的食品；……”、第一百三十六条“食品经营者履行了本法规定的进货查验等义务，有充分证据证明其不知道所采购的食品不符合食品安全标准，并能如实说明其进货来源的，可以免予处罚，但应当依法没收其不符合食品安全标准的食品……”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整改复查</w:t>
            </w:r>
          </w:p>
        </w:tc>
        <w:tc>
          <w:tcPr>
            <w:tcW w:w="6946" w:type="dxa"/>
            <w:shd w:val="clear" w:color="auto" w:fill="auto"/>
            <w:vAlign w:val="center"/>
          </w:tcPr>
          <w:p>
            <w:pPr>
              <w:pStyle w:val="8"/>
              <w:numPr>
                <w:ilvl w:val="0"/>
                <w:numId w:val="3"/>
              </w:numPr>
              <w:spacing w:line="440" w:lineRule="exact"/>
              <w:ind w:firstLineChars="0"/>
              <w:rPr>
                <w:rFonts w:eastAsia="仿宋_GB2312"/>
                <w:sz w:val="24"/>
              </w:rPr>
            </w:pPr>
            <w:r>
              <w:rPr>
                <w:rFonts w:eastAsia="仿宋_GB2312"/>
                <w:sz w:val="24"/>
              </w:rPr>
              <w:t>企业整改情况和具体措施。</w:t>
            </w:r>
          </w:p>
          <w:p>
            <w:pPr>
              <w:numPr>
                <w:ilvl w:val="0"/>
                <w:numId w:val="0"/>
              </w:numPr>
              <w:spacing w:line="440" w:lineRule="exact"/>
              <w:ind w:firstLine="720" w:firstLineChars="300"/>
              <w:rPr>
                <w:rFonts w:hint="eastAsia" w:eastAsia="仿宋_GB2312"/>
                <w:sz w:val="24"/>
                <w:lang w:eastAsia="zh-CN"/>
              </w:rPr>
            </w:pPr>
            <w:r>
              <w:rPr>
                <w:rFonts w:hint="eastAsia" w:eastAsia="仿宋_GB2312"/>
                <w:sz w:val="24"/>
                <w:lang w:val="en-US" w:eastAsia="zh-CN"/>
              </w:rPr>
              <w:t>采购时严把质量关</w:t>
            </w:r>
            <w:r>
              <w:rPr>
                <w:rFonts w:hint="eastAsia" w:eastAsia="仿宋_GB2312"/>
                <w:sz w:val="24"/>
                <w:lang w:eastAsia="zh-CN"/>
              </w:rPr>
              <w:t>。</w:t>
            </w:r>
          </w:p>
          <w:p>
            <w:pPr>
              <w:spacing w:line="440" w:lineRule="exact"/>
              <w:rPr>
                <w:rFonts w:eastAsia="仿宋_GB2312"/>
                <w:sz w:val="24"/>
              </w:rPr>
            </w:pPr>
            <w:r>
              <w:rPr>
                <w:rFonts w:eastAsia="仿宋_GB2312"/>
                <w:sz w:val="24"/>
              </w:rPr>
              <w:t>（2）整改复查情况。</w:t>
            </w:r>
          </w:p>
          <w:p>
            <w:pPr>
              <w:spacing w:line="440" w:lineRule="exact"/>
              <w:ind w:firstLine="600" w:firstLineChars="250"/>
              <w:rPr>
                <w:rFonts w:eastAsia="仿宋_GB2312"/>
                <w:sz w:val="24"/>
              </w:rPr>
            </w:pPr>
            <w:r>
              <w:rPr>
                <w:rFonts w:hint="eastAsia" w:eastAsia="仿宋_GB2312"/>
                <w:sz w:val="24"/>
                <w:lang w:eastAsia="zh-CN"/>
              </w:rPr>
              <w:t>已加强产品采购质量把控</w:t>
            </w:r>
            <w:r>
              <w:rPr>
                <w:rFonts w:hint="eastAsia"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7" w:hRule="atLeast"/>
          <w:jc w:val="center"/>
        </w:trPr>
        <w:tc>
          <w:tcPr>
            <w:tcW w:w="1417" w:type="dxa"/>
            <w:shd w:val="clear" w:color="auto" w:fill="auto"/>
            <w:vAlign w:val="center"/>
          </w:tcPr>
          <w:p>
            <w:pPr>
              <w:spacing w:line="460" w:lineRule="exact"/>
              <w:jc w:val="center"/>
              <w:rPr>
                <w:rFonts w:eastAsia="仿宋_GB2312"/>
                <w:sz w:val="24"/>
              </w:rPr>
            </w:pPr>
            <w:r>
              <w:rPr>
                <w:rFonts w:eastAsia="仿宋_GB2312"/>
                <w:sz w:val="24"/>
              </w:rPr>
              <w:t>通报移送</w:t>
            </w:r>
          </w:p>
        </w:tc>
        <w:tc>
          <w:tcPr>
            <w:tcW w:w="6946" w:type="dxa"/>
            <w:shd w:val="clear" w:color="auto" w:fill="auto"/>
            <w:vAlign w:val="center"/>
          </w:tcPr>
          <w:p>
            <w:pPr>
              <w:pStyle w:val="8"/>
              <w:numPr>
                <w:ilvl w:val="0"/>
                <w:numId w:val="4"/>
              </w:numPr>
              <w:spacing w:line="440" w:lineRule="exact"/>
              <w:ind w:firstLineChars="0"/>
              <w:rPr>
                <w:rFonts w:eastAsia="仿宋_GB2312"/>
                <w:sz w:val="24"/>
              </w:rPr>
            </w:pPr>
            <w:r>
              <w:rPr>
                <w:rFonts w:eastAsia="仿宋_GB2312"/>
                <w:sz w:val="24"/>
              </w:rPr>
              <w:t>涉及其他地区、其他行政部门职责的，具体通报情况。</w:t>
            </w:r>
          </w:p>
          <w:p>
            <w:pPr>
              <w:pStyle w:val="8"/>
              <w:numPr>
                <w:numId w:val="0"/>
              </w:numPr>
              <w:spacing w:line="440" w:lineRule="exact"/>
              <w:ind w:leftChars="0" w:firstLine="960" w:firstLineChars="400"/>
              <w:rPr>
                <w:rFonts w:eastAsia="仿宋_GB2312"/>
                <w:sz w:val="24"/>
              </w:rPr>
            </w:pPr>
            <w:r>
              <w:rPr>
                <w:rFonts w:hint="eastAsia" w:eastAsia="仿宋_GB2312"/>
                <w:sz w:val="24"/>
                <w:lang w:eastAsia="zh-CN"/>
              </w:rPr>
              <w:t>无。</w:t>
            </w:r>
          </w:p>
          <w:p>
            <w:pPr>
              <w:pStyle w:val="8"/>
              <w:numPr>
                <w:ilvl w:val="0"/>
                <w:numId w:val="4"/>
              </w:numPr>
              <w:spacing w:line="440" w:lineRule="exact"/>
              <w:ind w:firstLineChars="0"/>
              <w:rPr>
                <w:rFonts w:eastAsia="仿宋_GB2312"/>
                <w:sz w:val="24"/>
              </w:rPr>
            </w:pPr>
            <w:r>
              <w:rPr>
                <w:rFonts w:eastAsia="仿宋_GB2312"/>
                <w:sz w:val="24"/>
              </w:rPr>
              <w:t>向司法机关移送情况。</w:t>
            </w:r>
          </w:p>
          <w:p>
            <w:pPr>
              <w:pStyle w:val="8"/>
              <w:spacing w:line="440" w:lineRule="exact"/>
              <w:ind w:left="720" w:firstLine="0" w:firstLineChars="0"/>
              <w:rPr>
                <w:rFonts w:hint="eastAsia" w:eastAsia="仿宋_GB2312"/>
                <w:sz w:val="24"/>
                <w:lang w:eastAsia="zh-CN"/>
              </w:rPr>
            </w:pPr>
            <w:r>
              <w:rPr>
                <w:rFonts w:hint="eastAsia" w:eastAsia="仿宋_GB2312"/>
                <w:sz w:val="24"/>
              </w:rPr>
              <w:t>无</w:t>
            </w:r>
            <w:r>
              <w:rPr>
                <w:rFonts w:hint="eastAsia" w:eastAsia="仿宋_GB2312"/>
                <w:sz w:val="24"/>
                <w:lang w:eastAsia="zh-CN"/>
              </w:rPr>
              <w:t>需移送。</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Times New Roman"/>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00DB68"/>
    <w:multiLevelType w:val="singleLevel"/>
    <w:tmpl w:val="8800DB68"/>
    <w:lvl w:ilvl="0" w:tentative="0">
      <w:start w:val="1"/>
      <w:numFmt w:val="decimal"/>
      <w:lvlText w:val="%1."/>
      <w:lvlJc w:val="left"/>
      <w:pPr>
        <w:tabs>
          <w:tab w:val="left" w:pos="312"/>
        </w:tabs>
      </w:pPr>
    </w:lvl>
  </w:abstractNum>
  <w:abstractNum w:abstractNumId="1">
    <w:nsid w:val="027B6416"/>
    <w:multiLevelType w:val="multilevel"/>
    <w:tmpl w:val="027B641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8E3804"/>
    <w:multiLevelType w:val="multilevel"/>
    <w:tmpl w:val="058E3804"/>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EDE2A68"/>
    <w:multiLevelType w:val="multilevel"/>
    <w:tmpl w:val="2EDE2A68"/>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485607"/>
    <w:rsid w:val="00790B5A"/>
    <w:rsid w:val="007C6E5D"/>
    <w:rsid w:val="007F215C"/>
    <w:rsid w:val="008352D9"/>
    <w:rsid w:val="0093163C"/>
    <w:rsid w:val="009612AE"/>
    <w:rsid w:val="00992C71"/>
    <w:rsid w:val="00D75D29"/>
    <w:rsid w:val="00EA0228"/>
    <w:rsid w:val="00EA5E86"/>
    <w:rsid w:val="00F73CF4"/>
    <w:rsid w:val="00FB7716"/>
    <w:rsid w:val="00FD3033"/>
    <w:rsid w:val="00FD5624"/>
    <w:rsid w:val="00FF17D0"/>
    <w:rsid w:val="13DB0CBE"/>
    <w:rsid w:val="18AF6864"/>
    <w:rsid w:val="20D61530"/>
    <w:rsid w:val="219B139C"/>
    <w:rsid w:val="22E14173"/>
    <w:rsid w:val="26FB5728"/>
    <w:rsid w:val="27375548"/>
    <w:rsid w:val="344520B0"/>
    <w:rsid w:val="3C0E4F83"/>
    <w:rsid w:val="3F0A7D85"/>
    <w:rsid w:val="455158CC"/>
    <w:rsid w:val="477E4EB0"/>
    <w:rsid w:val="56E53A86"/>
    <w:rsid w:val="6C90298B"/>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4</Pages>
  <Words>339</Words>
  <Characters>1936</Characters>
  <Lines>16</Lines>
  <Paragraphs>4</Paragraphs>
  <TotalTime>2</TotalTime>
  <ScaleCrop>false</ScaleCrop>
  <LinksUpToDate>false</LinksUpToDate>
  <CharactersWithSpaces>2271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2017-12-14T01:17:00Z</dcterms:created>
  <dc:creator>西西弗斯v</dc:creator>
  <cp:lastModifiedBy>WIN-VI4P9DJRHFM</cp:lastModifiedBy>
  <dcterms:modified xsi:type="dcterms:W3CDTF">2020-10-16T02:55:14Z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