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江门市江海区市场监督管理局关于</w:t>
      </w: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不合格食品核查处置情况的报告</w:t>
      </w:r>
    </w:p>
    <w:p>
      <w:pPr>
        <w:spacing w:line="600" w:lineRule="exact"/>
        <w:rPr>
          <w:rFonts w:ascii="仿宋_GB2312" w:hAnsi="仿宋" w:eastAsia="仿宋_GB2312"/>
          <w:sz w:val="32"/>
          <w:szCs w:val="30"/>
        </w:rPr>
      </w:pP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上级移交的案件线索送达</w:t>
      </w:r>
      <w:r>
        <w:rPr>
          <w:rFonts w:hint="eastAsia" w:ascii="仿宋" w:hAnsi="仿宋" w:eastAsia="仿宋" w:cs="仿宋"/>
          <w:sz w:val="32"/>
          <w:szCs w:val="32"/>
        </w:rPr>
        <w:t>《检验报告》（</w:t>
      </w:r>
      <w:r>
        <w:rPr>
          <w:rFonts w:hint="eastAsia" w:ascii="仿宋" w:hAnsi="仿宋" w:eastAsia="仿宋" w:cs="仿宋"/>
          <w:color w:val="auto"/>
          <w:sz w:val="32"/>
          <w:szCs w:val="32"/>
          <w:lang w:val="en-US" w:eastAsia="zh-CN"/>
        </w:rPr>
        <w:t>A2190220723101011C</w:t>
      </w:r>
      <w:r>
        <w:rPr>
          <w:rFonts w:hint="eastAsia" w:ascii="仿宋" w:hAnsi="仿宋" w:eastAsia="仿宋" w:cs="仿宋"/>
          <w:sz w:val="32"/>
          <w:szCs w:val="32"/>
          <w:lang w:val="en-US" w:eastAsia="zh-CN"/>
        </w:rPr>
        <w:t>）</w:t>
      </w:r>
      <w:r>
        <w:rPr>
          <w:rFonts w:hint="eastAsia" w:ascii="仿宋" w:hAnsi="仿宋" w:eastAsia="仿宋" w:cs="仿宋"/>
          <w:sz w:val="32"/>
          <w:szCs w:val="32"/>
        </w:rPr>
        <w:t>，现将（生产日期/批号：</w:t>
      </w:r>
      <w:r>
        <w:rPr>
          <w:rFonts w:hint="eastAsia" w:ascii="仿宋" w:hAnsi="仿宋" w:eastAsia="仿宋" w:cs="仿宋"/>
          <w:color w:val="auto"/>
          <w:sz w:val="32"/>
          <w:szCs w:val="32"/>
        </w:rPr>
        <w:t>2019</w:t>
      </w:r>
      <w:r>
        <w:rPr>
          <w:rFonts w:hint="eastAsia" w:ascii="仿宋" w:hAnsi="仿宋" w:eastAsia="仿宋" w:cs="仿宋"/>
          <w:color w:val="auto"/>
          <w:sz w:val="32"/>
          <w:szCs w:val="32"/>
          <w:lang w:val="en-US" w:eastAsia="zh-CN"/>
        </w:rPr>
        <w:t>/8/14</w:t>
      </w:r>
      <w:r>
        <w:rPr>
          <w:rFonts w:hint="eastAsia" w:ascii="仿宋" w:hAnsi="仿宋" w:eastAsia="仿宋" w:cs="仿宋"/>
          <w:sz w:val="32"/>
          <w:szCs w:val="32"/>
        </w:rPr>
        <w:t>，规格型号：</w:t>
      </w:r>
      <w:r>
        <w:rPr>
          <w:rFonts w:hint="eastAsia" w:ascii="仿宋" w:hAnsi="仿宋" w:eastAsia="仿宋" w:cs="仿宋"/>
          <w:color w:val="000000"/>
          <w:sz w:val="32"/>
          <w:szCs w:val="32"/>
        </w:rPr>
        <w:t>5kg/箱</w:t>
      </w:r>
      <w:r>
        <w:rPr>
          <w:rFonts w:hint="eastAsia" w:ascii="仿宋" w:hAnsi="仿宋" w:eastAsia="仿宋" w:cs="仿宋"/>
          <w:sz w:val="32"/>
          <w:szCs w:val="32"/>
        </w:rPr>
        <w:t>）批次不合格食品一家生产经营企业有关核查处置及信息公开情况报告如下：</w:t>
      </w:r>
    </w:p>
    <w:p>
      <w:pPr>
        <w:spacing w:line="600" w:lineRule="exact"/>
        <w:ind w:firstLine="640" w:firstLineChars="200"/>
        <w:rPr>
          <w:rFonts w:ascii="黑体" w:hAnsi="黑体" w:eastAsia="黑体"/>
          <w:sz w:val="32"/>
          <w:szCs w:val="30"/>
        </w:rPr>
      </w:pPr>
      <w:r>
        <w:rPr>
          <w:rFonts w:hint="eastAsia" w:ascii="黑体" w:hAnsi="黑体" w:eastAsia="黑体"/>
          <w:sz w:val="32"/>
          <w:szCs w:val="30"/>
        </w:rPr>
        <w:t>一、抽样</w:t>
      </w:r>
      <w:r>
        <w:rPr>
          <w:rFonts w:hint="eastAsia" w:ascii="黑体" w:hAnsi="黑体" w:eastAsia="黑体"/>
          <w:sz w:val="32"/>
          <w:szCs w:val="30"/>
          <w:lang w:val="en-US" w:eastAsia="zh-CN"/>
        </w:rPr>
        <w:t>编号</w:t>
      </w:r>
      <w:r>
        <w:rPr>
          <w:rFonts w:hint="eastAsia" w:ascii="黑体" w:hAnsi="黑体" w:eastAsia="黑体" w:cs="黑体"/>
          <w:i w:val="0"/>
          <w:caps w:val="0"/>
          <w:color w:val="auto"/>
          <w:spacing w:val="0"/>
          <w:sz w:val="32"/>
          <w:szCs w:val="32"/>
          <w:shd w:val="clear" w:fill="FFFFFF"/>
        </w:rPr>
        <w:t>PPGD1944120060220157</w:t>
      </w:r>
      <w:r>
        <w:rPr>
          <w:rFonts w:hint="eastAsia" w:ascii="黑体" w:hAnsi="黑体" w:eastAsia="黑体"/>
          <w:sz w:val="32"/>
          <w:szCs w:val="30"/>
        </w:rPr>
        <w:t>的不合格食品</w:t>
      </w: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（一）基本情况</w:t>
      </w:r>
      <w:bookmarkStart w:id="0" w:name="_GoBack"/>
      <w:bookmarkEnd w:id="0"/>
    </w:p>
    <w:p>
      <w:pPr>
        <w:spacing w:before="93" w:beforeLines="30" w:line="480" w:lineRule="exact"/>
        <w:jc w:val="center"/>
        <w:rPr>
          <w:rFonts w:ascii="黑体" w:hAnsi="黑体" w:eastAsia="黑体"/>
          <w:sz w:val="28"/>
        </w:rPr>
      </w:pPr>
      <w:r>
        <w:rPr>
          <w:rFonts w:hint="eastAsia" w:ascii="黑体" w:hAnsi="黑体" w:eastAsia="黑体"/>
          <w:sz w:val="28"/>
        </w:rPr>
        <w:t>表1  不合格食品基本信息表</w:t>
      </w:r>
    </w:p>
    <w:tbl>
      <w:tblPr>
        <w:tblStyle w:val="4"/>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70"/>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抽样编号</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PPGD1944120060220157</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样品名称</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rPr>
              <w:t>广式腊肉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生产日期</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rPr>
              <w:t>2019-08-14</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型号规格</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eastAsia="zh-CN"/>
              </w:rPr>
            </w:pPr>
            <w:r>
              <w:rPr>
                <w:rFonts w:hint="eastAsia" w:ascii="仿宋" w:hAnsi="仿宋" w:eastAsia="仿宋" w:cs="仿宋"/>
                <w:sz w:val="24"/>
                <w:szCs w:val="24"/>
              </w:rPr>
              <w:t>5kg/箱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标称生产企业</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江门市江海区源利腊味加工场</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被抽样单位</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高要区南岸强总食品档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FF0000"/>
                <w:sz w:val="24"/>
                <w:szCs w:val="24"/>
              </w:rPr>
            </w:pPr>
            <w:r>
              <w:rPr>
                <w:rFonts w:hint="eastAsia" w:ascii="仿宋" w:hAnsi="仿宋" w:eastAsia="仿宋" w:cs="仿宋"/>
                <w:sz w:val="24"/>
                <w:szCs w:val="24"/>
              </w:rPr>
              <w:t>检验不合格项目</w:t>
            </w:r>
          </w:p>
        </w:tc>
        <w:tc>
          <w:tcPr>
            <w:tcW w:w="2170" w:type="dxa"/>
            <w:shd w:val="clear" w:color="auto" w:fill="auto"/>
            <w:vAlign w:val="center"/>
          </w:tcPr>
          <w:p>
            <w:pPr>
              <w:keepNext w:val="0"/>
              <w:keepLines w:val="0"/>
              <w:widowControl/>
              <w:suppressLineNumbers w:val="0"/>
              <w:jc w:val="center"/>
              <w:textAlignment w:val="center"/>
              <w:rPr>
                <w:rFonts w:hint="default" w:ascii="仿宋" w:hAnsi="仿宋" w:eastAsia="仿宋" w:cs="仿宋"/>
                <w:color w:val="FF0000"/>
                <w:sz w:val="24"/>
                <w:szCs w:val="24"/>
                <w:lang w:val="en-US" w:eastAsia="zh-CN"/>
              </w:rPr>
            </w:pPr>
            <w:r>
              <w:rPr>
                <w:rFonts w:hint="eastAsia" w:ascii="仿宋" w:hAnsi="仿宋" w:eastAsia="仿宋" w:cs="仿宋"/>
                <w:sz w:val="24"/>
                <w:szCs w:val="24"/>
              </w:rPr>
              <w:t>过氧化值(以脂肪计)</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FF0000"/>
                <w:sz w:val="24"/>
                <w:szCs w:val="24"/>
              </w:rPr>
            </w:pPr>
            <w:r>
              <w:rPr>
                <w:rFonts w:hint="eastAsia" w:ascii="仿宋" w:hAnsi="仿宋" w:eastAsia="仿宋" w:cs="仿宋"/>
                <w:sz w:val="24"/>
                <w:szCs w:val="24"/>
              </w:rPr>
              <w:t>检验机构</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FF0000"/>
                <w:sz w:val="24"/>
                <w:szCs w:val="24"/>
              </w:rPr>
            </w:pPr>
            <w:r>
              <w:rPr>
                <w:rFonts w:hint="eastAsia" w:ascii="仿宋" w:hAnsi="仿宋" w:eastAsia="仿宋" w:cs="仿宋"/>
                <w:sz w:val="24"/>
                <w:szCs w:val="24"/>
              </w:rPr>
              <w:t>华测检测认证集团股份有限公司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监管部门收到检验报告日期</w:t>
            </w:r>
          </w:p>
        </w:tc>
        <w:tc>
          <w:tcPr>
            <w:tcW w:w="2170" w:type="dxa"/>
            <w:shd w:val="clear" w:color="auto" w:fill="auto"/>
            <w:vAlign w:val="center"/>
          </w:tcPr>
          <w:p>
            <w:pPr>
              <w:keepNext w:val="0"/>
              <w:keepLines w:val="0"/>
              <w:widowControl/>
              <w:suppressLineNumbers w:val="0"/>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sz w:val="24"/>
                <w:szCs w:val="24"/>
              </w:rPr>
              <w:t>2019-10-16</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仿宋" w:hAnsi="仿宋" w:eastAsia="仿宋" w:cs="仿宋"/>
                <w:sz w:val="24"/>
                <w:szCs w:val="24"/>
              </w:rPr>
              <w:t>检验报告送达企业日期</w:t>
            </w:r>
          </w:p>
        </w:tc>
        <w:tc>
          <w:tcPr>
            <w:tcW w:w="2224" w:type="dxa"/>
            <w:shd w:val="clear" w:color="auto" w:fill="auto"/>
            <w:vAlign w:val="center"/>
          </w:tcPr>
          <w:p>
            <w:pPr>
              <w:keepNext w:val="0"/>
              <w:keepLines w:val="0"/>
              <w:widowControl/>
              <w:suppressLineNumbers w:val="0"/>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sz w:val="24"/>
                <w:szCs w:val="24"/>
              </w:rPr>
              <w:t>2019-11-01</w:t>
            </w:r>
          </w:p>
        </w:tc>
      </w:tr>
    </w:tbl>
    <w:p>
      <w:pPr>
        <w:spacing w:line="600" w:lineRule="exact"/>
        <w:ind w:firstLine="640" w:firstLineChars="200"/>
        <w:rPr>
          <w:rFonts w:ascii="楷体_GB2312" w:hAnsi="仿宋" w:eastAsia="楷体_GB2312"/>
          <w:sz w:val="32"/>
          <w:szCs w:val="30"/>
        </w:rPr>
      </w:pP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（二）生产环节</w:t>
      </w:r>
    </w:p>
    <w:p>
      <w:pPr>
        <w:spacing w:line="600" w:lineRule="exact"/>
        <w:ind w:firstLine="640" w:firstLineChars="200"/>
        <w:rPr>
          <w:rFonts w:eastAsia="仿宋_GB2312"/>
          <w:sz w:val="32"/>
          <w:szCs w:val="30"/>
        </w:rPr>
      </w:pPr>
      <w:r>
        <w:rPr>
          <w:rFonts w:hint="eastAsia" w:eastAsia="仿宋_GB2312"/>
          <w:sz w:val="32"/>
          <w:szCs w:val="30"/>
        </w:rPr>
        <w:t>江海区市场监督管理</w:t>
      </w:r>
      <w:r>
        <w:rPr>
          <w:rFonts w:eastAsia="仿宋_GB2312"/>
          <w:sz w:val="32"/>
          <w:szCs w:val="30"/>
        </w:rPr>
        <w:t>局收到不合格报告后开展核查处置工作情况。具体处置情况见下表。</w:t>
      </w: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ascii="黑体" w:hAnsi="黑体" w:eastAsia="黑体"/>
          <w:sz w:val="28"/>
        </w:rPr>
      </w:pPr>
      <w:r>
        <w:rPr>
          <w:rFonts w:hint="eastAsia" w:ascii="黑体" w:hAnsi="黑体" w:eastAsia="黑体"/>
          <w:sz w:val="28"/>
        </w:rPr>
        <w:t>表2  生产环节核查处置情况表</w:t>
      </w:r>
    </w:p>
    <w:tbl>
      <w:tblPr>
        <w:tblStyle w:val="4"/>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7" w:type="dxa"/>
            <w:shd w:val="clear" w:color="auto" w:fill="auto"/>
            <w:vAlign w:val="center"/>
          </w:tcPr>
          <w:p>
            <w:pPr>
              <w:jc w:val="center"/>
              <w:rPr>
                <w:rFonts w:eastAsia="仿宋_GB2312"/>
                <w:sz w:val="24"/>
              </w:rPr>
            </w:pPr>
            <w:r>
              <w:rPr>
                <w:rFonts w:eastAsia="仿宋_GB2312"/>
                <w:sz w:val="24"/>
              </w:rPr>
              <w:t>处置措施</w:t>
            </w:r>
          </w:p>
        </w:tc>
        <w:tc>
          <w:tcPr>
            <w:tcW w:w="6946" w:type="dxa"/>
            <w:shd w:val="clear" w:color="auto" w:fill="auto"/>
            <w:vAlign w:val="center"/>
          </w:tcPr>
          <w:p>
            <w:pPr>
              <w:jc w:val="center"/>
              <w:rPr>
                <w:rFonts w:eastAsia="仿宋_GB2312"/>
                <w:sz w:val="24"/>
              </w:rPr>
            </w:pPr>
            <w:r>
              <w:rPr>
                <w:rFonts w:eastAsia="仿宋_GB2312"/>
                <w:sz w:val="24"/>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pPr>
              <w:numPr>
                <w:ilvl w:val="0"/>
                <w:numId w:val="1"/>
              </w:numPr>
              <w:spacing w:line="440" w:lineRule="exact"/>
              <w:rPr>
                <w:rFonts w:hint="eastAsia" w:eastAsia="仿宋_GB2312"/>
                <w:sz w:val="24"/>
                <w:lang w:val="en-US" w:eastAsia="zh-CN"/>
              </w:rPr>
            </w:pPr>
            <w:r>
              <w:rPr>
                <w:rFonts w:eastAsia="仿宋_GB2312"/>
                <w:sz w:val="24"/>
              </w:rPr>
              <w:t>产品控制措施</w:t>
            </w:r>
            <w:r>
              <w:rPr>
                <w:rFonts w:hint="eastAsia" w:eastAsia="仿宋_GB2312"/>
                <w:sz w:val="24"/>
              </w:rPr>
              <w:t>：江门市江海区市场监督管理局对</w:t>
            </w:r>
            <w:r>
              <w:rPr>
                <w:rFonts w:hint="eastAsia" w:eastAsia="仿宋_GB2312"/>
                <w:sz w:val="24"/>
                <w:lang w:val="en-US" w:eastAsia="zh-CN"/>
              </w:rPr>
              <w:t>该厂</w:t>
            </w:r>
            <w:r>
              <w:rPr>
                <w:rFonts w:hint="eastAsia" w:eastAsia="仿宋_GB2312"/>
                <w:sz w:val="24"/>
              </w:rPr>
              <w:t>进行现场检查，未发现同批次不合格食品。</w:t>
            </w:r>
            <w:r>
              <w:rPr>
                <w:rFonts w:hint="eastAsia" w:eastAsia="仿宋_GB2312"/>
                <w:sz w:val="24"/>
                <w:lang w:val="en-US" w:eastAsia="zh-CN"/>
              </w:rPr>
              <w:t>因销售时间久，无法召回。</w:t>
            </w:r>
          </w:p>
          <w:p>
            <w:pPr>
              <w:numPr>
                <w:ilvl w:val="0"/>
                <w:numId w:val="0"/>
              </w:numPr>
              <w:spacing w:line="440" w:lineRule="exact"/>
              <w:rPr>
                <w:rFonts w:eastAsia="仿宋_GB2312"/>
                <w:sz w:val="24"/>
              </w:rPr>
            </w:pPr>
            <w:r>
              <w:rPr>
                <w:rFonts w:eastAsia="仿宋_GB2312"/>
                <w:sz w:val="24"/>
              </w:rPr>
              <w:t>2.产品控制具体情况</w:t>
            </w:r>
          </w:p>
          <w:p>
            <w:pPr>
              <w:spacing w:line="440" w:lineRule="exact"/>
              <w:rPr>
                <w:rFonts w:eastAsia="仿宋_GB2312"/>
                <w:sz w:val="24"/>
              </w:rPr>
            </w:pPr>
            <w:r>
              <w:rPr>
                <w:rFonts w:hint="eastAsia" w:ascii="仿宋" w:hAnsi="仿宋" w:eastAsia="仿宋" w:cs="仿宋"/>
                <w:sz w:val="24"/>
                <w:szCs w:val="24"/>
              </w:rPr>
              <w:t>（1）生产数量：（5），货值（500）；已销售数量：（5），库存数量：（箱）。</w:t>
            </w:r>
            <w:r>
              <w:rPr>
                <w:rFonts w:hint="eastAsia" w:ascii="仿宋" w:hAnsi="仿宋" w:eastAsia="仿宋" w:cs="仿宋"/>
                <w:sz w:val="24"/>
                <w:szCs w:val="24"/>
              </w:rPr>
              <w:br w:type="textWrapping"/>
            </w:r>
            <w:r>
              <w:rPr>
                <w:rFonts w:hint="eastAsia" w:ascii="仿宋" w:hAnsi="仿宋" w:eastAsia="仿宋" w:cs="仿宋"/>
                <w:sz w:val="24"/>
                <w:szCs w:val="24"/>
              </w:rPr>
              <w:t>（2）封存库存数量：（</w:t>
            </w:r>
            <w:r>
              <w:rPr>
                <w:rFonts w:hint="eastAsia" w:ascii="仿宋" w:hAnsi="仿宋" w:eastAsia="仿宋" w:cs="仿宋"/>
                <w:sz w:val="24"/>
                <w:szCs w:val="24"/>
                <w:lang w:val="en-US" w:eastAsia="zh-CN"/>
              </w:rPr>
              <w:t>0</w:t>
            </w:r>
            <w:r>
              <w:rPr>
                <w:rFonts w:hint="eastAsia" w:ascii="仿宋" w:hAnsi="仿宋" w:eastAsia="仿宋" w:cs="仿宋"/>
                <w:sz w:val="24"/>
                <w:szCs w:val="24"/>
              </w:rPr>
              <w:t>）。</w:t>
            </w:r>
            <w:r>
              <w:rPr>
                <w:rFonts w:hint="eastAsia" w:ascii="仿宋" w:hAnsi="仿宋" w:eastAsia="仿宋" w:cs="仿宋"/>
                <w:sz w:val="24"/>
                <w:szCs w:val="24"/>
              </w:rPr>
              <w:br w:type="textWrapping"/>
            </w:r>
            <w:r>
              <w:rPr>
                <w:rFonts w:hint="eastAsia" w:ascii="仿宋" w:hAnsi="仿宋" w:eastAsia="仿宋" w:cs="仿宋"/>
                <w:sz w:val="24"/>
                <w:szCs w:val="24"/>
              </w:rPr>
              <w:t>（3）召回数量：（</w:t>
            </w:r>
            <w:r>
              <w:rPr>
                <w:rFonts w:hint="eastAsia" w:ascii="仿宋" w:hAnsi="仿宋" w:eastAsia="仿宋" w:cs="仿宋"/>
                <w:sz w:val="24"/>
                <w:szCs w:val="24"/>
                <w:lang w:val="en-US" w:eastAsia="zh-CN"/>
              </w:rPr>
              <w:t>0</w:t>
            </w:r>
            <w:r>
              <w:rPr>
                <w:rFonts w:hint="eastAsia" w:ascii="仿宋" w:hAnsi="仿宋" w:eastAsia="仿宋" w:cs="仿宋"/>
                <w:sz w:val="24"/>
                <w:szCs w:val="24"/>
              </w:rPr>
              <w:t>）。未完全召回的原因是：销售已经完毕，无法召回。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pPr>
              <w:pStyle w:val="8"/>
              <w:numPr>
                <w:ilvl w:val="0"/>
                <w:numId w:val="2"/>
              </w:numPr>
              <w:spacing w:line="440" w:lineRule="exact"/>
              <w:ind w:firstLineChars="0"/>
              <w:rPr>
                <w:rFonts w:eastAsia="仿宋_GB2312"/>
                <w:sz w:val="24"/>
              </w:rPr>
            </w:pPr>
            <w:r>
              <w:rPr>
                <w:rFonts w:eastAsia="仿宋_GB2312"/>
                <w:sz w:val="24"/>
              </w:rPr>
              <w:t>说明具体原因</w:t>
            </w:r>
          </w:p>
          <w:p>
            <w:pPr>
              <w:spacing w:line="440" w:lineRule="exact"/>
              <w:ind w:firstLine="480" w:firstLineChars="200"/>
              <w:rPr>
                <w:rFonts w:hint="default" w:eastAsia="仿宋_GB2312"/>
                <w:sz w:val="24"/>
                <w:lang w:val="en-US" w:eastAsia="zh-CN"/>
              </w:rPr>
            </w:pPr>
            <w:r>
              <w:rPr>
                <w:rFonts w:hint="eastAsia" w:ascii="仿宋" w:hAnsi="仿宋" w:eastAsia="仿宋" w:cs="仿宋"/>
                <w:sz w:val="24"/>
                <w:szCs w:val="24"/>
              </w:rPr>
              <w:t>（可能是销售环节保存不当引起的）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pPr>
              <w:pStyle w:val="8"/>
              <w:numPr>
                <w:ilvl w:val="0"/>
                <w:numId w:val="3"/>
              </w:numPr>
              <w:spacing w:line="440" w:lineRule="exact"/>
              <w:ind w:firstLineChars="0"/>
              <w:rPr>
                <w:rFonts w:eastAsia="仿宋_GB2312"/>
                <w:sz w:val="24"/>
              </w:rPr>
            </w:pPr>
            <w:r>
              <w:rPr>
                <w:rFonts w:eastAsia="仿宋_GB2312"/>
                <w:sz w:val="24"/>
              </w:rPr>
              <w:t>行政立案结案时间。若未立案，说明原因。</w:t>
            </w:r>
          </w:p>
          <w:p>
            <w:pPr>
              <w:pStyle w:val="8"/>
              <w:spacing w:line="440" w:lineRule="exact"/>
              <w:ind w:left="720" w:firstLine="0" w:firstLineChars="0"/>
              <w:rPr>
                <w:rFonts w:eastAsia="仿宋_GB2312"/>
                <w:sz w:val="24"/>
              </w:rPr>
            </w:pPr>
            <w:r>
              <w:rPr>
                <w:rFonts w:hint="eastAsia" w:eastAsia="仿宋_GB2312"/>
                <w:sz w:val="24"/>
              </w:rPr>
              <w:t>我局于</w:t>
            </w:r>
            <w:r>
              <w:rPr>
                <w:rFonts w:hint="eastAsia" w:ascii="仿宋" w:hAnsi="仿宋" w:eastAsia="仿宋" w:cs="仿宋"/>
                <w:sz w:val="24"/>
                <w:szCs w:val="24"/>
              </w:rPr>
              <w:t>2019年11月01日）立案，（2019年12月12日）</w:t>
            </w:r>
            <w:r>
              <w:rPr>
                <w:rFonts w:hint="eastAsia" w:eastAsia="仿宋_GB2312"/>
                <w:sz w:val="24"/>
              </w:rPr>
              <w:t>结案。</w:t>
            </w:r>
          </w:p>
          <w:p>
            <w:pPr>
              <w:pStyle w:val="8"/>
              <w:numPr>
                <w:ilvl w:val="0"/>
                <w:numId w:val="3"/>
              </w:numPr>
              <w:spacing w:line="440" w:lineRule="exact"/>
              <w:ind w:firstLineChars="0"/>
              <w:rPr>
                <w:rFonts w:eastAsia="仿宋_GB2312"/>
                <w:sz w:val="24"/>
              </w:rPr>
            </w:pPr>
            <w:r>
              <w:rPr>
                <w:rFonts w:eastAsia="仿宋_GB2312"/>
                <w:sz w:val="24"/>
              </w:rPr>
              <w:t>违法事实认定及相关法律依据。</w:t>
            </w:r>
          </w:p>
          <w:p>
            <w:pPr>
              <w:spacing w:line="460" w:lineRule="exact"/>
              <w:ind w:firstLine="480" w:firstLineChars="200"/>
              <w:rPr>
                <w:rFonts w:hint="eastAsia" w:ascii="仿宋" w:hAnsi="仿宋" w:eastAsia="仿宋"/>
                <w:color w:val="000000"/>
                <w:sz w:val="24"/>
                <w:szCs w:val="24"/>
              </w:rPr>
            </w:pPr>
            <w:r>
              <w:rPr>
                <w:rFonts w:hint="eastAsia" w:ascii="仿宋" w:hAnsi="仿宋" w:eastAsia="仿宋"/>
                <w:sz w:val="24"/>
                <w:szCs w:val="24"/>
              </w:rPr>
              <w:t>当事人的行为涉嫌违反了《中华人民共和国食品安全法》</w:t>
            </w:r>
            <w:r>
              <w:rPr>
                <w:rFonts w:hint="eastAsia" w:ascii="仿宋" w:hAnsi="仿宋" w:eastAsia="仿宋"/>
                <w:color w:val="000000"/>
                <w:sz w:val="24"/>
                <w:szCs w:val="24"/>
              </w:rPr>
              <w:t>《中华人民共和国食品安全法》第三十四条“禁止生产经营下列食品、食品添加剂、食品相关产品：--（二）致病性微生物，农药残留、兽药残留、生物毒素、重金属等污染物质以及其他危害人体健康的物质含量超过食品安全标准限量的食品、食品添加剂、食品相关产品--”的规定。</w:t>
            </w:r>
          </w:p>
          <w:p>
            <w:pPr>
              <w:pStyle w:val="8"/>
              <w:numPr>
                <w:ilvl w:val="0"/>
                <w:numId w:val="0"/>
              </w:numPr>
              <w:spacing w:line="440" w:lineRule="exact"/>
              <w:ind w:leftChars="0"/>
              <w:rPr>
                <w:rFonts w:eastAsia="仿宋_GB2312"/>
                <w:sz w:val="24"/>
                <w:szCs w:val="24"/>
              </w:rPr>
            </w:pPr>
          </w:p>
          <w:p>
            <w:pPr>
              <w:pStyle w:val="8"/>
              <w:numPr>
                <w:ilvl w:val="0"/>
                <w:numId w:val="3"/>
              </w:numPr>
              <w:spacing w:line="440" w:lineRule="exact"/>
              <w:ind w:firstLineChars="0"/>
              <w:rPr>
                <w:rFonts w:eastAsia="仿宋_GB2312"/>
                <w:sz w:val="24"/>
              </w:rPr>
            </w:pPr>
            <w:r>
              <w:rPr>
                <w:rFonts w:eastAsia="仿宋_GB2312"/>
                <w:sz w:val="24"/>
              </w:rPr>
              <w:t>具体处罚种类。</w:t>
            </w:r>
          </w:p>
          <w:p>
            <w:pPr>
              <w:spacing w:line="380" w:lineRule="exact"/>
              <w:ind w:firstLine="55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1.处罚人民币2000元；</w:t>
            </w:r>
          </w:p>
          <w:p>
            <w:pPr>
              <w:spacing w:line="38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.没收违法所得人民币</w:t>
            </w:r>
            <w:r>
              <w:rPr>
                <w:rFonts w:hint="eastAsia" w:ascii="仿宋" w:hAnsi="仿宋" w:eastAsia="仿宋" w:cs="仿宋"/>
                <w:sz w:val="24"/>
                <w:szCs w:val="24"/>
                <w:lang w:val="en-US" w:eastAsia="zh-CN"/>
              </w:rPr>
              <w:t>500</w:t>
            </w:r>
            <w:r>
              <w:rPr>
                <w:rFonts w:hint="eastAsia" w:ascii="仿宋" w:hAnsi="仿宋" w:eastAsia="仿宋" w:cs="仿宋"/>
                <w:sz w:val="24"/>
                <w:szCs w:val="24"/>
              </w:rPr>
              <w:t>元；</w:t>
            </w:r>
          </w:p>
          <w:p>
            <w:pPr>
              <w:spacing w:line="380" w:lineRule="exact"/>
              <w:ind w:firstLine="555"/>
              <w:rPr>
                <w:rFonts w:hint="eastAsia" w:ascii="仿宋" w:hAnsi="仿宋" w:eastAsia="仿宋" w:cs="仿宋"/>
                <w:sz w:val="24"/>
                <w:szCs w:val="24"/>
              </w:rPr>
            </w:pPr>
            <w:r>
              <w:rPr>
                <w:rFonts w:hint="eastAsia" w:ascii="仿宋" w:hAnsi="仿宋" w:eastAsia="仿宋" w:cs="仿宋"/>
                <w:sz w:val="24"/>
                <w:szCs w:val="24"/>
              </w:rPr>
              <w:t>合计罚没金额人民币</w:t>
            </w:r>
            <w:r>
              <w:rPr>
                <w:rFonts w:hint="eastAsia" w:ascii="仿宋" w:hAnsi="仿宋" w:eastAsia="仿宋" w:cs="仿宋"/>
                <w:sz w:val="24"/>
                <w:szCs w:val="24"/>
                <w:lang w:val="en-US" w:eastAsia="zh-CN"/>
              </w:rPr>
              <w:t>2500</w:t>
            </w:r>
            <w:r>
              <w:rPr>
                <w:rFonts w:hint="eastAsia" w:ascii="仿宋" w:hAnsi="仿宋" w:eastAsia="仿宋" w:cs="仿宋"/>
                <w:sz w:val="24"/>
                <w:szCs w:val="24"/>
              </w:rPr>
              <w:t>元。</w:t>
            </w:r>
          </w:p>
          <w:p>
            <w:pPr>
              <w:spacing w:line="560" w:lineRule="exact"/>
              <w:ind w:firstLine="555"/>
              <w:rPr>
                <w:rFonts w:hint="eastAsia" w:ascii="仿宋" w:hAnsi="仿宋" w:eastAsia="仿宋" w:cs="仿宋"/>
                <w:sz w:val="24"/>
                <w:szCs w:val="24"/>
              </w:rPr>
            </w:pPr>
          </w:p>
          <w:p>
            <w:pPr>
              <w:pStyle w:val="8"/>
              <w:numPr>
                <w:ilvl w:val="0"/>
                <w:numId w:val="3"/>
              </w:numPr>
              <w:spacing w:line="440" w:lineRule="exact"/>
              <w:ind w:firstLineChars="0"/>
              <w:rPr>
                <w:rFonts w:eastAsia="仿宋_GB2312"/>
                <w:sz w:val="24"/>
                <w:szCs w:val="24"/>
              </w:rPr>
            </w:pPr>
            <w:r>
              <w:rPr>
                <w:rFonts w:eastAsia="仿宋_GB2312"/>
                <w:sz w:val="24"/>
              </w:rPr>
              <w:t>若减轻处罚或免予处罚，说明自由裁量权行使的依据和理由。</w:t>
            </w:r>
            <w:r>
              <w:rPr>
                <w:rFonts w:hint="eastAsia" w:ascii="仿宋" w:hAnsi="仿宋" w:eastAsia="仿宋" w:cs="仿宋"/>
                <w:color w:val="auto"/>
                <w:sz w:val="24"/>
                <w:szCs w:val="24"/>
              </w:rPr>
              <w:t>当事人违法经营额数量较少</w:t>
            </w:r>
            <w:r>
              <w:rPr>
                <w:rFonts w:hint="eastAsia" w:ascii="仿宋" w:hAnsi="仿宋" w:eastAsia="仿宋" w:cs="仿宋"/>
                <w:color w:val="auto"/>
                <w:sz w:val="24"/>
                <w:szCs w:val="24"/>
                <w:lang w:val="en-US" w:eastAsia="zh-CN"/>
              </w:rPr>
              <w:t>，产品在流通销售环节中抽样检测，广式腊味的过氧化值超标与保存条件有一定的关系，且当事人的</w:t>
            </w:r>
            <w:r>
              <w:rPr>
                <w:rFonts w:hint="eastAsia" w:ascii="仿宋" w:hAnsi="仿宋" w:eastAsia="仿宋" w:cs="仿宋"/>
                <w:color w:val="auto"/>
                <w:sz w:val="24"/>
                <w:szCs w:val="24"/>
              </w:rPr>
              <w:t>违法行为未造成</w:t>
            </w:r>
            <w:r>
              <w:rPr>
                <w:rFonts w:hint="eastAsia" w:ascii="仿宋" w:hAnsi="仿宋" w:eastAsia="仿宋" w:cs="仿宋"/>
                <w:color w:val="auto"/>
                <w:sz w:val="24"/>
                <w:szCs w:val="24"/>
                <w:lang w:val="en-US" w:eastAsia="zh-CN"/>
              </w:rPr>
              <w:t>严重的</w:t>
            </w:r>
            <w:r>
              <w:rPr>
                <w:rFonts w:hint="eastAsia" w:ascii="仿宋" w:hAnsi="仿宋" w:eastAsia="仿宋" w:cs="仿宋"/>
                <w:color w:val="auto"/>
                <w:sz w:val="24"/>
                <w:szCs w:val="24"/>
              </w:rPr>
              <w:t>社会影响，积极配合我局调查，根据当事人违法行为的事实、性质、情节、社会危害程度和相关证据，当事人的行为符合</w:t>
            </w:r>
            <w:r>
              <w:rPr>
                <w:rFonts w:hint="eastAsia" w:ascii="仿宋" w:hAnsi="仿宋" w:eastAsia="仿宋" w:cs="仿宋"/>
                <w:bCs/>
                <w:color w:val="auto"/>
                <w:sz w:val="24"/>
                <w:szCs w:val="24"/>
              </w:rPr>
              <w:t>《江门市食品药品监督管理局行政处罚自由裁量适用规则》</w:t>
            </w:r>
            <w:r>
              <w:rPr>
                <w:rFonts w:hint="eastAsia" w:ascii="仿宋" w:hAnsi="仿宋" w:eastAsia="仿宋" w:cs="仿宋"/>
                <w:b/>
                <w:color w:val="auto"/>
                <w:spacing w:val="8"/>
                <w:sz w:val="24"/>
                <w:szCs w:val="24"/>
              </w:rPr>
              <w:t>第十一条</w:t>
            </w:r>
            <w:r>
              <w:rPr>
                <w:rFonts w:hint="eastAsia" w:ascii="仿宋" w:hAnsi="仿宋" w:eastAsia="仿宋" w:cs="仿宋"/>
                <w:color w:val="auto"/>
                <w:sz w:val="24"/>
                <w:szCs w:val="24"/>
              </w:rPr>
              <w:t xml:space="preserve"> “</w:t>
            </w:r>
            <w:r>
              <w:rPr>
                <w:rFonts w:hint="eastAsia" w:ascii="仿宋" w:hAnsi="仿宋" w:eastAsia="仿宋" w:cs="仿宋"/>
                <w:color w:val="auto"/>
                <w:spacing w:val="8"/>
                <w:sz w:val="24"/>
                <w:szCs w:val="24"/>
              </w:rPr>
              <w:t>有下列情形之一的，依法从轻或者减轻行政处罚：（一）主动消除或者减轻违法行为危害后果的；（七）涉案产品不属于知道或应当知道是违法产品的；（八）没有违反法律、法规或规章有关进货渠道、验收、仓储保管规定，且能在规定期限内如实、完整提供购进票据、交易对象许可证、资金往来凭证等文件材料的；（十）违法行为未造成严重社会危害，当事人系初次违法的；”的情形</w:t>
            </w:r>
            <w:r>
              <w:rPr>
                <w:rFonts w:hint="eastAsia" w:ascii="仿宋" w:hAnsi="仿宋" w:eastAsia="仿宋" w:cs="仿宋"/>
                <w:color w:val="auto"/>
                <w:spacing w:val="8"/>
                <w:sz w:val="24"/>
                <w:szCs w:val="24"/>
                <w:lang w:eastAsia="zh-CN"/>
              </w:rPr>
              <w:t>。</w:t>
            </w:r>
          </w:p>
          <w:p>
            <w:pPr>
              <w:spacing w:line="440" w:lineRule="exact"/>
              <w:ind w:firstLine="720" w:firstLineChars="300"/>
              <w:rPr>
                <w:rFonts w:eastAsia="仿宋_GB2312"/>
                <w:sz w:val="24"/>
              </w:rPr>
            </w:pPr>
            <w:r>
              <w:rPr>
                <w:rFonts w:eastAsia="仿宋_GB2312"/>
                <w:sz w:val="24"/>
              </w:rPr>
              <w:t>附行政处罚决定书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整改复查</w:t>
            </w:r>
          </w:p>
        </w:tc>
        <w:tc>
          <w:tcPr>
            <w:tcW w:w="6946" w:type="dxa"/>
            <w:shd w:val="clear" w:color="auto" w:fill="auto"/>
            <w:vAlign w:val="center"/>
          </w:tcPr>
          <w:p>
            <w:pPr>
              <w:pStyle w:val="8"/>
              <w:numPr>
                <w:ilvl w:val="0"/>
                <w:numId w:val="4"/>
              </w:numPr>
              <w:spacing w:line="440" w:lineRule="exact"/>
              <w:ind w:firstLineChars="0"/>
              <w:rPr>
                <w:rFonts w:eastAsia="仿宋_GB2312"/>
                <w:sz w:val="24"/>
              </w:rPr>
            </w:pPr>
            <w:r>
              <w:rPr>
                <w:rFonts w:eastAsia="仿宋_GB2312"/>
                <w:sz w:val="24"/>
              </w:rPr>
              <w:t>企业整改情况和具体措施。</w:t>
            </w:r>
          </w:p>
          <w:p>
            <w:pPr>
              <w:spacing w:line="440" w:lineRule="exact"/>
              <w:ind w:firstLine="240" w:firstLineChars="100"/>
              <w:rPr>
                <w:rFonts w:hint="default" w:eastAsia="仿宋_GB2312"/>
                <w:sz w:val="24"/>
                <w:lang w:val="en-US" w:eastAsia="zh-CN"/>
              </w:rPr>
            </w:pPr>
            <w:r>
              <w:rPr>
                <w:rFonts w:hint="eastAsia" w:eastAsia="仿宋_GB2312"/>
                <w:sz w:val="24"/>
                <w:lang w:val="en-US" w:eastAsia="zh-CN"/>
              </w:rPr>
              <w:t>该厂已经对员工进行食品安全法学习，严格按照制作流程和要求生产风味肠，督促经销商严格保证产品的存放条件。</w:t>
            </w:r>
          </w:p>
          <w:p>
            <w:pPr>
              <w:spacing w:line="440" w:lineRule="exact"/>
              <w:rPr>
                <w:rFonts w:eastAsia="仿宋_GB2312"/>
                <w:sz w:val="24"/>
              </w:rPr>
            </w:pPr>
            <w:r>
              <w:rPr>
                <w:rFonts w:eastAsia="仿宋_GB2312"/>
                <w:sz w:val="24"/>
              </w:rPr>
              <w:t>（2）整改复查情况。</w:t>
            </w:r>
          </w:p>
          <w:p>
            <w:pPr>
              <w:pStyle w:val="8"/>
              <w:spacing w:line="440" w:lineRule="exact"/>
              <w:rPr>
                <w:rFonts w:hint="default" w:eastAsia="仿宋_GB2312"/>
                <w:sz w:val="24"/>
                <w:lang w:val="en-US" w:eastAsia="zh-CN"/>
              </w:rPr>
            </w:pPr>
            <w:r>
              <w:rPr>
                <w:rFonts w:hint="eastAsia" w:eastAsia="仿宋_GB2312"/>
                <w:sz w:val="24"/>
                <w:lang w:val="en-US" w:eastAsia="zh-CN"/>
              </w:rPr>
              <w:t>该厂已经对员工进行食品安全法学习，严格按照制作流程和要求生产风味肠，并督促经销商严格保证产品的存放条件。</w:t>
            </w:r>
          </w:p>
          <w:p>
            <w:pPr>
              <w:spacing w:line="440" w:lineRule="exact"/>
              <w:ind w:firstLine="600" w:firstLineChars="250"/>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pPr>
              <w:pStyle w:val="8"/>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pPr>
              <w:pStyle w:val="8"/>
              <w:numPr>
                <w:ilvl w:val="0"/>
                <w:numId w:val="0"/>
              </w:numPr>
              <w:spacing w:line="440" w:lineRule="exact"/>
              <w:ind w:leftChars="0" w:firstLine="720" w:firstLineChars="300"/>
              <w:rPr>
                <w:rFonts w:eastAsia="仿宋_GB2312"/>
                <w:sz w:val="24"/>
              </w:rPr>
            </w:pPr>
            <w:r>
              <w:rPr>
                <w:rFonts w:hint="eastAsia" w:eastAsia="仿宋_GB2312"/>
                <w:sz w:val="24"/>
                <w:lang w:val="en-US" w:eastAsia="zh-CN"/>
              </w:rPr>
              <w:t>无</w:t>
            </w:r>
          </w:p>
          <w:p>
            <w:pPr>
              <w:pStyle w:val="8"/>
              <w:numPr>
                <w:ilvl w:val="0"/>
                <w:numId w:val="5"/>
              </w:numPr>
              <w:spacing w:line="440" w:lineRule="exact"/>
              <w:ind w:firstLineChars="0"/>
              <w:rPr>
                <w:rFonts w:eastAsia="仿宋_GB2312"/>
                <w:sz w:val="24"/>
              </w:rPr>
            </w:pPr>
            <w:r>
              <w:rPr>
                <w:rFonts w:eastAsia="仿宋_GB2312"/>
                <w:sz w:val="24"/>
              </w:rPr>
              <w:t>向司法机关移送情况。</w:t>
            </w:r>
          </w:p>
          <w:p>
            <w:pPr>
              <w:pStyle w:val="8"/>
              <w:spacing w:line="440" w:lineRule="exact"/>
              <w:ind w:firstLine="720" w:firstLineChars="300"/>
              <w:rPr>
                <w:rFonts w:eastAsia="仿宋_GB2312"/>
                <w:sz w:val="24"/>
              </w:rPr>
            </w:pPr>
            <w:r>
              <w:rPr>
                <w:rFonts w:hint="eastAsia" w:eastAsia="仿宋_GB2312"/>
                <w:sz w:val="24"/>
              </w:rPr>
              <w:t>无</w:t>
            </w:r>
          </w:p>
        </w:tc>
      </w:tr>
    </w:tbl>
    <w:p>
      <w:pPr>
        <w:spacing w:line="600" w:lineRule="exact"/>
        <w:ind w:firstLine="640" w:firstLineChars="200"/>
        <w:rPr>
          <w:rFonts w:ascii="楷体_GB2312" w:hAnsi="仿宋" w:eastAsia="楷体_GB2312"/>
          <w:sz w:val="32"/>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tentative="0">
      <w:start w:val="1"/>
      <w:numFmt w:val="decimal"/>
      <w:lvlText w:val="%1."/>
      <w:lvlJc w:val="left"/>
      <w:pPr>
        <w:tabs>
          <w:tab w:val="left" w:pos="312"/>
        </w:tabs>
      </w:pPr>
    </w:lvl>
  </w:abstractNum>
  <w:abstractNum w:abstractNumId="1">
    <w:nsid w:val="027B6416"/>
    <w:multiLevelType w:val="multilevel"/>
    <w:tmpl w:val="027B6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E3804"/>
    <w:multiLevelType w:val="multilevel"/>
    <w:tmpl w:val="058E38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DE2A68"/>
    <w:multiLevelType w:val="multilevel"/>
    <w:tmpl w:val="2EDE2A6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5930F8C"/>
    <w:multiLevelType w:val="multilevel"/>
    <w:tmpl w:val="65930F8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65240C"/>
    <w:rsid w:val="00790B5A"/>
    <w:rsid w:val="007C6E5D"/>
    <w:rsid w:val="007F215C"/>
    <w:rsid w:val="008352D9"/>
    <w:rsid w:val="0093163C"/>
    <w:rsid w:val="009612AE"/>
    <w:rsid w:val="00992C71"/>
    <w:rsid w:val="00C664E6"/>
    <w:rsid w:val="00D75D29"/>
    <w:rsid w:val="00EA0228"/>
    <w:rsid w:val="00EA5E86"/>
    <w:rsid w:val="00F73CF4"/>
    <w:rsid w:val="00FB7716"/>
    <w:rsid w:val="00FD3033"/>
    <w:rsid w:val="00FD5624"/>
    <w:rsid w:val="00FF17D0"/>
    <w:rsid w:val="0260228B"/>
    <w:rsid w:val="04B80CF3"/>
    <w:rsid w:val="07BF589B"/>
    <w:rsid w:val="090656CF"/>
    <w:rsid w:val="0D4E3FF7"/>
    <w:rsid w:val="0DE46A26"/>
    <w:rsid w:val="1005012D"/>
    <w:rsid w:val="1290373E"/>
    <w:rsid w:val="171A0F09"/>
    <w:rsid w:val="26FB5728"/>
    <w:rsid w:val="299844CA"/>
    <w:rsid w:val="31A44D8A"/>
    <w:rsid w:val="3B9B51D5"/>
    <w:rsid w:val="40484681"/>
    <w:rsid w:val="40C979D0"/>
    <w:rsid w:val="43897E52"/>
    <w:rsid w:val="45F86089"/>
    <w:rsid w:val="55E91FAA"/>
    <w:rsid w:val="58AB1046"/>
    <w:rsid w:val="5C0B1163"/>
    <w:rsid w:val="5CB63AAA"/>
    <w:rsid w:val="5ED57AE6"/>
    <w:rsid w:val="63E865A1"/>
    <w:rsid w:val="69B00F58"/>
    <w:rsid w:val="6A8E1C96"/>
    <w:rsid w:val="72A53C73"/>
    <w:rsid w:val="72D55E3B"/>
    <w:rsid w:val="7364514C"/>
    <w:rsid w:val="7D154A69"/>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339</Words>
  <Characters>1936</Characters>
  <Lines>16</Lines>
  <Paragraphs>4</Paragraphs>
  <TotalTime>0</TotalTime>
  <ScaleCrop>false</ScaleCrop>
  <LinksUpToDate>false</LinksUpToDate>
  <CharactersWithSpaces>2271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2017-12-14T01:17:00Z</dcterms:created>
  <dc:creator>西西弗斯v</dc:creator>
  <cp:lastModifiedBy>探路者</cp:lastModifiedBy>
  <dcterms:modified xsi:type="dcterms:W3CDTF">2020-10-18T02:11:29Z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