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264E6" w:rsidP="005264E6">
      <w:pPr>
        <w:contextualSpacing/>
        <w:rPr>
          <w:rFonts w:ascii="黑体" w:eastAsia="黑体" w:hAnsi="黑体" w:cs="黑体"/>
          <w:sz w:val="32"/>
          <w:szCs w:val="32"/>
        </w:rPr>
      </w:pPr>
      <w:r w:rsidRPr="00EB449E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"/>
        <w:gridCol w:w="2984"/>
        <w:gridCol w:w="3514"/>
        <w:gridCol w:w="3710"/>
        <w:gridCol w:w="2835"/>
      </w:tblGrid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7"/>
        </w:trPr>
        <w:tc>
          <w:tcPr>
            <w:tcW w:w="139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黑体"/>
                <w:color w:val="000000"/>
                <w:kern w:val="0"/>
                <w:sz w:val="28"/>
                <w:szCs w:val="28"/>
              </w:rPr>
            </w:pPr>
            <w:r w:rsidRPr="00146998">
              <w:rPr>
                <w:rFonts w:asciiTheme="majorEastAsia" w:eastAsiaTheme="majorEastAsia" w:hAnsiTheme="majorEastAsia" w:cs="方正小标宋简体" w:hint="eastAsia"/>
                <w:color w:val="000000"/>
                <w:kern w:val="0"/>
                <w:sz w:val="32"/>
                <w:szCs w:val="32"/>
              </w:rPr>
              <w:t>江门市</w:t>
            </w:r>
            <w:r w:rsidR="007D56D3">
              <w:rPr>
                <w:rFonts w:asciiTheme="majorEastAsia" w:eastAsiaTheme="majorEastAsia" w:hAnsiTheme="majorEastAsia" w:cs="方正小标宋简体" w:hint="eastAsia"/>
                <w:color w:val="000000"/>
                <w:kern w:val="0"/>
                <w:sz w:val="32"/>
                <w:szCs w:val="32"/>
              </w:rPr>
              <w:t>江海</w:t>
            </w:r>
            <w:r w:rsidRPr="00146998" w:rsidR="00785B99">
              <w:rPr>
                <w:rFonts w:asciiTheme="majorEastAsia" w:eastAsiaTheme="majorEastAsia" w:hAnsiTheme="majorEastAsia" w:cs="方正小标宋简体" w:hint="eastAsia"/>
                <w:color w:val="000000"/>
                <w:kern w:val="0"/>
                <w:sz w:val="32"/>
                <w:szCs w:val="32"/>
              </w:rPr>
              <w:t>区</w:t>
            </w:r>
            <w:r w:rsidRPr="00146998">
              <w:rPr>
                <w:rFonts w:asciiTheme="majorEastAsia" w:eastAsiaTheme="majorEastAsia" w:hAnsiTheme="majorEastAsia" w:cs="方正小标宋简体" w:hint="eastAsia"/>
                <w:color w:val="000000"/>
                <w:kern w:val="0"/>
                <w:sz w:val="32"/>
                <w:szCs w:val="32"/>
              </w:rPr>
              <w:t>会计专业技术人员继续教育专业科目学习形式</w:t>
            </w:r>
            <w:r w:rsidRPr="00146998" w:rsidR="00785B99">
              <w:rPr>
                <w:rFonts w:asciiTheme="majorEastAsia" w:eastAsiaTheme="majorEastAsia" w:hAnsiTheme="majorEastAsia" w:cs="方正小标宋简体" w:hint="eastAsia"/>
                <w:color w:val="000000"/>
                <w:kern w:val="0"/>
                <w:sz w:val="32"/>
                <w:szCs w:val="32"/>
              </w:rPr>
              <w:t>和学分确认办法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确认学分分值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学分确认方式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提交材料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16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参加由用人单位自行组织开展的</w:t>
            </w:r>
            <w:r w:rsidRPr="00146998">
              <w:rPr>
                <w:rStyle w:val="font01"/>
                <w:rFonts w:hAnsi="宋体" w:hint="default"/>
                <w:b w:val="0"/>
              </w:rPr>
              <w:t>面授</w:t>
            </w:r>
            <w:r w:rsidRPr="00146998">
              <w:rPr>
                <w:rStyle w:val="font31"/>
                <w:rFonts w:hAnsi="宋体" w:hint="default"/>
              </w:rPr>
              <w:t>继续教育培训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每天折算为20学分。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用人单位注册单位账号；</w:t>
            </w:r>
          </w:p>
          <w:p w:rsidR="005264E6" w:rsidRPr="00146998" w:rsidP="00C82F18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传培训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计划，报</w:t>
            </w:r>
            <w:r w:rsidRPr="00146998" w:rsidR="00FB760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同级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财政部门复核；</w:t>
            </w:r>
          </w:p>
          <w:p w:rsidR="005264E6" w:rsidRPr="00146998" w:rsidP="00C82F18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财政部门复核通过培训计划后，用人单位</w:t>
            </w:r>
            <w:r w:rsidRPr="00146998" w:rsidR="00785B99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开展培训，培训结束后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导入培训人员名单确认学分。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用人单位发布的培训通知。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142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785B9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参加已在</w:t>
            </w:r>
            <w:r w:rsidR="007D56D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江海区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财政部门备案的</w:t>
            </w:r>
            <w:r w:rsidRPr="00146998">
              <w:rPr>
                <w:rStyle w:val="font01"/>
                <w:rFonts w:hAnsi="宋体" w:hint="default"/>
                <w:b w:val="0"/>
              </w:rPr>
              <w:t>远程和面授</w:t>
            </w:r>
            <w:r w:rsidRPr="00146998">
              <w:rPr>
                <w:rStyle w:val="font31"/>
                <w:rFonts w:hAnsi="宋体" w:hint="default"/>
              </w:rPr>
              <w:t>施教机构继续教育培训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远程在线学习每小时折算为2.5学分</w:t>
            </w: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>、</w:t>
            </w:r>
            <w:r w:rsidRPr="00146998">
              <w:rPr>
                <w:rStyle w:val="font01"/>
                <w:rFonts w:hAnsi="宋体" w:hint="default"/>
                <w:b w:val="0"/>
              </w:rPr>
              <w:t>面授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</w:t>
            </w:r>
            <w:bookmarkStart w:id="0" w:name="_GoBack"/>
            <w:bookmarkEnd w:id="0"/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天折算为20学分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施教机构直接回传。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会计人员无需申请。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134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参加国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家教育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行政主管部门承认的中专以上会计类学位学历教育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在校期间无需进行继续教育，自毕业年度起完成继续教育，于毕业当年确认。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于毕业年度申请继续教育，由</w:t>
            </w:r>
            <w:r w:rsidRPr="00146998" w:rsidR="004304B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同级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毕业证（学位证）电子版（扫描件）。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138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参加会计专业技术资格、注册会计师资格、资产评估师、税务师考试等国家资格目录清单中列明的会计类相关资格考试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每通过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科确认</w:t>
            </w:r>
            <w:r w:rsidRPr="00146998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通过当年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通过会计专业技术资格考试由</w:t>
            </w:r>
            <w:r w:rsidRPr="00146998" w:rsidR="00785B99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区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</w:t>
            </w:r>
            <w:r w:rsidRPr="00146998" w:rsidR="00785B99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局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录入；</w:t>
            </w:r>
          </w:p>
          <w:p w:rsidR="005264E6" w:rsidRPr="00146998" w:rsidP="00C82F18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其他资格考试由会计人员自行申请，由</w:t>
            </w:r>
            <w:r w:rsidRPr="00146998" w:rsidR="004304B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同级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会计专业技术资格考试无需申请；</w:t>
            </w:r>
          </w:p>
          <w:p w:rsidR="005264E6" w:rsidRPr="00146998" w:rsidP="00C82F18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其他资格考试提交成绩单截图（电子版成绩单）。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确认学分分值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学分确认方式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提交材料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143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承担继续教育管理部门或行业组织（团体）的会计类科研课题，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课题结项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1.独立承担确认为90学分；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2.与他人合作完成的，课题主持人折算为90学分，其他参与人折算为60学分。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会计人员自行申请，由</w:t>
            </w:r>
            <w:r w:rsidRPr="00146998" w:rsidR="00FB760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同级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课程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结项</w:t>
            </w:r>
            <w:r w:rsidRPr="00146998" w:rsidR="00785B99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证明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等有效证明材料1份。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17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在有国内统一刊号（CN）报刊上发表会计类论文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1.独立发表：每篇论文折算为30学分；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2.与他人合作发表：第一作者折算为30学分，其他作者每人折算为10学分。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会计人员自行申请，由</w:t>
            </w:r>
            <w:r w:rsidRPr="00146998" w:rsidR="00FB760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同级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报刊封面、目录及论文内页的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扫描件</w:t>
            </w:r>
            <w:r w:rsidRPr="00146998" w:rsidR="00785B99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各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1份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15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公开出版会计类书籍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1.独立出版：每本折算为90学分；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2.与他人合作出版：第一作者折算为90学分，其他作者每人折算60学分。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会计人员自行申请，由</w:t>
            </w:r>
            <w:r w:rsidRPr="00146998" w:rsidR="00FB760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同级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书籍封面、封底（包含书号）的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扫描件</w:t>
            </w:r>
            <w:r w:rsidRPr="00146998" w:rsidR="00785B99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各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1份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79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参加注册会计师继续教育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每年折算为60学分。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省注协继续</w:t>
            </w: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教育系统回传。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无需申请。</w:t>
            </w:r>
          </w:p>
        </w:tc>
      </w:tr>
      <w:tr w:rsidTr="00B43117">
        <w:tblPrEx>
          <w:tblW w:w="0" w:type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95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财政部门认可的其他形式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由文件另行规定。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由文件另行规定。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4E6" w:rsidRPr="00146998" w:rsidP="00C82F1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 w:rsidRPr="0014699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由文件另行规定。</w:t>
            </w:r>
          </w:p>
        </w:tc>
      </w:tr>
    </w:tbl>
    <w:p w:rsidR="00C52176" w:rsidRPr="00146998" w:rsidP="005264E6">
      <w:pPr>
        <w:rPr>
          <w:rFonts w:ascii="仿宋_GB2312" w:eastAsia="仿宋_GB2312"/>
          <w:b/>
          <w:bCs/>
        </w:rPr>
      </w:pPr>
    </w:p>
    <w:p w:rsidR="005264E6" w:rsidRPr="00146998" w:rsidP="005264E6">
      <w:pPr>
        <w:rPr>
          <w:rFonts w:ascii="仿宋_GB2312" w:eastAsia="仿宋_GB2312"/>
        </w:rPr>
      </w:pPr>
      <w:r w:rsidRPr="00146998">
        <w:rPr>
          <w:rFonts w:ascii="仿宋_GB2312" w:eastAsia="仿宋_GB2312" w:hint="eastAsia"/>
          <w:b/>
          <w:bCs/>
        </w:rPr>
        <w:t>会计专业技术人员参加以上形式继续教育取得的学分，均在当年度有效，不予结转下年度。</w:t>
      </w:r>
    </w:p>
    <w:sectPr w:rsidSect="0008193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D68D"/>
    <w:multiLevelType w:val="singleLevel"/>
    <w:tmpl w:val="0631D68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2E946F2"/>
    <w:multiLevelType w:val="singleLevel"/>
    <w:tmpl w:val="32E946F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4EC8D7DA"/>
    <w:multiLevelType w:val="singleLevel"/>
    <w:tmpl w:val="4EC8D7D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AB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526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5264E6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526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5264E6"/>
    <w:rPr>
      <w:kern w:val="2"/>
      <w:sz w:val="18"/>
      <w:szCs w:val="18"/>
    </w:rPr>
  </w:style>
  <w:style w:type="character" w:customStyle="1" w:styleId="font01">
    <w:name w:val="font01"/>
    <w:basedOn w:val="DefaultParagraphFont"/>
    <w:rsid w:val="005264E6"/>
    <w:rPr>
      <w:rFonts w:ascii="仿宋_GB2312" w:eastAsia="仿宋_GB2312" w:cs="仿宋_GB2312" w:hint="eastAsia"/>
      <w:b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DefaultParagraphFont"/>
    <w:rsid w:val="005264E6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901</Characters>
  <Application>Microsoft Office Word</Application>
  <DocSecurity>0</DocSecurity>
  <Lines>7</Lines>
  <Paragraphs>2</Paragraphs>
  <ScaleCrop>false</ScaleCrop>
  <Company>WwW.YlmF.CoM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梁锦盛</cp:lastModifiedBy>
  <cp:revision>9</cp:revision>
  <cp:lastPrinted>2020-05-21T01:23:00Z</cp:lastPrinted>
  <dcterms:created xsi:type="dcterms:W3CDTF">2020-05-29T07:42:00Z</dcterms:created>
  <dcterms:modified xsi:type="dcterms:W3CDTF">2020-06-30T08:33:00Z</dcterms:modified>
</cp:coreProperties>
</file>